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方正小标宋_GBK" w:eastAsia="方正小标宋_GBK"/>
          <w:sz w:val="44"/>
          <w:szCs w:val="44"/>
        </w:rPr>
      </w:pPr>
      <w:r>
        <w:rPr>
          <w:rFonts w:hint="eastAsia" w:ascii="方正小标宋_GBK" w:eastAsia="方正小标宋_GBK"/>
          <w:sz w:val="44"/>
          <w:szCs w:val="44"/>
        </w:rPr>
        <w:t>关于废止部分政府规范性文件的决定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方正仿宋_GBK" w:eastAsia="方正仿宋_GBK"/>
          <w:szCs w:val="20"/>
        </w:rPr>
      </w:pPr>
      <w:r>
        <w:rPr>
          <w:rFonts w:hint="eastAsia" w:ascii="方正仿宋_GBK" w:eastAsia="方正仿宋_GBK"/>
          <w:szCs w:val="20"/>
        </w:rPr>
        <w:t>渝北府发〔2016〕23号</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仿宋_GBK" w:eastAsia="方正仿宋_GBK"/>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rPr>
          <w:rFonts w:hint="eastAsia" w:eastAsia="方正仿宋_GBK"/>
          <w:szCs w:val="32"/>
        </w:rPr>
      </w:pPr>
      <w:r>
        <w:rPr>
          <w:rFonts w:hint="eastAsia" w:eastAsia="方正仿宋_GBK"/>
          <w:szCs w:val="32"/>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eastAsia="方正仿宋_GBK"/>
          <w:szCs w:val="32"/>
        </w:rPr>
      </w:pPr>
      <w:r>
        <w:rPr>
          <w:rFonts w:hint="eastAsia" w:eastAsia="方正仿宋_GBK"/>
          <w:szCs w:val="32"/>
        </w:rPr>
        <w:t>为深入推进依法行政，加快法治政府建设，根据《重庆市行政规范性文件管理办法》（重庆市人民政府令第290号）有关规定，区政府法制办及有关部门对2015年12月31日以前制定的政府规范性文件再次进行了清理。区政府决定废止《重庆市渝北区人民政府关于印发渝北区促进征地农转城人员就业创业暂行办法的通知》（渝北府发〔2014〕22号）等26件区政府规范性文件，自本决定印发之日起不再施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eastAsia="方正仿宋_GBK"/>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40"/>
        <w:textAlignment w:val="auto"/>
        <w:rPr>
          <w:rFonts w:hint="eastAsia" w:eastAsia="方正仿宋_GBK"/>
          <w:szCs w:val="32"/>
        </w:rPr>
      </w:pPr>
      <w:r>
        <w:rPr>
          <w:rFonts w:hint="eastAsia" w:eastAsia="方正仿宋_GBK"/>
          <w:szCs w:val="32"/>
        </w:rPr>
        <w:t>附件：渝北区2016年决定废止部分政府规范性文件目录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rPr>
          <w:rFonts w:hint="eastAsia" w:eastAsia="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777" w:firstLineChars="1493"/>
        <w:textAlignment w:val="auto"/>
        <w:rPr>
          <w:rFonts w:hint="eastAsia" w:eastAsia="方正仿宋_GBK"/>
          <w:szCs w:val="20"/>
        </w:rPr>
      </w:pPr>
      <w:r>
        <w:rPr>
          <w:rFonts w:hint="eastAsia" w:eastAsia="方正仿宋_GBK"/>
          <w:szCs w:val="20"/>
        </w:rPr>
        <w:t>重庆市渝北区人民政府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120" w:firstLineChars="1600"/>
        <w:jc w:val="both"/>
        <w:textAlignment w:val="auto"/>
        <w:rPr>
          <w:rFonts w:hint="eastAsia" w:eastAsia="方正仿宋_GBK"/>
          <w:szCs w:val="20"/>
        </w:rPr>
      </w:pPr>
      <w:r>
        <w:rPr>
          <w:rFonts w:hint="eastAsia" w:eastAsia="方正仿宋_GBK"/>
          <w:szCs w:val="20"/>
        </w:rPr>
        <w:t>2016年6月22日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eastAsia="方正仿宋_GBK"/>
          <w:szCs w:val="32"/>
          <w:lang w:eastAsia="zh-CN"/>
        </w:rPr>
      </w:pPr>
      <w:r>
        <w:rPr>
          <w:rFonts w:hint="eastAsia" w:eastAsia="方正仿宋_GBK"/>
          <w:szCs w:val="32"/>
          <w:lang w:eastAsia="zh-CN"/>
        </w:rPr>
        <w:t>（此件公开发布）</w:t>
      </w: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hint="eastAsia" w:ascii="方正黑体_GBK" w:eastAsia="方正黑体_GBK"/>
          <w:szCs w:val="32"/>
        </w:rPr>
      </w:pPr>
      <w:r>
        <w:rPr>
          <w:rFonts w:hint="eastAsia" w:ascii="方正黑体_GBK" w:eastAsia="方正黑体_GBK"/>
          <w:szCs w:val="32"/>
        </w:rPr>
        <w:t>附件</w:t>
      </w: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hint="eastAsia" w:ascii="方正黑体_GBK"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rPr>
        <w:t>渝北区2016年决定废止部分</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hint="eastAsia" w:ascii="方正黑体_GBK" w:eastAsia="方正黑体_GBK"/>
          <w:szCs w:val="32"/>
        </w:rPr>
      </w:pPr>
      <w:r>
        <w:rPr>
          <w:rFonts w:hint="eastAsia" w:ascii="方正小标宋_GBK" w:eastAsia="方正小标宋_GBK"/>
          <w:sz w:val="44"/>
          <w:szCs w:val="44"/>
        </w:rPr>
        <w:t>政府规范性文件目录</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方正仿宋_GBK" w:eastAsia="方正仿宋_GBK"/>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eastAsia="方正仿宋_GBK"/>
          <w:szCs w:val="32"/>
        </w:rPr>
        <w:t>1．重庆市渝北区人民政府</w:t>
      </w:r>
      <w:r>
        <w:rPr>
          <w:rFonts w:hint="eastAsia" w:ascii="方正仿宋_GBK" w:hAnsi="宋体" w:eastAsia="方正仿宋_GBK" w:cs="宋体"/>
          <w:kern w:val="0"/>
          <w:szCs w:val="32"/>
        </w:rPr>
        <w:t>关于印发渝北区促进征地农转城人员就业创业暂行办法的通知（渝北府发〔2014〕22号）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hAnsi="宋体" w:eastAsia="方正仿宋_GBK" w:cs="宋体"/>
          <w:kern w:val="0"/>
          <w:szCs w:val="32"/>
        </w:rPr>
        <w:t>2．</w:t>
      </w:r>
      <w:r>
        <w:rPr>
          <w:rFonts w:hint="eastAsia" w:ascii="方正仿宋_GBK" w:eastAsia="方正仿宋_GBK"/>
          <w:szCs w:val="32"/>
        </w:rPr>
        <w:t>重庆市渝北区人民政</w:t>
      </w:r>
      <w:bookmarkStart w:id="0" w:name="_GoBack"/>
      <w:bookmarkEnd w:id="0"/>
      <w:r>
        <w:rPr>
          <w:rFonts w:hint="eastAsia" w:ascii="方正仿宋_GBK" w:eastAsia="方正仿宋_GBK"/>
          <w:szCs w:val="32"/>
        </w:rPr>
        <w:t>府</w:t>
      </w:r>
      <w:r>
        <w:rPr>
          <w:rFonts w:hint="eastAsia" w:ascii="方正仿宋_GBK" w:hAnsi="宋体" w:eastAsia="方正仿宋_GBK" w:cs="宋体"/>
          <w:kern w:val="0"/>
          <w:szCs w:val="32"/>
        </w:rPr>
        <w:t>关于调整《渝北区城镇职工基本医疗保险制度实施办法（试行）》和《渝北区国家机关公务员医疗补助暂行规定》部分条款的通知（渝北府发〔2005〕57号）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eastAsia="方正仿宋_GBK"/>
          <w:szCs w:val="32"/>
        </w:rPr>
      </w:pPr>
      <w:r>
        <w:rPr>
          <w:rFonts w:hint="eastAsia" w:ascii="方正仿宋_GBK" w:hAnsi="宋体" w:eastAsia="方正仿宋_GBK" w:cs="宋体"/>
          <w:kern w:val="0"/>
          <w:szCs w:val="32"/>
        </w:rPr>
        <w:t>3．</w:t>
      </w:r>
      <w:r>
        <w:rPr>
          <w:rFonts w:hint="eastAsia" w:ascii="方正仿宋_GBK" w:eastAsia="方正仿宋_GBK"/>
          <w:szCs w:val="32"/>
        </w:rPr>
        <w:t>重庆市渝北区人民政府关于进一步加强城市管理工作的通告（</w:t>
      </w:r>
      <w:r>
        <w:rPr>
          <w:rFonts w:hint="eastAsia" w:ascii="方正仿宋_GBK" w:hAnsi="宋体" w:eastAsia="方正仿宋_GBK" w:cs="宋体"/>
          <w:szCs w:val="32"/>
        </w:rPr>
        <w:t>渝北府发〔2013〕19号</w:t>
      </w:r>
      <w:r>
        <w:rPr>
          <w:rFonts w:hint="eastAsia" w:ascii="方正仿宋_GBK" w:eastAsia="方正仿宋_GBK"/>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eastAsia="方正仿宋_GBK"/>
          <w:szCs w:val="32"/>
        </w:rPr>
        <w:t>4．重庆市渝北区人民政府办公室</w:t>
      </w:r>
      <w:r>
        <w:rPr>
          <w:rFonts w:hint="eastAsia" w:ascii="方正仿宋_GBK" w:hAnsi="宋体" w:eastAsia="方正仿宋_GBK" w:cs="宋体"/>
          <w:kern w:val="0"/>
          <w:szCs w:val="32"/>
        </w:rPr>
        <w:t>关于印发《渝北区数字化城市建设和管理实施办法（试行）》的通知（渝北府办发〔2009〕186号）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hAnsi="宋体" w:eastAsia="方正仿宋_GBK" w:cs="宋体"/>
          <w:kern w:val="0"/>
          <w:szCs w:val="32"/>
        </w:rPr>
        <w:t>5．</w:t>
      </w:r>
      <w:r>
        <w:rPr>
          <w:rFonts w:hint="eastAsia" w:ascii="方正仿宋_GBK" w:eastAsia="方正仿宋_GBK"/>
          <w:szCs w:val="32"/>
        </w:rPr>
        <w:t>重庆市渝北区人民政府办公室</w:t>
      </w:r>
      <w:r>
        <w:rPr>
          <w:rFonts w:hint="eastAsia" w:ascii="方正仿宋_GBK" w:hAnsi="宋体" w:eastAsia="方正仿宋_GBK" w:cs="宋体"/>
          <w:kern w:val="0"/>
          <w:szCs w:val="32"/>
        </w:rPr>
        <w:t>关于印发《渝北区城区市政环卫设施及园林绿地移交接管暂行办法》等文件的通知（渝北府办发〔2012〕77号）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hAnsi="宋体" w:eastAsia="方正仿宋_GBK" w:cs="宋体"/>
          <w:kern w:val="0"/>
          <w:szCs w:val="32"/>
        </w:rPr>
        <w:t>6．</w:t>
      </w:r>
      <w:r>
        <w:rPr>
          <w:rFonts w:hint="eastAsia" w:ascii="方正仿宋_GBK" w:eastAsia="方正仿宋_GBK"/>
          <w:szCs w:val="32"/>
        </w:rPr>
        <w:t>重庆市渝北区人民政府办公室</w:t>
      </w:r>
      <w:r>
        <w:rPr>
          <w:rFonts w:hint="eastAsia" w:ascii="方正仿宋_GBK" w:hAnsi="宋体" w:eastAsia="方正仿宋_GBK" w:cs="宋体"/>
          <w:kern w:val="0"/>
          <w:szCs w:val="32"/>
        </w:rPr>
        <w:t>关于印发渝北区国家免费孕前优生健康检查项目试点工作实施方案的通知（渝北府办〔2010〕发127号）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hAnsi="宋体" w:eastAsia="方正仿宋_GBK" w:cs="宋体"/>
          <w:kern w:val="0"/>
          <w:szCs w:val="32"/>
        </w:rPr>
        <w:t>7．</w:t>
      </w:r>
      <w:r>
        <w:rPr>
          <w:rFonts w:hint="eastAsia" w:ascii="方正仿宋_GBK" w:eastAsia="方正仿宋_GBK"/>
          <w:szCs w:val="32"/>
        </w:rPr>
        <w:t>重庆市渝北区人民政府办公室</w:t>
      </w:r>
      <w:r>
        <w:rPr>
          <w:rFonts w:hint="eastAsia" w:ascii="方正仿宋_GBK" w:hAnsi="宋体" w:eastAsia="方正仿宋_GBK" w:cs="宋体"/>
          <w:kern w:val="0"/>
          <w:szCs w:val="32"/>
        </w:rPr>
        <w:t>关于印发重庆市渝北区商贸流通企业20强综合考核评选办法（试行）的通知（渝北府办发〔2006〕22号）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hAnsi="宋体" w:eastAsia="方正仿宋_GBK" w:cs="宋体"/>
          <w:kern w:val="0"/>
          <w:szCs w:val="32"/>
        </w:rPr>
        <w:t>8．</w:t>
      </w:r>
      <w:r>
        <w:rPr>
          <w:rFonts w:hint="eastAsia" w:ascii="方正仿宋_GBK" w:eastAsia="方正仿宋_GBK"/>
          <w:szCs w:val="32"/>
        </w:rPr>
        <w:t>重庆市渝北区人民政府</w:t>
      </w:r>
      <w:r>
        <w:rPr>
          <w:rFonts w:hint="eastAsia" w:ascii="方正仿宋_GBK" w:hAnsi="宋体" w:eastAsia="方正仿宋_GBK" w:cs="宋体"/>
          <w:kern w:val="0"/>
          <w:szCs w:val="32"/>
        </w:rPr>
        <w:t>关于印发《渝北区农家乐管理试行办法》的通知（渝北府发〔2003〕50号）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hAnsi="宋体" w:eastAsia="方正仿宋_GBK" w:cs="宋体"/>
          <w:kern w:val="0"/>
          <w:szCs w:val="32"/>
        </w:rPr>
        <w:t>9．</w:t>
      </w:r>
      <w:r>
        <w:rPr>
          <w:rFonts w:hint="eastAsia" w:ascii="方正仿宋_GBK" w:eastAsia="方正仿宋_GBK"/>
          <w:szCs w:val="32"/>
        </w:rPr>
        <w:t>重庆市渝北区人民政府</w:t>
      </w:r>
      <w:r>
        <w:rPr>
          <w:rFonts w:hint="eastAsia" w:ascii="方正仿宋_GBK" w:hAnsi="宋体" w:eastAsia="方正仿宋_GBK" w:cs="宋体"/>
          <w:kern w:val="0"/>
          <w:szCs w:val="32"/>
        </w:rPr>
        <w:t>关于大力发展微型企业的实施意见（渝北府发〔2010〕59号）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hAnsi="宋体" w:eastAsia="方正仿宋_GBK" w:cs="宋体"/>
          <w:kern w:val="0"/>
          <w:szCs w:val="32"/>
        </w:rPr>
        <w:t>10．</w:t>
      </w:r>
      <w:r>
        <w:rPr>
          <w:rFonts w:hint="eastAsia" w:ascii="方正仿宋_GBK" w:eastAsia="方正仿宋_GBK"/>
          <w:szCs w:val="32"/>
        </w:rPr>
        <w:t>重庆市渝北区人民政府办公室</w:t>
      </w:r>
      <w:r>
        <w:rPr>
          <w:rFonts w:hint="eastAsia" w:ascii="方正仿宋_GBK" w:hAnsi="宋体" w:eastAsia="方正仿宋_GBK" w:cs="宋体"/>
          <w:kern w:val="0"/>
          <w:szCs w:val="32"/>
        </w:rPr>
        <w:t>关于印发《重庆市渝北区城乡困难群众临时救助办法（暂行）》的通知（渝北府办发〔2010〕11号）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华文中宋" w:eastAsia="方正仿宋_GBK"/>
          <w:szCs w:val="32"/>
        </w:rPr>
      </w:pPr>
      <w:r>
        <w:rPr>
          <w:rFonts w:hint="eastAsia" w:ascii="方正仿宋_GBK" w:hAnsi="宋体" w:eastAsia="方正仿宋_GBK" w:cs="宋体"/>
          <w:kern w:val="0"/>
          <w:szCs w:val="32"/>
        </w:rPr>
        <w:t>11．</w:t>
      </w:r>
      <w:r>
        <w:rPr>
          <w:rFonts w:hint="eastAsia" w:ascii="方正仿宋_GBK" w:eastAsia="方正仿宋_GBK"/>
          <w:szCs w:val="32"/>
        </w:rPr>
        <w:t>重庆市渝北区人民政府</w:t>
      </w:r>
      <w:r>
        <w:rPr>
          <w:rFonts w:hint="eastAsia" w:ascii="方正仿宋_GBK" w:hAnsi="华文中宋" w:eastAsia="方正仿宋_GBK"/>
          <w:szCs w:val="32"/>
        </w:rPr>
        <w:t>关于进一步完善城乡医疗救助制度的意见（渝北府发〔2012〕67号）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hAnsi="华文中宋" w:eastAsia="方正仿宋_GBK"/>
          <w:szCs w:val="32"/>
        </w:rPr>
        <w:t>12．</w:t>
      </w:r>
      <w:r>
        <w:rPr>
          <w:rFonts w:hint="eastAsia" w:ascii="方正仿宋_GBK" w:eastAsia="方正仿宋_GBK"/>
          <w:szCs w:val="32"/>
        </w:rPr>
        <w:t>重庆市渝北区人民政府办公室</w:t>
      </w:r>
      <w:r>
        <w:rPr>
          <w:rFonts w:hint="eastAsia" w:ascii="方正仿宋_GBK" w:hAnsi="宋体" w:eastAsia="方正仿宋_GBK" w:cs="宋体"/>
          <w:kern w:val="0"/>
          <w:szCs w:val="32"/>
        </w:rPr>
        <w:t>关于大力发展家庭农场的通知（渝北府办〔2013〕65号）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hAnsi="宋体" w:eastAsia="方正仿宋_GBK" w:cs="宋体"/>
          <w:kern w:val="0"/>
          <w:szCs w:val="32"/>
        </w:rPr>
        <w:t>13．</w:t>
      </w:r>
      <w:r>
        <w:rPr>
          <w:rFonts w:hint="eastAsia" w:ascii="方正仿宋_GBK" w:eastAsia="方正仿宋_GBK"/>
          <w:szCs w:val="32"/>
        </w:rPr>
        <w:t>重庆市渝北区人民政府办公室</w:t>
      </w:r>
      <w:r>
        <w:rPr>
          <w:rFonts w:hint="eastAsia" w:ascii="方正仿宋_GBK" w:hAnsi="宋体" w:eastAsia="方正仿宋_GBK" w:cs="宋体"/>
          <w:kern w:val="0"/>
          <w:szCs w:val="32"/>
        </w:rPr>
        <w:t>关于印发重庆市渝北区重点培育企业改制上市财政奖励暂行办法的通知（渝北府办发〔2014〕61号）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eastAsia="方正仿宋_GBK"/>
          <w:szCs w:val="32"/>
        </w:rPr>
      </w:pPr>
      <w:r>
        <w:rPr>
          <w:rFonts w:hint="eastAsia" w:ascii="方正仿宋_GBK" w:hAnsi="宋体" w:eastAsia="方正仿宋_GBK" w:cs="宋体"/>
          <w:kern w:val="0"/>
          <w:szCs w:val="32"/>
        </w:rPr>
        <w:t>14．</w:t>
      </w:r>
      <w:r>
        <w:rPr>
          <w:rFonts w:hint="eastAsia" w:ascii="方正仿宋_GBK" w:eastAsia="方正仿宋_GBK"/>
          <w:szCs w:val="32"/>
        </w:rPr>
        <w:t>重庆市渝北区人民政府关于加快推进企业改制上市工作的通知（</w:t>
      </w:r>
      <w:r>
        <w:rPr>
          <w:rFonts w:hint="eastAsia" w:ascii="方正仿宋_GBK" w:hAnsi="宋体" w:eastAsia="方正仿宋_GBK" w:cs="宋体"/>
          <w:szCs w:val="32"/>
        </w:rPr>
        <w:t>渝北府发〔2011〕47号</w:t>
      </w:r>
      <w:r>
        <w:rPr>
          <w:rFonts w:hint="eastAsia" w:ascii="方正仿宋_GBK" w:eastAsia="方正仿宋_GBK"/>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eastAsia="方正仿宋_GBK"/>
          <w:szCs w:val="32"/>
        </w:rPr>
        <w:t>15．重庆市渝北区人民政府办公室</w:t>
      </w:r>
      <w:r>
        <w:rPr>
          <w:rFonts w:hint="eastAsia" w:ascii="方正仿宋_GBK" w:hAnsi="宋体" w:eastAsia="方正仿宋_GBK" w:cs="宋体"/>
          <w:kern w:val="0"/>
          <w:szCs w:val="32"/>
        </w:rPr>
        <w:t>关于进一步规范各镇城市建设配套费征收管理的通知（渝北府办发〔2010〕118号）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eastAsia="方正仿宋_GBK"/>
          <w:szCs w:val="32"/>
        </w:rPr>
      </w:pPr>
      <w:r>
        <w:rPr>
          <w:rFonts w:hint="eastAsia" w:ascii="方正仿宋_GBK" w:hAnsi="宋体" w:eastAsia="方正仿宋_GBK" w:cs="宋体"/>
          <w:kern w:val="0"/>
          <w:szCs w:val="32"/>
        </w:rPr>
        <w:t>16．</w:t>
      </w:r>
      <w:r>
        <w:rPr>
          <w:rFonts w:hint="eastAsia" w:ascii="方正仿宋_GBK" w:eastAsia="方正仿宋_GBK"/>
          <w:szCs w:val="32"/>
        </w:rPr>
        <w:t>重庆市渝北区人民政府办公室关于印发重庆市渝北区政府性投资城乡基础设施建设项目两段式业主管理暂行办法及前期工作移交办法的通知（</w:t>
      </w:r>
      <w:r>
        <w:rPr>
          <w:rFonts w:hint="eastAsia" w:ascii="方正仿宋_GBK" w:hAnsi="宋体" w:eastAsia="方正仿宋_GBK" w:cs="宋体"/>
          <w:szCs w:val="32"/>
        </w:rPr>
        <w:t>渝北府办发〔2013〕103号</w:t>
      </w:r>
      <w:r>
        <w:rPr>
          <w:rFonts w:hint="eastAsia" w:ascii="方正仿宋_GBK" w:eastAsia="方正仿宋_GBK"/>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eastAsia="方正仿宋_GBK"/>
          <w:szCs w:val="32"/>
        </w:rPr>
      </w:pPr>
      <w:r>
        <w:rPr>
          <w:rFonts w:hint="eastAsia" w:ascii="方正仿宋_GBK" w:eastAsia="方正仿宋_GBK"/>
          <w:szCs w:val="32"/>
        </w:rPr>
        <w:t>17．重庆市渝北区人民政府办公室关于印发《市级切块渝北区民营经济发展专项资金安排意见》和《市级切块渝北区民营经济发展专项资金项目管理实施细则》的通知（</w:t>
      </w:r>
      <w:r>
        <w:rPr>
          <w:rFonts w:hint="eastAsia" w:ascii="方正仿宋_GBK" w:hAnsi="宋体" w:eastAsia="方正仿宋_GBK" w:cs="宋体"/>
          <w:szCs w:val="32"/>
        </w:rPr>
        <w:t>渝北府办发〔2012〕58号</w:t>
      </w:r>
      <w:r>
        <w:rPr>
          <w:rFonts w:hint="eastAsia" w:ascii="方正仿宋_GBK" w:eastAsia="方正仿宋_GBK"/>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eastAsia="方正仿宋_GBK"/>
          <w:szCs w:val="32"/>
        </w:rPr>
      </w:pPr>
      <w:r>
        <w:rPr>
          <w:rFonts w:hint="eastAsia" w:ascii="方正仿宋_GBK" w:eastAsia="方正仿宋_GBK"/>
          <w:szCs w:val="32"/>
        </w:rPr>
        <w:t>18．重庆市渝北区人民政府办公室关于印发重庆市渝北区农村信息化工作管理暂行办法的通知（</w:t>
      </w:r>
      <w:r>
        <w:rPr>
          <w:rFonts w:hint="eastAsia" w:ascii="方正仿宋_GBK" w:hAnsi="宋体" w:eastAsia="方正仿宋_GBK" w:cs="宋体"/>
          <w:szCs w:val="32"/>
        </w:rPr>
        <w:t>渝北府办〔2007〕16号</w:t>
      </w:r>
      <w:r>
        <w:rPr>
          <w:rFonts w:hint="eastAsia" w:ascii="方正仿宋_GBK" w:eastAsia="方正仿宋_GBK"/>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eastAsia="方正仿宋_GBK"/>
          <w:szCs w:val="32"/>
        </w:rPr>
      </w:pPr>
      <w:r>
        <w:rPr>
          <w:rFonts w:hint="eastAsia" w:ascii="方正仿宋_GBK" w:eastAsia="方正仿宋_GBK"/>
          <w:szCs w:val="32"/>
        </w:rPr>
        <w:t>19．重庆市渝北区人民政府关于实行森林防火戒严的通告（</w:t>
      </w:r>
      <w:r>
        <w:rPr>
          <w:rFonts w:hint="eastAsia" w:ascii="方正仿宋_GBK" w:hAnsi="宋体" w:eastAsia="方正仿宋_GBK" w:cs="宋体"/>
          <w:szCs w:val="32"/>
        </w:rPr>
        <w:t>渝北府发〔2012〕53号</w:t>
      </w:r>
      <w:r>
        <w:rPr>
          <w:rFonts w:hint="eastAsia" w:ascii="方正仿宋_GBK" w:eastAsia="方正仿宋_GBK"/>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eastAsia="方正仿宋_GBK"/>
          <w:szCs w:val="32"/>
        </w:rPr>
      </w:pPr>
      <w:r>
        <w:rPr>
          <w:rFonts w:hint="eastAsia" w:ascii="方正仿宋_GBK" w:eastAsia="方正仿宋_GBK"/>
          <w:szCs w:val="32"/>
        </w:rPr>
        <w:t>20．重庆市渝北区人民政府关于林区严禁违章用火的通告（</w:t>
      </w:r>
      <w:r>
        <w:rPr>
          <w:rFonts w:hint="eastAsia" w:ascii="方正仿宋_GBK" w:hAnsi="仿宋_GB2312" w:eastAsia="方正仿宋_GBK"/>
          <w:szCs w:val="32"/>
        </w:rPr>
        <w:t>渝北府发〔2012〕11号</w:t>
      </w:r>
      <w:r>
        <w:rPr>
          <w:rFonts w:hint="eastAsia" w:ascii="方正仿宋_GBK" w:eastAsia="方正仿宋_GBK"/>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spacing w:val="-4"/>
          <w:kern w:val="0"/>
          <w:szCs w:val="32"/>
        </w:rPr>
      </w:pPr>
      <w:r>
        <w:rPr>
          <w:rFonts w:hint="eastAsia" w:ascii="方正仿宋_GBK" w:eastAsia="方正仿宋_GBK"/>
          <w:szCs w:val="32"/>
        </w:rPr>
        <w:t>21．重</w:t>
      </w:r>
      <w:r>
        <w:rPr>
          <w:rFonts w:hint="eastAsia" w:ascii="方正仿宋_GBK" w:eastAsia="方正仿宋_GBK"/>
          <w:spacing w:val="-4"/>
          <w:szCs w:val="32"/>
        </w:rPr>
        <w:t>庆市渝北区人民政府</w:t>
      </w:r>
      <w:r>
        <w:rPr>
          <w:rFonts w:hint="eastAsia" w:ascii="方正仿宋_GBK" w:hAnsi="宋体" w:eastAsia="方正仿宋_GBK" w:cs="宋体"/>
          <w:spacing w:val="-4"/>
          <w:kern w:val="0"/>
          <w:szCs w:val="32"/>
        </w:rPr>
        <w:t>关于印发《渝北区三峡库区地质</w:t>
      </w:r>
      <w:r>
        <w:rPr>
          <w:rFonts w:hint="eastAsia" w:ascii="方正仿宋_GBK" w:hAnsi="宋体" w:eastAsia="方正仿宋_GBK" w:cs="宋体"/>
          <w:spacing w:val="-11"/>
          <w:kern w:val="0"/>
          <w:szCs w:val="32"/>
        </w:rPr>
        <w:t>灾害治理工程维护管理暂行办法》的通知（渝北府发〔2004〕121号）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eastAsia="方正仿宋_GBK"/>
          <w:szCs w:val="32"/>
        </w:rPr>
      </w:pPr>
      <w:r>
        <w:rPr>
          <w:rFonts w:hint="eastAsia" w:ascii="方正仿宋_GBK" w:hAnsi="宋体" w:eastAsia="方正仿宋_GBK" w:cs="宋体"/>
          <w:kern w:val="0"/>
          <w:szCs w:val="32"/>
        </w:rPr>
        <w:t>22．</w:t>
      </w:r>
      <w:r>
        <w:rPr>
          <w:rFonts w:hint="eastAsia" w:ascii="方正仿宋_GBK" w:eastAsia="方正仿宋_GBK"/>
          <w:szCs w:val="32"/>
        </w:rPr>
        <w:t>重庆市渝北区人民政府关于加强城区湖库保护的通告（</w:t>
      </w:r>
      <w:r>
        <w:rPr>
          <w:rFonts w:hint="eastAsia" w:ascii="方正仿宋_GBK" w:hAnsi="宋体" w:eastAsia="方正仿宋_GBK" w:cs="宋体"/>
          <w:szCs w:val="32"/>
        </w:rPr>
        <w:t>渝北府发〔2011〕54号</w:t>
      </w:r>
      <w:r>
        <w:rPr>
          <w:rFonts w:hint="eastAsia" w:ascii="方正仿宋_GBK" w:eastAsia="方正仿宋_GBK"/>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eastAsia="方正仿宋_GBK"/>
          <w:szCs w:val="32"/>
        </w:rPr>
      </w:pPr>
      <w:r>
        <w:rPr>
          <w:rFonts w:hint="eastAsia" w:ascii="方正仿宋_GBK" w:eastAsia="方正仿宋_GBK"/>
          <w:szCs w:val="32"/>
        </w:rPr>
        <w:t>23．重庆市渝北区人民政府办公室关于印发重庆市渝北区产业引导股权投资基金管理暂行办法的通知（</w:t>
      </w:r>
      <w:r>
        <w:rPr>
          <w:rFonts w:hint="eastAsia" w:ascii="方正仿宋_GBK" w:hAnsi="宋体" w:eastAsia="方正仿宋_GBK" w:cs="宋体"/>
          <w:szCs w:val="32"/>
        </w:rPr>
        <w:t>渝北府办发〔2014〕51号</w:t>
      </w:r>
      <w:r>
        <w:rPr>
          <w:rFonts w:hint="eastAsia" w:ascii="方正仿宋_GBK" w:eastAsia="方正仿宋_GBK"/>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宋体" w:eastAsia="方正仿宋_GBK" w:cs="宋体"/>
          <w:kern w:val="0"/>
          <w:szCs w:val="32"/>
        </w:rPr>
      </w:pPr>
      <w:r>
        <w:rPr>
          <w:rFonts w:hint="eastAsia" w:ascii="方正仿宋_GBK" w:eastAsia="方正仿宋_GBK"/>
          <w:szCs w:val="32"/>
        </w:rPr>
        <w:t>24．重庆市渝北区人民政府办公室</w:t>
      </w:r>
      <w:r>
        <w:rPr>
          <w:rFonts w:hint="eastAsia" w:ascii="方正仿宋_GBK" w:hAnsi="宋体" w:eastAsia="方正仿宋_GBK" w:cs="宋体"/>
          <w:kern w:val="0"/>
          <w:szCs w:val="32"/>
        </w:rPr>
        <w:t>关于印发渝北区物业服务星级挂牌管理考核暂行办法的通知（渝北府办发〔2010〕54号）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eastAsia="方正仿宋_GBK"/>
          <w:szCs w:val="32"/>
        </w:rPr>
      </w:pPr>
      <w:r>
        <w:rPr>
          <w:rFonts w:hint="eastAsia" w:ascii="方正仿宋_GBK" w:hAnsi="宋体" w:eastAsia="方正仿宋_GBK" w:cs="宋体"/>
          <w:kern w:val="0"/>
          <w:szCs w:val="32"/>
        </w:rPr>
        <w:t>25．</w:t>
      </w:r>
      <w:r>
        <w:rPr>
          <w:rFonts w:hint="eastAsia" w:ascii="方正仿宋_GBK" w:eastAsia="方正仿宋_GBK"/>
          <w:szCs w:val="32"/>
        </w:rPr>
        <w:t>重庆市渝北区人民政府关于加强悦来饮用水源保护的通告（</w:t>
      </w:r>
      <w:r>
        <w:rPr>
          <w:rFonts w:hint="eastAsia" w:ascii="方正仿宋_GBK" w:hAnsi="宋体" w:eastAsia="方正仿宋_GBK" w:cs="宋体"/>
          <w:szCs w:val="32"/>
        </w:rPr>
        <w:t>渝北府发〔2012〕39号</w:t>
      </w:r>
      <w:r>
        <w:rPr>
          <w:rFonts w:hint="eastAsia" w:ascii="方正仿宋_GBK" w:eastAsia="方正仿宋_GBK"/>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hint="eastAsia" w:ascii="方正仿宋_GBK" w:eastAsia="方正仿宋_GBK"/>
          <w:szCs w:val="32"/>
        </w:rPr>
        <w:t>26．重庆市渝北区人民政府办公室</w:t>
      </w:r>
      <w:r>
        <w:rPr>
          <w:rFonts w:hint="eastAsia" w:ascii="方正仿宋_GBK" w:hAnsi="宋体" w:eastAsia="方正仿宋_GBK" w:cs="宋体"/>
          <w:color w:val="000000"/>
          <w:kern w:val="0"/>
          <w:szCs w:val="32"/>
        </w:rPr>
        <w:t>关于印发渝北区政府公益性项目代建代管制暂行办法的通知</w:t>
      </w:r>
      <w:r>
        <w:rPr>
          <w:rFonts w:hint="eastAsia" w:ascii="方正仿宋_GBK" w:eastAsia="方正仿宋_GBK"/>
          <w:szCs w:val="32"/>
        </w:rPr>
        <w:t>（</w:t>
      </w:r>
      <w:r>
        <w:rPr>
          <w:rFonts w:hint="eastAsia" w:ascii="方正仿宋_GBK" w:hAnsi="方正仿宋_GBK" w:eastAsia="方正仿宋_GBK" w:cs="宋体"/>
          <w:szCs w:val="32"/>
        </w:rPr>
        <w:t>渝北府办发〔2012〕51号</w:t>
      </w:r>
      <w:r>
        <w:rPr>
          <w:rFonts w:hint="eastAsia" w:ascii="方正仿宋_GBK" w:eastAsia="方正仿宋_GBK"/>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NYhz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33E8"/>
    <w:rsid w:val="019E71BD"/>
    <w:rsid w:val="0301043E"/>
    <w:rsid w:val="041C42DA"/>
    <w:rsid w:val="04B679C3"/>
    <w:rsid w:val="05F07036"/>
    <w:rsid w:val="06E00104"/>
    <w:rsid w:val="080F63D8"/>
    <w:rsid w:val="09341458"/>
    <w:rsid w:val="098254C2"/>
    <w:rsid w:val="09C90566"/>
    <w:rsid w:val="0A594307"/>
    <w:rsid w:val="0A766EDE"/>
    <w:rsid w:val="0AD30AE3"/>
    <w:rsid w:val="0AD64BE8"/>
    <w:rsid w:val="0B0912D7"/>
    <w:rsid w:val="0E025194"/>
    <w:rsid w:val="0ECD1CF3"/>
    <w:rsid w:val="0F224ABA"/>
    <w:rsid w:val="10121A17"/>
    <w:rsid w:val="14D92B5A"/>
    <w:rsid w:val="152D2DCA"/>
    <w:rsid w:val="157919E1"/>
    <w:rsid w:val="1780403B"/>
    <w:rsid w:val="187168EA"/>
    <w:rsid w:val="196673CA"/>
    <w:rsid w:val="1A353B94"/>
    <w:rsid w:val="1B2F4AEE"/>
    <w:rsid w:val="1B320034"/>
    <w:rsid w:val="1B5A1181"/>
    <w:rsid w:val="1B832AA0"/>
    <w:rsid w:val="1BE2064A"/>
    <w:rsid w:val="1CE86523"/>
    <w:rsid w:val="1CF734C9"/>
    <w:rsid w:val="1DEC284C"/>
    <w:rsid w:val="1E6523AC"/>
    <w:rsid w:val="1E8A086D"/>
    <w:rsid w:val="21481263"/>
    <w:rsid w:val="22440422"/>
    <w:rsid w:val="22BB4BBB"/>
    <w:rsid w:val="25D13BB1"/>
    <w:rsid w:val="262B0CB6"/>
    <w:rsid w:val="26460E91"/>
    <w:rsid w:val="27A2250B"/>
    <w:rsid w:val="2AEB3417"/>
    <w:rsid w:val="2BE95D78"/>
    <w:rsid w:val="2D510D0F"/>
    <w:rsid w:val="2DE51B33"/>
    <w:rsid w:val="2E026A3D"/>
    <w:rsid w:val="2E830A37"/>
    <w:rsid w:val="2EF95F6F"/>
    <w:rsid w:val="2FD853FE"/>
    <w:rsid w:val="3141759C"/>
    <w:rsid w:val="31A15F24"/>
    <w:rsid w:val="324A1681"/>
    <w:rsid w:val="329F7054"/>
    <w:rsid w:val="32D26729"/>
    <w:rsid w:val="32D73B4D"/>
    <w:rsid w:val="334A21BA"/>
    <w:rsid w:val="3411228C"/>
    <w:rsid w:val="35003FDB"/>
    <w:rsid w:val="36FB1DF0"/>
    <w:rsid w:val="382821AA"/>
    <w:rsid w:val="395347B5"/>
    <w:rsid w:val="39A232A0"/>
    <w:rsid w:val="39AD66A7"/>
    <w:rsid w:val="39E745AA"/>
    <w:rsid w:val="3B5A6BBB"/>
    <w:rsid w:val="3CA968D6"/>
    <w:rsid w:val="3CB34A32"/>
    <w:rsid w:val="3DC30C62"/>
    <w:rsid w:val="3EDA13A6"/>
    <w:rsid w:val="3F040113"/>
    <w:rsid w:val="417B75E9"/>
    <w:rsid w:val="42F058B7"/>
    <w:rsid w:val="43274036"/>
    <w:rsid w:val="436109F6"/>
    <w:rsid w:val="438C1ACD"/>
    <w:rsid w:val="43E90B44"/>
    <w:rsid w:val="441A38D4"/>
    <w:rsid w:val="4504239D"/>
    <w:rsid w:val="454E7E49"/>
    <w:rsid w:val="4BC77339"/>
    <w:rsid w:val="4C9236C5"/>
    <w:rsid w:val="4DCC1305"/>
    <w:rsid w:val="4E250A85"/>
    <w:rsid w:val="4F0A0BC8"/>
    <w:rsid w:val="4F2F062F"/>
    <w:rsid w:val="4FFD4925"/>
    <w:rsid w:val="505C172E"/>
    <w:rsid w:val="506405EA"/>
    <w:rsid w:val="520C5A78"/>
    <w:rsid w:val="52293560"/>
    <w:rsid w:val="5241038F"/>
    <w:rsid w:val="52F46F0B"/>
    <w:rsid w:val="532B6A10"/>
    <w:rsid w:val="53BA2740"/>
    <w:rsid w:val="53D8014D"/>
    <w:rsid w:val="54942582"/>
    <w:rsid w:val="55E064E0"/>
    <w:rsid w:val="572C6D10"/>
    <w:rsid w:val="5DC34279"/>
    <w:rsid w:val="5FCD688E"/>
    <w:rsid w:val="5FF9BDAA"/>
    <w:rsid w:val="608816D1"/>
    <w:rsid w:val="60EF4E7F"/>
    <w:rsid w:val="617162E9"/>
    <w:rsid w:val="61C85F92"/>
    <w:rsid w:val="61EA1DE9"/>
    <w:rsid w:val="63234148"/>
    <w:rsid w:val="648B0A32"/>
    <w:rsid w:val="665233C1"/>
    <w:rsid w:val="6805112F"/>
    <w:rsid w:val="69AC0D42"/>
    <w:rsid w:val="6AD9688B"/>
    <w:rsid w:val="6B7E5F3B"/>
    <w:rsid w:val="6CB53FA2"/>
    <w:rsid w:val="6CE716C4"/>
    <w:rsid w:val="6D0E3F22"/>
    <w:rsid w:val="70E36781"/>
    <w:rsid w:val="720F7C58"/>
    <w:rsid w:val="722C05DA"/>
    <w:rsid w:val="744E4660"/>
    <w:rsid w:val="74A23389"/>
    <w:rsid w:val="75142D94"/>
    <w:rsid w:val="753355A2"/>
    <w:rsid w:val="759F1C61"/>
    <w:rsid w:val="769F2DE8"/>
    <w:rsid w:val="76F75D84"/>
    <w:rsid w:val="76FDEB7C"/>
    <w:rsid w:val="789E760C"/>
    <w:rsid w:val="792C7287"/>
    <w:rsid w:val="79C65162"/>
    <w:rsid w:val="7A630D80"/>
    <w:rsid w:val="7C9011D9"/>
    <w:rsid w:val="7D5A581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2023-11-01T03:13:47Z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