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hAnsi="方正小标宋_GBK" w:eastAsia="方正小标宋_GBK"/>
          <w:sz w:val="44"/>
          <w:szCs w:val="20"/>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int="eastAsia" w:hAnsi="方正小标宋_GBK" w:eastAsia="方正小标宋_GBK"/>
          <w:sz w:val="44"/>
          <w:szCs w:val="20"/>
        </w:rPr>
      </w:pP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Ansi="方正小标宋_GBK" w:eastAsia="方正小标宋_GBK"/>
          <w:sz w:val="44"/>
          <w:szCs w:val="20"/>
        </w:rPr>
      </w:pPr>
      <w:r>
        <w:rPr>
          <w:rFonts w:hint="eastAsia" w:hAnsi="方正小标宋_GBK" w:eastAsia="方正小标宋_GBK"/>
          <w:sz w:val="44"/>
          <w:szCs w:val="20"/>
        </w:rPr>
        <w:t>重庆市渝北区人民政府</w:t>
      </w:r>
      <w:r>
        <w:rPr>
          <w:rFonts w:hAnsi="方正小标宋_GBK" w:eastAsia="方正小标宋_GBK"/>
          <w:sz w:val="44"/>
          <w:szCs w:val="20"/>
        </w:rPr>
        <w:t>关于</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hAnsi="方正小标宋_GBK" w:eastAsia="方正小标宋_GBK"/>
          <w:sz w:val="44"/>
          <w:szCs w:val="20"/>
        </w:rPr>
      </w:pPr>
      <w:r>
        <w:rPr>
          <w:rFonts w:hAnsi="方正小标宋_GBK" w:eastAsia="方正小标宋_GBK"/>
          <w:sz w:val="44"/>
          <w:szCs w:val="20"/>
        </w:rPr>
        <w:t>废止和继续施行一批政府规范性文件的决定</w:t>
      </w:r>
    </w:p>
    <w:p>
      <w:pPr>
        <w:keepNext w:val="0"/>
        <w:keepLines w:val="0"/>
        <w:pageBreakBefore w:val="0"/>
        <w:widowControl w:val="0"/>
        <w:kinsoku/>
        <w:wordWrap/>
        <w:overflowPunct/>
        <w:topLinePunct w:val="0"/>
        <w:autoSpaceDE/>
        <w:autoSpaceDN/>
        <w:bidi w:val="0"/>
        <w:adjustRightInd/>
        <w:snapToGrid/>
        <w:spacing w:line="540" w:lineRule="exact"/>
        <w:ind w:right="0" w:rightChars="0"/>
        <w:jc w:val="center"/>
        <w:textAlignment w:val="auto"/>
        <w:rPr>
          <w:rFonts w:eastAsia="方正仿宋_GBK"/>
          <w:szCs w:val="20"/>
        </w:rPr>
      </w:pPr>
      <w:r>
        <w:rPr>
          <w:rFonts w:eastAsia="方正仿宋_GBK"/>
          <w:szCs w:val="20"/>
        </w:rPr>
        <w:t>渝北府发〔2017〕</w:t>
      </w:r>
      <w:r>
        <w:rPr>
          <w:rFonts w:hint="eastAsia" w:eastAsia="方正仿宋_GBK"/>
          <w:szCs w:val="20"/>
        </w:rPr>
        <w:t>36</w:t>
      </w:r>
      <w:r>
        <w:rPr>
          <w:rFonts w:eastAsia="方正仿宋_GBK"/>
          <w:szCs w:val="20"/>
        </w:rPr>
        <w:t>号</w:t>
      </w:r>
    </w:p>
    <w:p>
      <w:pPr>
        <w:keepNext w:val="0"/>
        <w:keepLines w:val="0"/>
        <w:pageBreakBefore w:val="0"/>
        <w:widowControl w:val="0"/>
        <w:kinsoku/>
        <w:wordWrap/>
        <w:overflowPunct/>
        <w:topLinePunct w:val="0"/>
        <w:autoSpaceDE/>
        <w:autoSpaceDN/>
        <w:bidi w:val="0"/>
        <w:adjustRightInd/>
        <w:snapToGrid/>
        <w:spacing w:line="600" w:lineRule="exact"/>
        <w:ind w:right="0" w:rightChars="0"/>
        <w:jc w:val="center"/>
        <w:textAlignment w:val="auto"/>
        <w:rPr>
          <w:rFonts w:eastAsia="方正仿宋_GBK"/>
          <w:szCs w:val="20"/>
        </w:rPr>
      </w:pP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eastAsia="方正仿宋_GBK"/>
          <w:szCs w:val="20"/>
        </w:rPr>
      </w:pPr>
      <w:r>
        <w:rPr>
          <w:rFonts w:eastAsia="方正仿宋_GBK"/>
          <w:szCs w:val="20"/>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为深入推进依法行政，加快法治政府建设，根据《重庆市行政规范性文件管理办法》（重庆市人民政府令第290号）有关规定，经</w:t>
      </w:r>
      <w:r>
        <w:rPr>
          <w:rFonts w:hint="eastAsia" w:eastAsia="方正仿宋_GBK"/>
          <w:szCs w:val="20"/>
        </w:rPr>
        <w:t>2017</w:t>
      </w:r>
      <w:r>
        <w:rPr>
          <w:rFonts w:eastAsia="方正仿宋_GBK"/>
          <w:szCs w:val="20"/>
        </w:rPr>
        <w:t>年</w:t>
      </w:r>
      <w:r>
        <w:rPr>
          <w:rFonts w:hint="eastAsia" w:eastAsia="方正仿宋_GBK"/>
          <w:szCs w:val="20"/>
        </w:rPr>
        <w:t>7</w:t>
      </w:r>
      <w:r>
        <w:rPr>
          <w:rFonts w:eastAsia="方正仿宋_GBK"/>
          <w:szCs w:val="20"/>
        </w:rPr>
        <w:t>月</w:t>
      </w:r>
      <w:r>
        <w:rPr>
          <w:rFonts w:hint="eastAsia" w:eastAsia="方正仿宋_GBK"/>
          <w:szCs w:val="20"/>
        </w:rPr>
        <w:t>28</w:t>
      </w:r>
      <w:r>
        <w:rPr>
          <w:rFonts w:eastAsia="方正仿宋_GBK"/>
          <w:szCs w:val="20"/>
        </w:rPr>
        <w:t>日区政府第</w:t>
      </w:r>
      <w:r>
        <w:rPr>
          <w:rFonts w:hint="eastAsia" w:eastAsia="方正仿宋_GBK"/>
          <w:szCs w:val="20"/>
        </w:rPr>
        <w:t>14</w:t>
      </w:r>
      <w:r>
        <w:rPr>
          <w:rFonts w:eastAsia="方正仿宋_GBK"/>
          <w:szCs w:val="20"/>
        </w:rPr>
        <w:t>次常务会审定，对《重庆市渝北区人民政府办公室关于印发渝北区政府投资项目审计监督试行办法的通知》（渝北府办发〔2010〕69号）等18件区政府规范性文件予以废止，自本决定印发之日起不再施行；《重庆市渝北区人民政府办公室关于印发〈重庆市渝北区城区湖库管护办法〉的通知》（渝北府办〔2012〕36号）文件继续施行，有效期自该规范性文件原有效期到期之日次日起重新起算。</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附件：1. 废止的政府规范性文件目录</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1590" w:firstLineChars="497"/>
        <w:textAlignment w:val="auto"/>
        <w:rPr>
          <w:rFonts w:eastAsia="方正仿宋_GBK"/>
          <w:szCs w:val="20"/>
        </w:rPr>
      </w:pPr>
      <w:r>
        <w:rPr>
          <w:rFonts w:eastAsia="方正仿宋_GBK"/>
          <w:szCs w:val="20"/>
        </w:rPr>
        <w:t>2. 有效期届满继续施行的政府规范性文件目录</w:t>
      </w:r>
    </w:p>
    <w:p>
      <w:pPr>
        <w:keepNext w:val="0"/>
        <w:keepLines w:val="0"/>
        <w:pageBreakBefore w:val="0"/>
        <w:widowControl w:val="0"/>
        <w:kinsoku/>
        <w:wordWrap/>
        <w:overflowPunct/>
        <w:topLinePunct w:val="0"/>
        <w:autoSpaceDE/>
        <w:autoSpaceDN/>
        <w:bidi w:val="0"/>
        <w:adjustRightInd/>
        <w:snapToGrid/>
        <w:spacing w:line="600" w:lineRule="exact"/>
        <w:ind w:right="0" w:rightChars="0"/>
        <w:textAlignment w:val="auto"/>
        <w:rPr>
          <w:rFonts w:hint="eastAsia" w:eastAsia="方正仿宋_GBK"/>
          <w:color w:val="000000"/>
          <w:szCs w:val="2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3" w:firstLineChars="1501"/>
        <w:jc w:val="left"/>
        <w:textAlignment w:val="auto"/>
        <w:rPr>
          <w:rFonts w:eastAsia="方正仿宋_GBK"/>
          <w:color w:val="000000"/>
          <w:szCs w:val="20"/>
        </w:rPr>
      </w:pPr>
    </w:p>
    <w:p>
      <w:pPr>
        <w:keepNext w:val="0"/>
        <w:keepLines w:val="0"/>
        <w:pageBreakBefore w:val="0"/>
        <w:widowControl w:val="0"/>
        <w:kinsoku/>
        <w:wordWrap/>
        <w:overflowPunct/>
        <w:topLinePunct w:val="0"/>
        <w:autoSpaceDE/>
        <w:autoSpaceDN/>
        <w:bidi w:val="0"/>
        <w:adjustRightInd/>
        <w:snapToGrid/>
        <w:spacing w:line="600" w:lineRule="exact"/>
        <w:ind w:right="0" w:rightChars="0" w:firstLine="4803" w:firstLineChars="1501"/>
        <w:jc w:val="left"/>
        <w:textAlignment w:val="auto"/>
        <w:rPr>
          <w:rFonts w:eastAsia="方正仿宋_GBK"/>
          <w:color w:val="000000"/>
          <w:szCs w:val="20"/>
        </w:rPr>
      </w:pPr>
      <w:r>
        <w:rPr>
          <w:rFonts w:eastAsia="方正仿宋_GBK"/>
          <w:color w:val="000000"/>
          <w:szCs w:val="20"/>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5280" w:firstLineChars="1650"/>
        <w:jc w:val="left"/>
        <w:textAlignment w:val="auto"/>
        <w:rPr>
          <w:rFonts w:eastAsia="方正仿宋_GBK"/>
          <w:color w:val="000000"/>
          <w:szCs w:val="20"/>
        </w:rPr>
      </w:pPr>
      <w:r>
        <w:rPr>
          <w:rFonts w:eastAsia="方正仿宋_GBK"/>
          <w:color w:val="000000"/>
          <w:szCs w:val="20"/>
        </w:rPr>
        <w:t>2017年</w:t>
      </w:r>
      <w:r>
        <w:rPr>
          <w:rFonts w:hint="eastAsia" w:eastAsia="方正仿宋_GBK"/>
          <w:color w:val="000000"/>
          <w:szCs w:val="20"/>
        </w:rPr>
        <w:t>8</w:t>
      </w:r>
      <w:r>
        <w:rPr>
          <w:rFonts w:eastAsia="方正仿宋_GBK"/>
          <w:color w:val="000000"/>
          <w:szCs w:val="20"/>
        </w:rPr>
        <w:t>月</w:t>
      </w:r>
      <w:r>
        <w:rPr>
          <w:rFonts w:hint="eastAsia" w:eastAsia="方正仿宋_GBK"/>
          <w:color w:val="000000"/>
          <w:szCs w:val="20"/>
        </w:rPr>
        <w:t>7</w:t>
      </w:r>
      <w:r>
        <w:rPr>
          <w:rFonts w:eastAsia="方正仿宋_GBK"/>
          <w:color w:val="000000"/>
          <w:szCs w:val="20"/>
        </w:rPr>
        <w:t>日</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firstLineChars="200"/>
        <w:jc w:val="left"/>
        <w:textAlignment w:val="auto"/>
        <w:rPr>
          <w:rFonts w:hint="eastAsia" w:eastAsia="方正仿宋_GBK"/>
          <w:color w:val="000000"/>
          <w:szCs w:val="20"/>
          <w:lang w:eastAsia="zh-CN"/>
        </w:rPr>
      </w:pPr>
      <w:r>
        <w:rPr>
          <w:rFonts w:hint="eastAsia" w:eastAsia="方正仿宋_GBK"/>
          <w:color w:val="000000"/>
          <w:szCs w:val="20"/>
          <w:lang w:eastAsia="zh-CN"/>
        </w:rPr>
        <w:t>（此件公开</w:t>
      </w:r>
      <w:bookmarkStart w:id="0" w:name="_GoBack"/>
      <w:bookmarkEnd w:id="0"/>
      <w:r>
        <w:rPr>
          <w:rFonts w:hint="eastAsia" w:eastAsia="方正仿宋_GBK"/>
          <w:color w:val="000000"/>
          <w:szCs w:val="20"/>
          <w:lang w:eastAsia="zh-CN"/>
        </w:rPr>
        <w:t>发布）</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r>
        <w:rPr>
          <w:rFonts w:eastAsia="方正黑体_GBK"/>
          <w:szCs w:val="32"/>
        </w:rPr>
        <w:t>附件1</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32"/>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eastAsia="方正小标宋_GBK"/>
          <w:sz w:val="44"/>
          <w:szCs w:val="44"/>
        </w:rPr>
      </w:pPr>
      <w:r>
        <w:rPr>
          <w:rFonts w:eastAsia="方正小标宋_GBK"/>
          <w:sz w:val="44"/>
          <w:szCs w:val="44"/>
        </w:rPr>
        <w:t>废止的政府规范性文件目录</w:t>
      </w:r>
    </w:p>
    <w:p>
      <w:pPr>
        <w:keepNext w:val="0"/>
        <w:keepLines w:val="0"/>
        <w:pageBreakBefore w:val="0"/>
        <w:widowControl/>
        <w:kinsoku/>
        <w:wordWrap/>
        <w:overflowPunct/>
        <w:topLinePunct w:val="0"/>
        <w:autoSpaceDE/>
        <w:autoSpaceDN/>
        <w:bidi w:val="0"/>
        <w:adjustRightInd/>
        <w:snapToGrid/>
        <w:spacing w:line="600" w:lineRule="exact"/>
        <w:ind w:right="0" w:rightChars="0"/>
        <w:jc w:val="left"/>
        <w:textAlignment w:val="auto"/>
        <w:rPr>
          <w:rFonts w:eastAsia="方正仿宋_GBK"/>
          <w:szCs w:val="32"/>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 《重庆市渝北区人民政府办公室关于印发渝北区政府投资项目审计监督试行办法的通知》（渝北府办发〔2010〕69号）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2. 《重庆市渝北区人民政府办公室关于印发渝北区商标发展奖励补助办法的通知》（渝北府办发〔2011〕22号）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3. 《重庆市渝北区人民政府办公室关于印发重庆市渝北区国有建设用地供应监管办法（试行）的通知》（渝北府办发〔2012〕12号）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4. 《重庆市渝北区人民政府办公室关于印发〈渝北区农田水利设施建设管理办法〉的通知》（渝北府办〔2012〕26号）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5. 《重庆市渝北区驻区金融机构支持地区发展考核奖励办法（试行）的通知》（渝北府办发〔2012〕57号）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6. 《重庆市渝北区人民政府办公室关于印发重庆市渝北区农村公路养护管理办法的通知》（渝北府办发〔2012〕71号）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7. 《重庆市渝北区人民政府办公室关于印发重庆市渝北区农村公路建设管理办法的通知》（渝北府办发〔2012〕72号）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8. 《重庆市渝北区人民政府办公室关于印发重庆广告产业园产业发展扶持办法的通知》（渝北府办〔2013〕48号）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9. 《重庆市渝北区人民政府办公室关于印发渝北区行政审</w:t>
      </w:r>
      <w:r>
        <w:rPr>
          <w:rFonts w:eastAsia="方正仿宋_GBK"/>
          <w:spacing w:val="-6"/>
          <w:szCs w:val="20"/>
        </w:rPr>
        <w:t>批服务中介机构管理暂行办法的通知》（渝北府办发〔2013〕50号）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pacing w:val="-6"/>
          <w:szCs w:val="20"/>
        </w:rPr>
      </w:pPr>
      <w:r>
        <w:rPr>
          <w:rFonts w:eastAsia="方正仿宋_GBK"/>
          <w:szCs w:val="20"/>
        </w:rPr>
        <w:t>10. 《</w:t>
      </w:r>
      <w:r>
        <w:rPr>
          <w:rFonts w:eastAsia="方正仿宋_GBK"/>
          <w:spacing w:val="-6"/>
          <w:szCs w:val="20"/>
        </w:rPr>
        <w:t>重庆市渝北区人民政府办公室关于印发渝北区农村客运班车营运补贴办法（试行）的通知》（渝北府办发〔2013〕60号）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11. 《重庆市渝北区人民政府办公室关于印发渝北区城市公交冷线营运补贴方案的通知》（渝北府办〔2013〕62号）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12. 《重庆市渝北区人民政府办公室关于印发重庆市渝北区最低生活保障条件认定办法的通知》（渝北府办发〔2014〕23号）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pacing w:val="-6"/>
          <w:szCs w:val="20"/>
        </w:rPr>
      </w:pPr>
      <w:r>
        <w:rPr>
          <w:rFonts w:eastAsia="方正仿宋_GBK"/>
          <w:szCs w:val="20"/>
        </w:rPr>
        <w:t>13. 《</w:t>
      </w:r>
      <w:r>
        <w:rPr>
          <w:rFonts w:eastAsia="方正仿宋_GBK"/>
          <w:spacing w:val="-6"/>
          <w:szCs w:val="20"/>
        </w:rPr>
        <w:t>重庆市渝北区人民政府办公室关于印发渝北区行政审批信息公开制度（试行）的通知》（渝北府办发〔2014〕56号）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14. 《重庆市渝北区人民政府办公室关于印发渝北区政府购</w:t>
      </w:r>
      <w:r>
        <w:rPr>
          <w:rFonts w:eastAsia="方正仿宋_GBK"/>
          <w:spacing w:val="-6"/>
          <w:szCs w:val="20"/>
        </w:rPr>
        <w:t>买信息服务实施办法（试行）的通知》（渝北府办发〔2015〕9号）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15. 《重庆市渝北区人民政府办公室关于印发渝北区加快推进新型工业化扶持暂行办法的通知》（渝北府办发〔2015〕55号）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pacing w:val="-6"/>
          <w:szCs w:val="20"/>
        </w:rPr>
      </w:pPr>
      <w:r>
        <w:rPr>
          <w:rFonts w:eastAsia="方正仿宋_GBK"/>
          <w:szCs w:val="20"/>
        </w:rPr>
        <w:t>16. 《</w:t>
      </w:r>
      <w:r>
        <w:rPr>
          <w:rFonts w:eastAsia="方正仿宋_GBK"/>
          <w:spacing w:val="-6"/>
          <w:szCs w:val="20"/>
        </w:rPr>
        <w:t>重庆市渝北区人民政府办公室关于</w:t>
      </w:r>
      <w:r>
        <w:rPr>
          <w:rFonts w:hint="eastAsia" w:eastAsia="方正仿宋_GBK"/>
          <w:spacing w:val="-6"/>
          <w:szCs w:val="20"/>
        </w:rPr>
        <w:t>企业改制上市工作经费补贴政策</w:t>
      </w:r>
      <w:r>
        <w:rPr>
          <w:rFonts w:eastAsia="方正仿宋_GBK"/>
          <w:spacing w:val="-6"/>
          <w:szCs w:val="20"/>
        </w:rPr>
        <w:t>的通知》（渝北府办〔2015〕72号）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17. 《重庆市渝北区人民政府办公室关于印发重庆市渝北区重点培育企业改制上市财政奖励办法的通知》（渝北府办发〔2016〕7号）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18. 《重庆市渝北区人民政府办公室关于印发渝北区政府采购管理办法的通知》（渝北府办发〔2016〕22号）</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黑体_GBK"/>
          <w:szCs w:val="20"/>
        </w:rPr>
      </w:pPr>
      <w:r>
        <w:rPr>
          <w:rFonts w:eastAsia="方正黑体_GBK"/>
          <w:szCs w:val="20"/>
        </w:rPr>
        <w:t>附件2</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小标宋_GBK"/>
          <w:sz w:val="44"/>
          <w:szCs w:val="44"/>
        </w:rPr>
      </w:pPr>
    </w:p>
    <w:p>
      <w:pPr>
        <w:keepNext w:val="0"/>
        <w:keepLines w:val="0"/>
        <w:pageBreakBefore w:val="0"/>
        <w:kinsoku/>
        <w:wordWrap/>
        <w:overflowPunct/>
        <w:topLinePunct w:val="0"/>
        <w:autoSpaceDE/>
        <w:autoSpaceDN/>
        <w:bidi w:val="0"/>
        <w:adjustRightInd/>
        <w:snapToGrid/>
        <w:spacing w:line="600" w:lineRule="exact"/>
        <w:ind w:right="0" w:rightChars="0"/>
        <w:jc w:val="center"/>
        <w:textAlignment w:val="auto"/>
        <w:rPr>
          <w:rFonts w:eastAsia="方正小标宋_GBK"/>
          <w:sz w:val="44"/>
          <w:szCs w:val="44"/>
        </w:rPr>
      </w:pPr>
      <w:r>
        <w:rPr>
          <w:rFonts w:eastAsia="方正小标宋_GBK"/>
          <w:sz w:val="44"/>
          <w:szCs w:val="44"/>
        </w:rPr>
        <w:t>有效期届满继续施行的政府规范性文件目录</w:t>
      </w:r>
    </w:p>
    <w:p>
      <w:pPr>
        <w:keepNext w:val="0"/>
        <w:keepLines w:val="0"/>
        <w:pageBreakBefore w:val="0"/>
        <w:kinsoku/>
        <w:wordWrap/>
        <w:overflowPunct/>
        <w:topLinePunct w:val="0"/>
        <w:autoSpaceDE/>
        <w:autoSpaceDN/>
        <w:bidi w:val="0"/>
        <w:adjustRightInd/>
        <w:snapToGrid/>
        <w:spacing w:line="600" w:lineRule="exact"/>
        <w:ind w:right="0" w:rightChars="0"/>
        <w:textAlignment w:val="auto"/>
        <w:rPr>
          <w:rFonts w:eastAsia="方正仿宋_GBK"/>
          <w:szCs w:val="20"/>
        </w:rPr>
      </w:pP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eastAsia="方正仿宋_GBK"/>
          <w:szCs w:val="20"/>
        </w:rPr>
      </w:pPr>
      <w:r>
        <w:rPr>
          <w:rFonts w:eastAsia="方正仿宋_GBK"/>
          <w:szCs w:val="20"/>
        </w:rPr>
        <w:t>1. 《重庆市渝北区人民政府办公室关于印发〈重庆市渝北区城区湖库管护办法〉的通知》（渝北府办〔2012〕36号）</w:t>
      </w:r>
    </w:p>
    <w:p>
      <w:pPr>
        <w:keepNext w:val="0"/>
        <w:keepLines w:val="0"/>
        <w:pageBreakBefore w:val="0"/>
        <w:kinsoku/>
        <w:wordWrap/>
        <w:overflowPunct/>
        <w:topLinePunct w:val="0"/>
        <w:autoSpaceDE/>
        <w:autoSpaceDN/>
        <w:bidi w:val="0"/>
        <w:adjustRightInd/>
        <w:snapToGrid/>
        <w:spacing w:line="600" w:lineRule="exact"/>
        <w:ind w:right="0" w:rightChars="0" w:firstLine="640" w:firstLineChars="200"/>
        <w:textAlignment w:val="auto"/>
        <w:rPr>
          <w:rFonts w:hint="eastAsia" w:eastAsia="方正仿宋_GBK"/>
          <w:szCs w:val="20"/>
        </w:rPr>
      </w:pPr>
    </w:p>
    <w:p>
      <w:pPr>
        <w:keepNext w:val="0"/>
        <w:keepLines w:val="0"/>
        <w:pageBreakBefore w:val="0"/>
        <w:kinsoku/>
        <w:wordWrap/>
        <w:overflowPunct/>
        <w:topLinePunct w:val="0"/>
        <w:autoSpaceDE/>
        <w:autoSpaceDN/>
        <w:bidi w:val="0"/>
        <w:adjustRightInd/>
        <w:snapToGrid/>
        <w:spacing w:line="600" w:lineRule="exact"/>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33E8"/>
    <w:rsid w:val="019E71BD"/>
    <w:rsid w:val="0301043E"/>
    <w:rsid w:val="041C42DA"/>
    <w:rsid w:val="04B679C3"/>
    <w:rsid w:val="05F07036"/>
    <w:rsid w:val="06E00104"/>
    <w:rsid w:val="080F63D8"/>
    <w:rsid w:val="09341458"/>
    <w:rsid w:val="098254C2"/>
    <w:rsid w:val="09C90566"/>
    <w:rsid w:val="0A766EDE"/>
    <w:rsid w:val="0AD64BE8"/>
    <w:rsid w:val="0B0912D7"/>
    <w:rsid w:val="0E025194"/>
    <w:rsid w:val="0ECD1CF3"/>
    <w:rsid w:val="0F224ABA"/>
    <w:rsid w:val="10121A17"/>
    <w:rsid w:val="14D92B5A"/>
    <w:rsid w:val="152D2DCA"/>
    <w:rsid w:val="157919E1"/>
    <w:rsid w:val="1780403B"/>
    <w:rsid w:val="187168EA"/>
    <w:rsid w:val="196673CA"/>
    <w:rsid w:val="1A353B94"/>
    <w:rsid w:val="1B2F4AEE"/>
    <w:rsid w:val="1B320034"/>
    <w:rsid w:val="1B5A1181"/>
    <w:rsid w:val="1B832AA0"/>
    <w:rsid w:val="1BE2064A"/>
    <w:rsid w:val="1CE86523"/>
    <w:rsid w:val="1CF734C9"/>
    <w:rsid w:val="1DEC284C"/>
    <w:rsid w:val="1E6523AC"/>
    <w:rsid w:val="22440422"/>
    <w:rsid w:val="22BB4BBB"/>
    <w:rsid w:val="25D13BB1"/>
    <w:rsid w:val="262B0CB6"/>
    <w:rsid w:val="26460E91"/>
    <w:rsid w:val="27A2250B"/>
    <w:rsid w:val="2AEB3417"/>
    <w:rsid w:val="2BE95D78"/>
    <w:rsid w:val="2D510D0F"/>
    <w:rsid w:val="2DE51B33"/>
    <w:rsid w:val="2E026A3D"/>
    <w:rsid w:val="2EF95F6F"/>
    <w:rsid w:val="2FD853FE"/>
    <w:rsid w:val="3141759C"/>
    <w:rsid w:val="31A15F24"/>
    <w:rsid w:val="324A1681"/>
    <w:rsid w:val="329F7054"/>
    <w:rsid w:val="32D73B4D"/>
    <w:rsid w:val="334A21BA"/>
    <w:rsid w:val="3411228C"/>
    <w:rsid w:val="36FB1DF0"/>
    <w:rsid w:val="382821AA"/>
    <w:rsid w:val="395347B5"/>
    <w:rsid w:val="39A232A0"/>
    <w:rsid w:val="39AD66A7"/>
    <w:rsid w:val="39E745AA"/>
    <w:rsid w:val="3B5A6BBB"/>
    <w:rsid w:val="3CA968D6"/>
    <w:rsid w:val="3CB34A32"/>
    <w:rsid w:val="3DC30C62"/>
    <w:rsid w:val="3EB83FFD"/>
    <w:rsid w:val="3EDA13A6"/>
    <w:rsid w:val="3F040113"/>
    <w:rsid w:val="417B75E9"/>
    <w:rsid w:val="42F058B7"/>
    <w:rsid w:val="43274036"/>
    <w:rsid w:val="436109F6"/>
    <w:rsid w:val="438C1ACD"/>
    <w:rsid w:val="43E90B44"/>
    <w:rsid w:val="441A38D4"/>
    <w:rsid w:val="4504239D"/>
    <w:rsid w:val="454E7E49"/>
    <w:rsid w:val="4BC77339"/>
    <w:rsid w:val="4C9236C5"/>
    <w:rsid w:val="4E250A85"/>
    <w:rsid w:val="4F0A0BC8"/>
    <w:rsid w:val="4F2F062F"/>
    <w:rsid w:val="4FFD4925"/>
    <w:rsid w:val="505C172E"/>
    <w:rsid w:val="506405EA"/>
    <w:rsid w:val="520C5A78"/>
    <w:rsid w:val="52293560"/>
    <w:rsid w:val="5241038F"/>
    <w:rsid w:val="52F46F0B"/>
    <w:rsid w:val="532B6A10"/>
    <w:rsid w:val="53BA2740"/>
    <w:rsid w:val="53D8014D"/>
    <w:rsid w:val="54942582"/>
    <w:rsid w:val="55E064E0"/>
    <w:rsid w:val="572C6D10"/>
    <w:rsid w:val="5DC34279"/>
    <w:rsid w:val="5FCD688E"/>
    <w:rsid w:val="5FF9BDAA"/>
    <w:rsid w:val="608816D1"/>
    <w:rsid w:val="60EF4E7F"/>
    <w:rsid w:val="617162E9"/>
    <w:rsid w:val="61C85F92"/>
    <w:rsid w:val="61EA1DE9"/>
    <w:rsid w:val="63234148"/>
    <w:rsid w:val="648B0A32"/>
    <w:rsid w:val="665233C1"/>
    <w:rsid w:val="6805112F"/>
    <w:rsid w:val="69AC0D42"/>
    <w:rsid w:val="6AD9688B"/>
    <w:rsid w:val="6B7E5F3B"/>
    <w:rsid w:val="6CB53FA2"/>
    <w:rsid w:val="6CE716C4"/>
    <w:rsid w:val="6D0E3F22"/>
    <w:rsid w:val="70E36781"/>
    <w:rsid w:val="720F7C58"/>
    <w:rsid w:val="744E4660"/>
    <w:rsid w:val="74A23389"/>
    <w:rsid w:val="75142D94"/>
    <w:rsid w:val="753355A2"/>
    <w:rsid w:val="759F1C61"/>
    <w:rsid w:val="769F2DE8"/>
    <w:rsid w:val="76F75D84"/>
    <w:rsid w:val="76FDEB7C"/>
    <w:rsid w:val="789E760C"/>
    <w:rsid w:val="792C7287"/>
    <w:rsid w:val="79C65162"/>
    <w:rsid w:val="7A630D80"/>
    <w:rsid w:val="7C9011D9"/>
    <w:rsid w:val="7D5A581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13</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2023-10-31T10:26:10Z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