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bookmarkStart w:id="0" w:name="_Toc45016288"/>
    </w:p>
    <w:p>
      <w:pPr>
        <w:spacing w:line="560" w:lineRule="exact"/>
        <w:jc w:val="center"/>
        <w:rPr>
          <w:rFonts w:ascii="方正小标宋_GBK" w:hAnsi="方正小标宋_GBK" w:eastAsia="方正小标宋_GBK" w:cs="方正小标宋_GBK"/>
          <w:sz w:val="44"/>
          <w:szCs w:val="44"/>
        </w:rPr>
      </w:pPr>
    </w:p>
    <w:p>
      <w:pPr>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重庆市渝北区现代服务业发展</w:t>
      </w:r>
    </w:p>
    <w:p>
      <w:pPr>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“十四五”规划</w:t>
      </w:r>
    </w:p>
    <w:p>
      <w:pPr>
        <w:spacing w:line="560" w:lineRule="exact"/>
        <w:jc w:val="center"/>
        <w:rPr>
          <w:rFonts w:ascii="方正小标宋_GBK" w:hAnsi="方正小标宋_GBK" w:eastAsia="方正小标宋_GBK" w:cs="方正小标宋_GBK"/>
          <w:sz w:val="48"/>
          <w:szCs w:val="48"/>
        </w:rPr>
      </w:pPr>
    </w:p>
    <w:p>
      <w:pPr>
        <w:spacing w:line="560" w:lineRule="exact"/>
        <w:jc w:val="center"/>
        <w:rPr>
          <w:rFonts w:ascii="方正楷体_GBK" w:hAnsi="方正楷体_GBK" w:eastAsia="方正楷体_GBK" w:cs="方正楷体_GBK"/>
          <w:sz w:val="36"/>
          <w:szCs w:val="36"/>
        </w:rPr>
      </w:pPr>
      <w:r>
        <w:rPr>
          <w:rFonts w:hint="eastAsia" w:ascii="方正楷体_GBK" w:hAnsi="方正楷体_GBK" w:eastAsia="方正楷体_GBK" w:cs="方正楷体_GBK"/>
          <w:sz w:val="36"/>
          <w:szCs w:val="36"/>
        </w:rPr>
        <w:t>（</w:t>
      </w:r>
      <w:r>
        <w:rPr>
          <w:rFonts w:ascii="方正楷体_GBK" w:hAnsi="方正楷体_GBK" w:eastAsia="方正楷体_GBK" w:cs="方正楷体_GBK"/>
          <w:sz w:val="36"/>
          <w:szCs w:val="36"/>
        </w:rPr>
        <w:t>2021-2025</w:t>
      </w:r>
      <w:r>
        <w:rPr>
          <w:rFonts w:hint="eastAsia" w:ascii="方正楷体_GBK" w:hAnsi="方正楷体_GBK" w:eastAsia="方正楷体_GBK" w:cs="方正楷体_GBK"/>
          <w:sz w:val="36"/>
          <w:szCs w:val="36"/>
        </w:rPr>
        <w:t>年）</w:t>
      </w:r>
    </w:p>
    <w:p>
      <w:pPr>
        <w:pStyle w:val="2"/>
        <w:ind w:left="31680"/>
      </w:pPr>
    </w:p>
    <w:p>
      <w:pPr>
        <w:jc w:val="center"/>
        <w:rPr>
          <w:rFonts w:eastAsia="黑体"/>
          <w:sz w:val="48"/>
          <w:szCs w:val="48"/>
        </w:rPr>
      </w:pPr>
    </w:p>
    <w:p>
      <w:pPr>
        <w:jc w:val="center"/>
        <w:rPr>
          <w:rFonts w:eastAsia="黑体"/>
          <w:sz w:val="48"/>
          <w:szCs w:val="48"/>
        </w:rPr>
      </w:pPr>
    </w:p>
    <w:p>
      <w:pPr>
        <w:pStyle w:val="11"/>
      </w:pPr>
    </w:p>
    <w:p>
      <w:pPr>
        <w:jc w:val="center"/>
        <w:rPr>
          <w:rFonts w:eastAsia="黑体"/>
          <w:sz w:val="48"/>
          <w:szCs w:val="48"/>
        </w:rPr>
      </w:pPr>
    </w:p>
    <w:p>
      <w:pPr>
        <w:pStyle w:val="25"/>
        <w:rPr>
          <w:rFonts w:eastAsia="黑体"/>
          <w:color w:val="auto"/>
          <w:sz w:val="48"/>
          <w:szCs w:val="48"/>
        </w:rPr>
      </w:pPr>
    </w:p>
    <w:p>
      <w:pPr>
        <w:pStyle w:val="25"/>
        <w:rPr>
          <w:rFonts w:eastAsia="黑体"/>
          <w:color w:val="auto"/>
          <w:sz w:val="48"/>
          <w:szCs w:val="48"/>
        </w:rPr>
      </w:pPr>
    </w:p>
    <w:p>
      <w:pPr>
        <w:pStyle w:val="25"/>
        <w:rPr>
          <w:rFonts w:eastAsia="黑体"/>
          <w:color w:val="auto"/>
          <w:sz w:val="48"/>
          <w:szCs w:val="48"/>
        </w:rPr>
      </w:pPr>
    </w:p>
    <w:p>
      <w:pPr>
        <w:pStyle w:val="25"/>
        <w:rPr>
          <w:rFonts w:eastAsia="黑体"/>
          <w:color w:val="auto"/>
          <w:sz w:val="48"/>
          <w:szCs w:val="48"/>
        </w:rPr>
      </w:pPr>
    </w:p>
    <w:p>
      <w:pPr>
        <w:pStyle w:val="25"/>
        <w:rPr>
          <w:rFonts w:eastAsia="黑体"/>
          <w:color w:val="auto"/>
          <w:sz w:val="48"/>
          <w:szCs w:val="48"/>
        </w:rPr>
      </w:pPr>
    </w:p>
    <w:p>
      <w:pPr>
        <w:jc w:val="center"/>
        <w:rPr>
          <w:rFonts w:eastAsia="黑体"/>
          <w:sz w:val="48"/>
          <w:szCs w:val="48"/>
        </w:rPr>
      </w:pPr>
    </w:p>
    <w:p>
      <w:pPr>
        <w:spacing w:line="500" w:lineRule="exact"/>
        <w:jc w:val="center"/>
        <w:rPr>
          <w:rFonts w:ascii="方正小标宋_GBK" w:hAnsi="方正小标宋_GBK" w:eastAsia="方正小标宋_GBK" w:cs="方正小标宋_GBK"/>
          <w:sz w:val="36"/>
          <w:szCs w:val="36"/>
        </w:rPr>
      </w:pPr>
      <w:r>
        <w:rPr>
          <w:rFonts w:ascii="方正小标宋_GBK" w:hAnsi="方正小标宋_GBK" w:eastAsia="方正小标宋_GBK" w:cs="方正小标宋_GBK"/>
          <w:sz w:val="36"/>
          <w:szCs w:val="36"/>
        </w:rPr>
        <w:t>2021</w:t>
      </w:r>
      <w:r>
        <w:rPr>
          <w:rFonts w:hint="eastAsia" w:ascii="方正小标宋_GBK" w:hAnsi="方正小标宋_GBK" w:eastAsia="方正小标宋_GBK" w:cs="方正小标宋_GBK"/>
          <w:sz w:val="36"/>
          <w:szCs w:val="36"/>
        </w:rPr>
        <w:t>年</w:t>
      </w:r>
      <w:r>
        <w:rPr>
          <w:rFonts w:ascii="方正小标宋_GBK" w:hAnsi="方正小标宋_GBK" w:eastAsia="方正小标宋_GBK" w:cs="方正小标宋_GBK"/>
          <w:sz w:val="36"/>
          <w:szCs w:val="36"/>
        </w:rPr>
        <w:t>12</w:t>
      </w:r>
      <w:r>
        <w:rPr>
          <w:rFonts w:hint="eastAsia" w:ascii="方正小标宋_GBK" w:hAnsi="方正小标宋_GBK" w:eastAsia="方正小标宋_GBK" w:cs="方正小标宋_GBK"/>
          <w:sz w:val="36"/>
          <w:szCs w:val="36"/>
        </w:rPr>
        <w:t>月</w:t>
      </w:r>
    </w:p>
    <w:p>
      <w:pPr>
        <w:spacing w:line="500" w:lineRule="exact"/>
        <w:jc w:val="center"/>
        <w:rPr>
          <w:rFonts w:ascii="宋体"/>
        </w:rPr>
        <w:sectPr>
          <w:pgSz w:w="11906" w:h="16838"/>
          <w:pgMar w:top="1440" w:right="1800" w:bottom="1440" w:left="1800" w:header="851" w:footer="992" w:gutter="0"/>
          <w:pgNumType w:start="1"/>
          <w:cols w:space="425" w:num="1"/>
          <w:titlePg/>
          <w:docGrid w:type="lines" w:linePitch="312" w:charSpace="0"/>
        </w:sectPr>
      </w:pPr>
    </w:p>
    <w:p>
      <w:pPr>
        <w:spacing w:line="500" w:lineRule="exact"/>
        <w:jc w:val="center"/>
        <w:rPr>
          <w:rFonts w:ascii="方正黑体_GBK" w:hAnsi="方正黑体_GBK" w:eastAsia="方正黑体_GBK" w:cs="方正黑体_GBK"/>
          <w:sz w:val="36"/>
          <w:szCs w:val="36"/>
        </w:rPr>
      </w:pPr>
      <w:r>
        <w:rPr>
          <w:rFonts w:hint="eastAsia" w:ascii="方正黑体_GBK" w:hAnsi="方正黑体_GBK" w:eastAsia="方正黑体_GBK" w:cs="方正黑体_GBK"/>
          <w:sz w:val="36"/>
          <w:szCs w:val="36"/>
        </w:rPr>
        <w:t>目录</w:t>
      </w:r>
    </w:p>
    <w:p>
      <w:pPr>
        <w:pStyle w:val="19"/>
        <w:tabs>
          <w:tab w:val="right" w:leader="dot" w:pos="8306"/>
          <w:tab w:val="clear" w:pos="8494"/>
        </w:tabs>
      </w:pPr>
      <w:r>
        <w:rPr>
          <w:rFonts w:ascii="方正楷体_GBK" w:hAnsi="方正楷体_GBK" w:eastAsia="方正楷体_GBK" w:cs="方正楷体_GBK"/>
          <w:sz w:val="28"/>
          <w:szCs w:val="28"/>
        </w:rPr>
        <w:fldChar w:fldCharType="begin"/>
      </w:r>
      <w:r>
        <w:rPr>
          <w:rFonts w:ascii="方正楷体_GBK" w:hAnsi="方正楷体_GBK" w:eastAsia="方正楷体_GBK" w:cs="方正楷体_GBK"/>
          <w:sz w:val="28"/>
          <w:szCs w:val="28"/>
        </w:rPr>
        <w:instrText xml:space="preserve">TOC \o "1-3" \h \u </w:instrText>
      </w:r>
      <w:r>
        <w:rPr>
          <w:rFonts w:ascii="方正楷体_GBK" w:hAnsi="方正楷体_GBK" w:eastAsia="方正楷体_GBK" w:cs="方正楷体_GBK"/>
          <w:sz w:val="28"/>
          <w:szCs w:val="28"/>
        </w:rPr>
        <w:fldChar w:fldCharType="separate"/>
      </w:r>
      <w:r>
        <w:fldChar w:fldCharType="begin"/>
      </w:r>
      <w:r>
        <w:instrText xml:space="preserve"> HYPERLINK \l "_Toc289" </w:instrText>
      </w:r>
      <w:r>
        <w:fldChar w:fldCharType="separate"/>
      </w:r>
      <w:r>
        <w:rPr>
          <w:rFonts w:hint="eastAsia" w:ascii="方正黑体_GBK" w:hAnsi="方正黑体_GBK" w:eastAsia="方正黑体_GBK" w:cs="方正黑体_GBK"/>
          <w:kern w:val="0"/>
          <w:szCs w:val="36"/>
        </w:rPr>
        <w:t>第一篇</w:t>
      </w:r>
      <w:r>
        <w:rPr>
          <w:rFonts w:ascii="方正黑体_GBK" w:hAnsi="方正黑体_GBK" w:eastAsia="方正黑体_GBK" w:cs="方正黑体_GBK"/>
          <w:kern w:val="0"/>
          <w:szCs w:val="36"/>
        </w:rPr>
        <w:t xml:space="preserve">  </w:t>
      </w:r>
      <w:r>
        <w:rPr>
          <w:rFonts w:hint="eastAsia" w:ascii="方正黑体_GBK" w:hAnsi="方正黑体_GBK" w:eastAsia="方正黑体_GBK" w:cs="方正黑体_GBK"/>
          <w:kern w:val="0"/>
          <w:szCs w:val="36"/>
        </w:rPr>
        <w:t>发展形势与要求</w:t>
      </w:r>
      <w:r>
        <w:tab/>
      </w:r>
      <w:r>
        <w:fldChar w:fldCharType="begin"/>
      </w:r>
      <w:r>
        <w:instrText xml:space="preserve"> PAGEREF _Toc289 \h </w:instrText>
      </w:r>
      <w:r>
        <w:fldChar w:fldCharType="separate"/>
      </w:r>
      <w:r>
        <w:t>1</w:t>
      </w:r>
      <w:r>
        <w:fldChar w:fldCharType="end"/>
      </w:r>
      <w:r>
        <w:fldChar w:fldCharType="end"/>
      </w:r>
    </w:p>
    <w:p>
      <w:pPr>
        <w:pStyle w:val="23"/>
        <w:tabs>
          <w:tab w:val="right" w:leader="dot" w:pos="8306"/>
          <w:tab w:val="clear" w:pos="8296"/>
        </w:tabs>
      </w:pPr>
      <w:r>
        <w:fldChar w:fldCharType="begin"/>
      </w:r>
      <w:r>
        <w:instrText xml:space="preserve"> HYPERLINK \l "_Toc19889" </w:instrText>
      </w:r>
      <w:r>
        <w:fldChar w:fldCharType="separate"/>
      </w:r>
      <w:r>
        <w:rPr>
          <w:rFonts w:hint="eastAsia" w:ascii="方正黑体_GBK" w:hAnsi="方正黑体_GBK" w:eastAsia="方正黑体_GBK" w:cs="方正黑体_GBK"/>
          <w:szCs w:val="32"/>
        </w:rPr>
        <w:t>第一章</w:t>
      </w:r>
      <w:r>
        <w:rPr>
          <w:rFonts w:ascii="方正黑体_GBK" w:hAnsi="方正黑体_GBK" w:eastAsia="方正黑体_GBK" w:cs="方正黑体_GBK"/>
          <w:szCs w:val="32"/>
        </w:rPr>
        <w:t xml:space="preserve"> </w:t>
      </w:r>
      <w:r>
        <w:rPr>
          <w:rFonts w:hint="eastAsia" w:ascii="方正黑体_GBK" w:hAnsi="方正黑体_GBK" w:eastAsia="方正黑体_GBK" w:cs="方正黑体_GBK"/>
          <w:szCs w:val="32"/>
        </w:rPr>
        <w:t>发展基础</w:t>
      </w:r>
      <w:r>
        <w:tab/>
      </w:r>
      <w:r>
        <w:fldChar w:fldCharType="begin"/>
      </w:r>
      <w:r>
        <w:instrText xml:space="preserve"> PAGEREF _Toc19889 \h </w:instrText>
      </w:r>
      <w:r>
        <w:fldChar w:fldCharType="separate"/>
      </w:r>
      <w:r>
        <w:t>1</w:t>
      </w:r>
      <w:r>
        <w:fldChar w:fldCharType="end"/>
      </w:r>
      <w:r>
        <w:fldChar w:fldCharType="end"/>
      </w:r>
    </w:p>
    <w:p>
      <w:pPr>
        <w:pStyle w:val="19"/>
        <w:tabs>
          <w:tab w:val="right" w:leader="dot" w:pos="8306"/>
          <w:tab w:val="clear" w:pos="8494"/>
        </w:tabs>
      </w:pPr>
      <w:r>
        <w:fldChar w:fldCharType="begin"/>
      </w:r>
      <w:r>
        <w:instrText xml:space="preserve"> HYPERLINK \l "_Toc1338" </w:instrText>
      </w:r>
      <w:r>
        <w:fldChar w:fldCharType="separate"/>
      </w:r>
      <w:r>
        <w:rPr>
          <w:rFonts w:hint="eastAsia" w:ascii="方正楷体_GBK" w:hAnsi="方正楷体_GBK" w:eastAsia="方正楷体_GBK" w:cs="方正楷体_GBK"/>
          <w:kern w:val="0"/>
          <w:szCs w:val="32"/>
        </w:rPr>
        <w:t>第一节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发展现状</w:t>
      </w:r>
      <w:r>
        <w:tab/>
      </w:r>
      <w:r>
        <w:fldChar w:fldCharType="begin"/>
      </w:r>
      <w:r>
        <w:instrText xml:space="preserve"> PAGEREF _Toc1338 \h </w:instrText>
      </w:r>
      <w:r>
        <w:fldChar w:fldCharType="separate"/>
      </w:r>
      <w:r>
        <w:t>2</w:t>
      </w:r>
      <w:r>
        <w:fldChar w:fldCharType="end"/>
      </w:r>
      <w:r>
        <w:fldChar w:fldCharType="end"/>
      </w:r>
    </w:p>
    <w:p>
      <w:pPr>
        <w:pStyle w:val="19"/>
        <w:tabs>
          <w:tab w:val="right" w:leader="dot" w:pos="8306"/>
          <w:tab w:val="clear" w:pos="8494"/>
        </w:tabs>
      </w:pPr>
      <w:r>
        <w:fldChar w:fldCharType="begin"/>
      </w:r>
      <w:r>
        <w:instrText xml:space="preserve"> HYPERLINK \l "_Toc18264" </w:instrText>
      </w:r>
      <w:r>
        <w:fldChar w:fldCharType="separate"/>
      </w:r>
      <w:r>
        <w:rPr>
          <w:rFonts w:hint="eastAsia" w:ascii="方正楷体_GBK" w:hAnsi="方正楷体_GBK" w:eastAsia="方正楷体_GBK" w:cs="方正楷体_GBK"/>
          <w:kern w:val="0"/>
          <w:szCs w:val="32"/>
        </w:rPr>
        <w:t>第二节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面临的挑战</w:t>
      </w:r>
      <w:r>
        <w:tab/>
      </w:r>
      <w:r>
        <w:fldChar w:fldCharType="begin"/>
      </w:r>
      <w:r>
        <w:instrText xml:space="preserve"> PAGEREF _Toc18264 \h </w:instrText>
      </w:r>
      <w:r>
        <w:fldChar w:fldCharType="separate"/>
      </w:r>
      <w:r>
        <w:t>4</w:t>
      </w:r>
      <w:r>
        <w:fldChar w:fldCharType="end"/>
      </w:r>
      <w:r>
        <w:fldChar w:fldCharType="end"/>
      </w:r>
    </w:p>
    <w:p>
      <w:pPr>
        <w:pStyle w:val="19"/>
        <w:tabs>
          <w:tab w:val="right" w:leader="dot" w:pos="8306"/>
          <w:tab w:val="clear" w:pos="8494"/>
        </w:tabs>
      </w:pPr>
      <w:r>
        <w:fldChar w:fldCharType="begin"/>
      </w:r>
      <w:r>
        <w:instrText xml:space="preserve"> HYPERLINK \l "_Toc26401" </w:instrText>
      </w:r>
      <w:r>
        <w:fldChar w:fldCharType="separate"/>
      </w:r>
      <w:r>
        <w:rPr>
          <w:rFonts w:hint="eastAsia" w:ascii="方正楷体_GBK" w:hAnsi="方正楷体_GBK" w:eastAsia="方正楷体_GBK" w:cs="方正楷体_GBK"/>
          <w:kern w:val="0"/>
          <w:szCs w:val="32"/>
        </w:rPr>
        <w:t>第三节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面临的机遇</w:t>
      </w:r>
      <w:r>
        <w:tab/>
      </w:r>
      <w:r>
        <w:t>5</w:t>
      </w:r>
      <w:r>
        <w:fldChar w:fldCharType="end"/>
      </w:r>
    </w:p>
    <w:p>
      <w:pPr>
        <w:pStyle w:val="23"/>
        <w:tabs>
          <w:tab w:val="right" w:leader="dot" w:pos="8306"/>
          <w:tab w:val="clear" w:pos="8296"/>
        </w:tabs>
      </w:pPr>
      <w:r>
        <w:fldChar w:fldCharType="begin"/>
      </w:r>
      <w:r>
        <w:instrText xml:space="preserve"> HYPERLINK \l "_Toc30366" </w:instrText>
      </w:r>
      <w:r>
        <w:fldChar w:fldCharType="separate"/>
      </w:r>
      <w:r>
        <w:rPr>
          <w:rFonts w:hint="eastAsia" w:ascii="方正黑体_GBK" w:hAnsi="方正黑体_GBK" w:eastAsia="方正黑体_GBK" w:cs="方正黑体_GBK"/>
          <w:szCs w:val="32"/>
        </w:rPr>
        <w:t>第二章</w:t>
      </w:r>
      <w:r>
        <w:rPr>
          <w:rFonts w:ascii="方正黑体_GBK" w:hAnsi="方正黑体_GBK" w:eastAsia="方正黑体_GBK" w:cs="方正黑体_GBK"/>
          <w:szCs w:val="32"/>
        </w:rPr>
        <w:t xml:space="preserve"> </w:t>
      </w:r>
      <w:r>
        <w:rPr>
          <w:rFonts w:hint="eastAsia" w:ascii="方正黑体_GBK" w:hAnsi="方正黑体_GBK" w:eastAsia="方正黑体_GBK" w:cs="方正黑体_GBK"/>
          <w:szCs w:val="32"/>
        </w:rPr>
        <w:t>总体要求</w:t>
      </w:r>
      <w:r>
        <w:tab/>
      </w:r>
      <w:r>
        <w:fldChar w:fldCharType="begin"/>
      </w:r>
      <w:r>
        <w:instrText xml:space="preserve"> PAGEREF _Toc30366 \h </w:instrText>
      </w:r>
      <w:r>
        <w:fldChar w:fldCharType="separate"/>
      </w:r>
      <w:r>
        <w:t>5</w:t>
      </w:r>
      <w:r>
        <w:fldChar w:fldCharType="end"/>
      </w:r>
      <w:r>
        <w:fldChar w:fldCharType="end"/>
      </w:r>
    </w:p>
    <w:p>
      <w:pPr>
        <w:pStyle w:val="19"/>
        <w:tabs>
          <w:tab w:val="right" w:leader="dot" w:pos="8306"/>
          <w:tab w:val="clear" w:pos="8494"/>
        </w:tabs>
      </w:pPr>
      <w:r>
        <w:fldChar w:fldCharType="begin"/>
      </w:r>
      <w:r>
        <w:instrText xml:space="preserve"> HYPERLINK \l "_Toc5117" </w:instrText>
      </w:r>
      <w:r>
        <w:fldChar w:fldCharType="separate"/>
      </w:r>
      <w:r>
        <w:rPr>
          <w:rFonts w:hint="eastAsia" w:ascii="方正楷体_GBK" w:hAnsi="方正楷体_GBK" w:eastAsia="方正楷体_GBK" w:cs="方正楷体_GBK"/>
          <w:kern w:val="0"/>
          <w:szCs w:val="32"/>
        </w:rPr>
        <w:t>第一节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指导思想</w:t>
      </w:r>
      <w:r>
        <w:tab/>
      </w:r>
      <w:r>
        <w:fldChar w:fldCharType="begin"/>
      </w:r>
      <w:r>
        <w:instrText xml:space="preserve"> PAGEREF _Toc5117 \h </w:instrText>
      </w:r>
      <w:r>
        <w:fldChar w:fldCharType="separate"/>
      </w:r>
      <w:r>
        <w:t>6</w:t>
      </w:r>
      <w:r>
        <w:fldChar w:fldCharType="end"/>
      </w:r>
      <w:r>
        <w:fldChar w:fldCharType="end"/>
      </w:r>
    </w:p>
    <w:p>
      <w:pPr>
        <w:pStyle w:val="19"/>
        <w:tabs>
          <w:tab w:val="right" w:leader="dot" w:pos="8306"/>
          <w:tab w:val="clear" w:pos="8494"/>
        </w:tabs>
      </w:pPr>
      <w:r>
        <w:fldChar w:fldCharType="begin"/>
      </w:r>
      <w:r>
        <w:instrText xml:space="preserve"> HYPERLINK \l "_Toc10617" </w:instrText>
      </w:r>
      <w:r>
        <w:fldChar w:fldCharType="separate"/>
      </w:r>
      <w:r>
        <w:rPr>
          <w:rFonts w:hint="eastAsia" w:ascii="方正楷体_GBK" w:hAnsi="方正楷体_GBK" w:eastAsia="方正楷体_GBK" w:cs="方正楷体_GBK"/>
          <w:kern w:val="0"/>
          <w:szCs w:val="32"/>
        </w:rPr>
        <w:t>第二节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基本原则</w:t>
      </w:r>
      <w:r>
        <w:tab/>
      </w:r>
      <w:r>
        <w:fldChar w:fldCharType="begin"/>
      </w:r>
      <w:r>
        <w:instrText xml:space="preserve"> PAGEREF _Toc10617 \h </w:instrText>
      </w:r>
      <w:r>
        <w:fldChar w:fldCharType="separate"/>
      </w:r>
      <w:r>
        <w:t>7</w:t>
      </w:r>
      <w:r>
        <w:fldChar w:fldCharType="end"/>
      </w:r>
      <w:r>
        <w:fldChar w:fldCharType="end"/>
      </w:r>
    </w:p>
    <w:p>
      <w:pPr>
        <w:pStyle w:val="19"/>
        <w:tabs>
          <w:tab w:val="right" w:leader="dot" w:pos="8306"/>
          <w:tab w:val="clear" w:pos="8494"/>
        </w:tabs>
      </w:pPr>
      <w:r>
        <w:fldChar w:fldCharType="begin"/>
      </w:r>
      <w:r>
        <w:instrText xml:space="preserve"> HYPERLINK \l "_Toc4777" </w:instrText>
      </w:r>
      <w:r>
        <w:fldChar w:fldCharType="separate"/>
      </w:r>
      <w:r>
        <w:rPr>
          <w:rFonts w:hint="eastAsia" w:ascii="方正楷体_GBK" w:hAnsi="方正楷体_GBK" w:eastAsia="方正楷体_GBK" w:cs="方正楷体_GBK"/>
          <w:kern w:val="0"/>
          <w:szCs w:val="32"/>
        </w:rPr>
        <w:t>第三节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“十四五”时期服务业发展主要目标</w:t>
      </w:r>
      <w:r>
        <w:tab/>
      </w:r>
      <w:r>
        <w:fldChar w:fldCharType="begin"/>
      </w:r>
      <w:r>
        <w:instrText xml:space="preserve"> PAGEREF _Toc4777 \h </w:instrText>
      </w:r>
      <w:r>
        <w:fldChar w:fldCharType="separate"/>
      </w:r>
      <w:r>
        <w:t>8</w:t>
      </w:r>
      <w:r>
        <w:fldChar w:fldCharType="end"/>
      </w:r>
      <w:r>
        <w:fldChar w:fldCharType="end"/>
      </w:r>
    </w:p>
    <w:p>
      <w:pPr>
        <w:pStyle w:val="19"/>
        <w:tabs>
          <w:tab w:val="right" w:leader="dot" w:pos="8306"/>
          <w:tab w:val="clear" w:pos="8494"/>
        </w:tabs>
      </w:pPr>
      <w:r>
        <w:fldChar w:fldCharType="begin"/>
      </w:r>
      <w:r>
        <w:instrText xml:space="preserve"> HYPERLINK \l "_Toc17120" </w:instrText>
      </w:r>
      <w:r>
        <w:fldChar w:fldCharType="separate"/>
      </w:r>
      <w:r>
        <w:rPr>
          <w:rFonts w:hint="eastAsia" w:ascii="方正楷体_GBK" w:hAnsi="方正楷体_GBK" w:eastAsia="方正楷体_GBK" w:cs="方正楷体_GBK"/>
          <w:kern w:val="0"/>
          <w:szCs w:val="32"/>
        </w:rPr>
        <w:t>第四节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到二〇三五年远景目标</w:t>
      </w:r>
      <w:r>
        <w:tab/>
      </w:r>
      <w:r>
        <w:fldChar w:fldCharType="begin"/>
      </w:r>
      <w:r>
        <w:instrText xml:space="preserve"> PAGEREF _Toc17120 \h </w:instrText>
      </w:r>
      <w:r>
        <w:fldChar w:fldCharType="separate"/>
      </w:r>
      <w:r>
        <w:t>10</w:t>
      </w:r>
      <w:r>
        <w:fldChar w:fldCharType="end"/>
      </w:r>
      <w:r>
        <w:fldChar w:fldCharType="end"/>
      </w:r>
    </w:p>
    <w:p>
      <w:pPr>
        <w:pStyle w:val="19"/>
        <w:tabs>
          <w:tab w:val="right" w:leader="dot" w:pos="8306"/>
          <w:tab w:val="clear" w:pos="8494"/>
        </w:tabs>
      </w:pPr>
      <w:r>
        <w:fldChar w:fldCharType="begin"/>
      </w:r>
      <w:r>
        <w:instrText xml:space="preserve"> HYPERLINK \l "_Toc29905" </w:instrText>
      </w:r>
      <w:r>
        <w:fldChar w:fldCharType="separate"/>
      </w:r>
      <w:r>
        <w:rPr>
          <w:rFonts w:hint="eastAsia" w:ascii="方正黑体_GBK" w:hAnsi="方正黑体_GBK" w:eastAsia="方正黑体_GBK" w:cs="方正黑体_GBK"/>
          <w:kern w:val="0"/>
          <w:szCs w:val="36"/>
        </w:rPr>
        <w:t>第二篇</w:t>
      </w:r>
      <w:r>
        <w:rPr>
          <w:rFonts w:ascii="方正黑体_GBK" w:hAnsi="方正黑体_GBK" w:eastAsia="方正黑体_GBK" w:cs="方正黑体_GBK"/>
          <w:kern w:val="0"/>
          <w:szCs w:val="36"/>
        </w:rPr>
        <w:t xml:space="preserve">  </w:t>
      </w:r>
      <w:r>
        <w:rPr>
          <w:rFonts w:hint="eastAsia" w:ascii="方正黑体_GBK" w:hAnsi="方正黑体_GBK" w:eastAsia="方正黑体_GBK" w:cs="方正黑体_GBK"/>
          <w:kern w:val="0"/>
          <w:szCs w:val="36"/>
        </w:rPr>
        <w:t>重点发展方向</w:t>
      </w:r>
      <w:r>
        <w:tab/>
      </w:r>
      <w:r>
        <w:fldChar w:fldCharType="begin"/>
      </w:r>
      <w:r>
        <w:instrText xml:space="preserve"> PAGEREF _Toc29905 \h </w:instrText>
      </w:r>
      <w:r>
        <w:fldChar w:fldCharType="separate"/>
      </w:r>
      <w:r>
        <w:t>11</w:t>
      </w:r>
      <w:r>
        <w:fldChar w:fldCharType="end"/>
      </w:r>
      <w:r>
        <w:fldChar w:fldCharType="end"/>
      </w:r>
    </w:p>
    <w:p>
      <w:pPr>
        <w:pStyle w:val="23"/>
        <w:tabs>
          <w:tab w:val="right" w:leader="dot" w:pos="8306"/>
          <w:tab w:val="clear" w:pos="8296"/>
        </w:tabs>
      </w:pPr>
      <w:r>
        <w:fldChar w:fldCharType="begin"/>
      </w:r>
      <w:r>
        <w:instrText xml:space="preserve"> HYPERLINK \l "_Toc17775" </w:instrText>
      </w:r>
      <w:r>
        <w:fldChar w:fldCharType="separate"/>
      </w:r>
      <w:r>
        <w:rPr>
          <w:rFonts w:hint="eastAsia" w:ascii="方正黑体_GBK" w:hAnsi="方正黑体_GBK" w:eastAsia="方正黑体_GBK" w:cs="方正黑体_GBK"/>
          <w:szCs w:val="32"/>
        </w:rPr>
        <w:t>第三章</w:t>
      </w:r>
      <w:r>
        <w:rPr>
          <w:rFonts w:ascii="方正黑体_GBK" w:hAnsi="方正黑体_GBK" w:eastAsia="方正黑体_GBK" w:cs="方正黑体_GBK"/>
          <w:szCs w:val="32"/>
        </w:rPr>
        <w:t xml:space="preserve"> </w:t>
      </w:r>
      <w:r>
        <w:rPr>
          <w:rFonts w:hint="eastAsia" w:ascii="方正黑体_GBK" w:hAnsi="方正黑体_GBK" w:eastAsia="方正黑体_GBK" w:cs="方正黑体_GBK"/>
          <w:szCs w:val="32"/>
        </w:rPr>
        <w:t>做大做强生产性服务业</w:t>
      </w:r>
      <w:r>
        <w:tab/>
      </w:r>
      <w:r>
        <w:fldChar w:fldCharType="begin"/>
      </w:r>
      <w:r>
        <w:instrText xml:space="preserve"> PAGEREF _Toc17775 \h </w:instrText>
      </w:r>
      <w:r>
        <w:fldChar w:fldCharType="separate"/>
      </w:r>
      <w:r>
        <w:t>11</w:t>
      </w:r>
      <w:r>
        <w:fldChar w:fldCharType="end"/>
      </w:r>
      <w:r>
        <w:fldChar w:fldCharType="end"/>
      </w:r>
    </w:p>
    <w:p>
      <w:pPr>
        <w:pStyle w:val="19"/>
        <w:tabs>
          <w:tab w:val="right" w:leader="dot" w:pos="8306"/>
          <w:tab w:val="clear" w:pos="8494"/>
        </w:tabs>
      </w:pPr>
      <w:r>
        <w:fldChar w:fldCharType="begin"/>
      </w:r>
      <w:r>
        <w:instrText xml:space="preserve"> HYPERLINK \l "_Toc21945" </w:instrText>
      </w:r>
      <w:r>
        <w:fldChar w:fldCharType="separate"/>
      </w:r>
      <w:r>
        <w:rPr>
          <w:rFonts w:hint="eastAsia" w:ascii="方正楷体_GBK" w:hAnsi="方正楷体_GBK" w:eastAsia="方正楷体_GBK" w:cs="方正楷体_GBK"/>
          <w:kern w:val="0"/>
          <w:szCs w:val="32"/>
        </w:rPr>
        <w:t>第一节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做强创新金融业</w:t>
      </w:r>
      <w:r>
        <w:tab/>
      </w:r>
      <w:r>
        <w:fldChar w:fldCharType="begin"/>
      </w:r>
      <w:r>
        <w:instrText xml:space="preserve"> PAGEREF _Toc21945 \h </w:instrText>
      </w:r>
      <w:r>
        <w:fldChar w:fldCharType="separate"/>
      </w:r>
      <w:r>
        <w:t>11</w:t>
      </w:r>
      <w:r>
        <w:fldChar w:fldCharType="end"/>
      </w:r>
      <w:r>
        <w:fldChar w:fldCharType="end"/>
      </w:r>
    </w:p>
    <w:p>
      <w:pPr>
        <w:pStyle w:val="19"/>
        <w:tabs>
          <w:tab w:val="right" w:leader="dot" w:pos="8306"/>
          <w:tab w:val="clear" w:pos="8494"/>
        </w:tabs>
      </w:pPr>
      <w:r>
        <w:fldChar w:fldCharType="begin"/>
      </w:r>
      <w:r>
        <w:instrText xml:space="preserve"> HYPERLINK \l "_Toc15902" </w:instrText>
      </w:r>
      <w:r>
        <w:fldChar w:fldCharType="separate"/>
      </w:r>
      <w:r>
        <w:rPr>
          <w:rFonts w:hint="eastAsia" w:ascii="方正楷体_GBK" w:hAnsi="方正楷体_GBK" w:eastAsia="方正楷体_GBK" w:cs="方正楷体_GBK"/>
          <w:kern w:val="0"/>
          <w:szCs w:val="32"/>
        </w:rPr>
        <w:t>第二节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做大现代物流</w:t>
      </w:r>
      <w:r>
        <w:tab/>
      </w:r>
      <w:r>
        <w:fldChar w:fldCharType="begin"/>
      </w:r>
      <w:r>
        <w:instrText xml:space="preserve"> PAGEREF _Toc15902 \h </w:instrText>
      </w:r>
      <w:r>
        <w:fldChar w:fldCharType="separate"/>
      </w:r>
      <w:r>
        <w:t>13</w:t>
      </w:r>
      <w:r>
        <w:fldChar w:fldCharType="end"/>
      </w:r>
      <w:r>
        <w:fldChar w:fldCharType="end"/>
      </w:r>
    </w:p>
    <w:p>
      <w:pPr>
        <w:pStyle w:val="19"/>
        <w:tabs>
          <w:tab w:val="right" w:leader="dot" w:pos="8306"/>
          <w:tab w:val="clear" w:pos="8494"/>
        </w:tabs>
      </w:pPr>
      <w:r>
        <w:fldChar w:fldCharType="begin"/>
      </w:r>
      <w:r>
        <w:instrText xml:space="preserve"> HYPERLINK \l "_Toc6676" </w:instrText>
      </w:r>
      <w:r>
        <w:fldChar w:fldCharType="separate"/>
      </w:r>
      <w:r>
        <w:rPr>
          <w:rFonts w:hint="eastAsia" w:ascii="方正楷体_GBK" w:hAnsi="方正楷体_GBK" w:eastAsia="方正楷体_GBK" w:cs="方正楷体_GBK"/>
          <w:kern w:val="0"/>
          <w:szCs w:val="32"/>
        </w:rPr>
        <w:t>第三节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做优软件和信息服务业</w:t>
      </w:r>
      <w:r>
        <w:tab/>
      </w:r>
      <w:r>
        <w:fldChar w:fldCharType="begin"/>
      </w:r>
      <w:r>
        <w:instrText xml:space="preserve"> PAGEREF _Toc6676 \h </w:instrText>
      </w:r>
      <w:r>
        <w:fldChar w:fldCharType="separate"/>
      </w:r>
      <w:r>
        <w:t>16</w:t>
      </w:r>
      <w:r>
        <w:fldChar w:fldCharType="end"/>
      </w:r>
      <w:r>
        <w:fldChar w:fldCharType="end"/>
      </w:r>
    </w:p>
    <w:p>
      <w:pPr>
        <w:pStyle w:val="19"/>
        <w:tabs>
          <w:tab w:val="right" w:leader="dot" w:pos="8306"/>
          <w:tab w:val="clear" w:pos="8494"/>
        </w:tabs>
      </w:pPr>
      <w:r>
        <w:fldChar w:fldCharType="begin"/>
      </w:r>
      <w:r>
        <w:instrText xml:space="preserve"> HYPERLINK \l "_Toc25585" </w:instrText>
      </w:r>
      <w:r>
        <w:fldChar w:fldCharType="separate"/>
      </w:r>
      <w:r>
        <w:rPr>
          <w:rFonts w:hint="eastAsia" w:ascii="方正楷体_GBK" w:hAnsi="方正楷体_GBK" w:eastAsia="方正楷体_GBK" w:cs="方正楷体_GBK"/>
          <w:kern w:val="0"/>
          <w:szCs w:val="32"/>
        </w:rPr>
        <w:t>第四节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做精专业服务业</w:t>
      </w:r>
      <w:r>
        <w:tab/>
      </w:r>
      <w:r>
        <w:fldChar w:fldCharType="begin"/>
      </w:r>
      <w:r>
        <w:instrText xml:space="preserve"> PAGEREF _Toc25585 \h </w:instrText>
      </w:r>
      <w:r>
        <w:fldChar w:fldCharType="separate"/>
      </w:r>
      <w:r>
        <w:t>18</w:t>
      </w:r>
      <w:r>
        <w:fldChar w:fldCharType="end"/>
      </w:r>
      <w:r>
        <w:fldChar w:fldCharType="end"/>
      </w:r>
    </w:p>
    <w:p>
      <w:pPr>
        <w:pStyle w:val="19"/>
        <w:tabs>
          <w:tab w:val="right" w:leader="dot" w:pos="8306"/>
          <w:tab w:val="clear" w:pos="8494"/>
        </w:tabs>
      </w:pPr>
      <w:r>
        <w:fldChar w:fldCharType="begin"/>
      </w:r>
      <w:r>
        <w:instrText xml:space="preserve"> HYPERLINK \l "_Toc21901" </w:instrText>
      </w:r>
      <w:r>
        <w:fldChar w:fldCharType="separate"/>
      </w:r>
      <w:r>
        <w:rPr>
          <w:rFonts w:hint="eastAsia" w:ascii="方正楷体_GBK" w:hAnsi="方正楷体_GBK" w:eastAsia="方正楷体_GBK" w:cs="方正楷体_GBK"/>
          <w:kern w:val="0"/>
          <w:szCs w:val="32"/>
        </w:rPr>
        <w:t>第五节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提升商务会展业</w:t>
      </w:r>
      <w:r>
        <w:tab/>
      </w:r>
      <w:r>
        <w:fldChar w:fldCharType="begin"/>
      </w:r>
      <w:r>
        <w:instrText xml:space="preserve"> PAGEREF _Toc21901 \h </w:instrText>
      </w:r>
      <w:r>
        <w:fldChar w:fldCharType="separate"/>
      </w:r>
      <w:r>
        <w:t>21</w:t>
      </w:r>
      <w:r>
        <w:fldChar w:fldCharType="end"/>
      </w:r>
      <w:r>
        <w:fldChar w:fldCharType="end"/>
      </w:r>
    </w:p>
    <w:p>
      <w:pPr>
        <w:pStyle w:val="23"/>
        <w:tabs>
          <w:tab w:val="right" w:leader="dot" w:pos="8306"/>
          <w:tab w:val="clear" w:pos="8296"/>
        </w:tabs>
      </w:pPr>
      <w:r>
        <w:fldChar w:fldCharType="begin"/>
      </w:r>
      <w:r>
        <w:instrText xml:space="preserve"> HYPERLINK \l "_Toc6610" </w:instrText>
      </w:r>
      <w:r>
        <w:fldChar w:fldCharType="separate"/>
      </w:r>
      <w:r>
        <w:rPr>
          <w:rFonts w:hint="eastAsia" w:ascii="方正黑体_GBK" w:hAnsi="方正黑体_GBK" w:eastAsia="方正黑体_GBK" w:cs="方正黑体_GBK"/>
          <w:szCs w:val="32"/>
        </w:rPr>
        <w:t>第四章</w:t>
      </w:r>
      <w:r>
        <w:rPr>
          <w:rFonts w:ascii="方正黑体_GBK" w:hAnsi="方正黑体_GBK" w:eastAsia="方正黑体_GBK" w:cs="方正黑体_GBK"/>
          <w:szCs w:val="32"/>
        </w:rPr>
        <w:t xml:space="preserve"> </w:t>
      </w:r>
      <w:r>
        <w:rPr>
          <w:rFonts w:hint="eastAsia" w:ascii="方正黑体_GBK" w:hAnsi="方正黑体_GBK" w:eastAsia="方正黑体_GBK" w:cs="方正黑体_GBK"/>
          <w:szCs w:val="32"/>
        </w:rPr>
        <w:t>提档升级生活性服务业</w:t>
      </w:r>
      <w:r>
        <w:tab/>
      </w:r>
      <w:r>
        <w:fldChar w:fldCharType="begin"/>
      </w:r>
      <w:r>
        <w:instrText xml:space="preserve"> PAGEREF _Toc6610 \h </w:instrText>
      </w:r>
      <w:r>
        <w:fldChar w:fldCharType="separate"/>
      </w:r>
      <w:r>
        <w:t>22</w:t>
      </w:r>
      <w:r>
        <w:fldChar w:fldCharType="end"/>
      </w:r>
      <w:r>
        <w:fldChar w:fldCharType="end"/>
      </w:r>
    </w:p>
    <w:p>
      <w:pPr>
        <w:pStyle w:val="19"/>
        <w:tabs>
          <w:tab w:val="right" w:leader="dot" w:pos="8306"/>
          <w:tab w:val="clear" w:pos="8494"/>
        </w:tabs>
      </w:pPr>
      <w:r>
        <w:fldChar w:fldCharType="begin"/>
      </w:r>
      <w:r>
        <w:instrText xml:space="preserve"> HYPERLINK \l "_Toc11686" </w:instrText>
      </w:r>
      <w:r>
        <w:fldChar w:fldCharType="separate"/>
      </w:r>
      <w:r>
        <w:rPr>
          <w:rFonts w:hint="eastAsia" w:ascii="方正楷体_GBK" w:hAnsi="方正楷体_GBK" w:eastAsia="方正楷体_GBK" w:cs="方正楷体_GBK"/>
          <w:kern w:val="0"/>
          <w:szCs w:val="32"/>
        </w:rPr>
        <w:t>第一节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提档升级文化旅游业</w:t>
      </w:r>
      <w:r>
        <w:tab/>
      </w:r>
      <w:r>
        <w:fldChar w:fldCharType="begin"/>
      </w:r>
      <w:r>
        <w:instrText xml:space="preserve"> PAGEREF _Toc11686 \h </w:instrText>
      </w:r>
      <w:r>
        <w:fldChar w:fldCharType="separate"/>
      </w:r>
      <w:r>
        <w:t>22</w:t>
      </w:r>
      <w:r>
        <w:fldChar w:fldCharType="end"/>
      </w:r>
      <w:r>
        <w:fldChar w:fldCharType="end"/>
      </w:r>
    </w:p>
    <w:p>
      <w:pPr>
        <w:pStyle w:val="19"/>
        <w:tabs>
          <w:tab w:val="right" w:leader="dot" w:pos="8306"/>
          <w:tab w:val="clear" w:pos="8494"/>
        </w:tabs>
      </w:pPr>
      <w:r>
        <w:fldChar w:fldCharType="begin"/>
      </w:r>
      <w:r>
        <w:instrText xml:space="preserve"> HYPERLINK \l "_Toc3189" </w:instrText>
      </w:r>
      <w:r>
        <w:fldChar w:fldCharType="separate"/>
      </w:r>
      <w:r>
        <w:rPr>
          <w:rFonts w:hint="eastAsia" w:ascii="方正楷体_GBK" w:hAnsi="方正楷体_GBK" w:eastAsia="方正楷体_GBK" w:cs="方正楷体_GBK"/>
          <w:kern w:val="0"/>
          <w:szCs w:val="32"/>
        </w:rPr>
        <w:t>第二节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提档升级康养休闲业</w:t>
      </w:r>
      <w:r>
        <w:tab/>
      </w:r>
      <w:r>
        <w:fldChar w:fldCharType="begin"/>
      </w:r>
      <w:r>
        <w:instrText xml:space="preserve"> PAGEREF _Toc3189 \h </w:instrText>
      </w:r>
      <w:r>
        <w:fldChar w:fldCharType="separate"/>
      </w:r>
      <w:r>
        <w:t>25</w:t>
      </w:r>
      <w:r>
        <w:fldChar w:fldCharType="end"/>
      </w:r>
      <w:r>
        <w:fldChar w:fldCharType="end"/>
      </w:r>
    </w:p>
    <w:p>
      <w:pPr>
        <w:pStyle w:val="19"/>
        <w:tabs>
          <w:tab w:val="right" w:leader="dot" w:pos="8306"/>
          <w:tab w:val="clear" w:pos="8494"/>
        </w:tabs>
      </w:pPr>
      <w:r>
        <w:fldChar w:fldCharType="begin"/>
      </w:r>
      <w:r>
        <w:instrText xml:space="preserve"> HYPERLINK \l "_Toc11413" </w:instrText>
      </w:r>
      <w:r>
        <w:fldChar w:fldCharType="separate"/>
      </w:r>
      <w:r>
        <w:rPr>
          <w:rFonts w:hint="eastAsia" w:ascii="方正楷体_GBK" w:hAnsi="方正楷体_GBK" w:eastAsia="方正楷体_GBK" w:cs="方正楷体_GBK"/>
          <w:kern w:val="0"/>
          <w:szCs w:val="32"/>
        </w:rPr>
        <w:t>第三节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提档升级商贸服务业</w:t>
      </w:r>
      <w:r>
        <w:tab/>
      </w:r>
      <w:r>
        <w:fldChar w:fldCharType="begin"/>
      </w:r>
      <w:r>
        <w:instrText xml:space="preserve"> PAGEREF _Toc11413 \h </w:instrText>
      </w:r>
      <w:r>
        <w:fldChar w:fldCharType="separate"/>
      </w:r>
      <w:r>
        <w:t>27</w:t>
      </w:r>
      <w:r>
        <w:fldChar w:fldCharType="end"/>
      </w:r>
      <w:r>
        <w:fldChar w:fldCharType="end"/>
      </w:r>
    </w:p>
    <w:p>
      <w:pPr>
        <w:pStyle w:val="19"/>
        <w:tabs>
          <w:tab w:val="right" w:leader="dot" w:pos="8306"/>
          <w:tab w:val="clear" w:pos="8494"/>
        </w:tabs>
      </w:pPr>
      <w:r>
        <w:fldChar w:fldCharType="begin"/>
      </w:r>
      <w:r>
        <w:instrText xml:space="preserve"> HYPERLINK \l "_Toc13377" </w:instrText>
      </w:r>
      <w:r>
        <w:fldChar w:fldCharType="separate"/>
      </w:r>
      <w:r>
        <w:rPr>
          <w:rFonts w:hint="eastAsia" w:ascii="方正楷体_GBK" w:hAnsi="方正楷体_GBK" w:eastAsia="方正楷体_GBK" w:cs="方正楷体_GBK"/>
          <w:kern w:val="0"/>
          <w:szCs w:val="32"/>
        </w:rPr>
        <w:t>第四节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提质发展其他生活性服务业</w:t>
      </w:r>
      <w:r>
        <w:tab/>
      </w:r>
      <w:r>
        <w:fldChar w:fldCharType="begin"/>
      </w:r>
      <w:r>
        <w:instrText xml:space="preserve"> PAGEREF _Toc13377 \h </w:instrText>
      </w:r>
      <w:r>
        <w:fldChar w:fldCharType="separate"/>
      </w:r>
      <w:r>
        <w:t>31</w:t>
      </w:r>
      <w:r>
        <w:fldChar w:fldCharType="end"/>
      </w:r>
      <w:r>
        <w:fldChar w:fldCharType="end"/>
      </w:r>
    </w:p>
    <w:p>
      <w:pPr>
        <w:pStyle w:val="19"/>
        <w:tabs>
          <w:tab w:val="right" w:leader="dot" w:pos="8306"/>
          <w:tab w:val="clear" w:pos="8494"/>
        </w:tabs>
      </w:pPr>
      <w:r>
        <w:fldChar w:fldCharType="begin"/>
      </w:r>
      <w:r>
        <w:instrText xml:space="preserve"> HYPERLINK \l "_Toc19462" </w:instrText>
      </w:r>
      <w:r>
        <w:fldChar w:fldCharType="separate"/>
      </w:r>
      <w:r>
        <w:rPr>
          <w:rFonts w:hint="eastAsia" w:ascii="方正黑体_GBK" w:hAnsi="方正黑体_GBK" w:eastAsia="方正黑体_GBK" w:cs="方正黑体_GBK"/>
          <w:kern w:val="0"/>
          <w:szCs w:val="36"/>
        </w:rPr>
        <w:t>第三篇主要任务</w:t>
      </w:r>
      <w:r>
        <w:tab/>
      </w:r>
      <w:r>
        <w:fldChar w:fldCharType="begin"/>
      </w:r>
      <w:r>
        <w:instrText xml:space="preserve"> PAGEREF _Toc19462 \h </w:instrText>
      </w:r>
      <w:r>
        <w:fldChar w:fldCharType="separate"/>
      </w:r>
      <w:r>
        <w:t>35</w:t>
      </w:r>
      <w:r>
        <w:fldChar w:fldCharType="end"/>
      </w:r>
      <w:r>
        <w:fldChar w:fldCharType="end"/>
      </w:r>
    </w:p>
    <w:p>
      <w:pPr>
        <w:pStyle w:val="23"/>
        <w:tabs>
          <w:tab w:val="right" w:leader="dot" w:pos="8306"/>
          <w:tab w:val="clear" w:pos="8296"/>
        </w:tabs>
      </w:pPr>
      <w:r>
        <w:fldChar w:fldCharType="begin"/>
      </w:r>
      <w:r>
        <w:instrText xml:space="preserve"> HYPERLINK \l "_Toc909" </w:instrText>
      </w:r>
      <w:r>
        <w:fldChar w:fldCharType="separate"/>
      </w:r>
      <w:r>
        <w:rPr>
          <w:rFonts w:hint="eastAsia" w:ascii="方正黑体_GBK" w:hAnsi="方正黑体_GBK" w:eastAsia="方正黑体_GBK" w:cs="方正黑体_GBK"/>
          <w:szCs w:val="32"/>
        </w:rPr>
        <w:t>第五章</w:t>
      </w:r>
      <w:r>
        <w:rPr>
          <w:rFonts w:ascii="方正黑体_GBK" w:hAnsi="方正黑体_GBK" w:eastAsia="方正黑体_GBK" w:cs="方正黑体_GBK"/>
          <w:szCs w:val="32"/>
        </w:rPr>
        <w:t xml:space="preserve">  </w:t>
      </w:r>
      <w:r>
        <w:rPr>
          <w:rFonts w:hint="eastAsia" w:ascii="方正黑体_GBK" w:hAnsi="方正黑体_GBK" w:eastAsia="方正黑体_GBK" w:cs="方正黑体_GBK"/>
          <w:szCs w:val="32"/>
        </w:rPr>
        <w:t>推动创新发展</w:t>
      </w:r>
      <w:r>
        <w:tab/>
      </w:r>
      <w:r>
        <w:fldChar w:fldCharType="begin"/>
      </w:r>
      <w:r>
        <w:instrText xml:space="preserve"> PAGEREF _Toc909 \h </w:instrText>
      </w:r>
      <w:r>
        <w:fldChar w:fldCharType="separate"/>
      </w:r>
      <w:r>
        <w:t>35</w:t>
      </w:r>
      <w:r>
        <w:fldChar w:fldCharType="end"/>
      </w:r>
      <w:r>
        <w:fldChar w:fldCharType="end"/>
      </w:r>
    </w:p>
    <w:p>
      <w:pPr>
        <w:pStyle w:val="19"/>
        <w:tabs>
          <w:tab w:val="right" w:leader="dot" w:pos="8306"/>
          <w:tab w:val="clear" w:pos="8494"/>
        </w:tabs>
      </w:pPr>
      <w:r>
        <w:fldChar w:fldCharType="begin"/>
      </w:r>
      <w:r>
        <w:instrText xml:space="preserve"> HYPERLINK \l "_Toc32489" </w:instrText>
      </w:r>
      <w:r>
        <w:fldChar w:fldCharType="separate"/>
      </w:r>
      <w:r>
        <w:rPr>
          <w:rFonts w:hint="eastAsia" w:ascii="方正楷体_GBK" w:hAnsi="方正楷体_GBK" w:eastAsia="方正楷体_GBK" w:cs="方正楷体_GBK"/>
          <w:kern w:val="0"/>
          <w:szCs w:val="32"/>
        </w:rPr>
        <w:t>第一节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加快发展总部经济</w:t>
      </w:r>
      <w:r>
        <w:tab/>
      </w:r>
      <w:r>
        <w:fldChar w:fldCharType="begin"/>
      </w:r>
      <w:r>
        <w:instrText xml:space="preserve"> PAGEREF _Toc32489 \h </w:instrText>
      </w:r>
      <w:r>
        <w:fldChar w:fldCharType="separate"/>
      </w:r>
      <w:r>
        <w:t>35</w:t>
      </w:r>
      <w:r>
        <w:fldChar w:fldCharType="end"/>
      </w:r>
      <w:r>
        <w:fldChar w:fldCharType="end"/>
      </w:r>
    </w:p>
    <w:p>
      <w:pPr>
        <w:pStyle w:val="19"/>
        <w:tabs>
          <w:tab w:val="right" w:leader="dot" w:pos="8306"/>
          <w:tab w:val="clear" w:pos="8494"/>
        </w:tabs>
      </w:pPr>
      <w:r>
        <w:fldChar w:fldCharType="begin"/>
      </w:r>
      <w:r>
        <w:instrText xml:space="preserve"> HYPERLINK \l "_Toc2992" </w:instrText>
      </w:r>
      <w:r>
        <w:fldChar w:fldCharType="separate"/>
      </w:r>
      <w:r>
        <w:rPr>
          <w:rFonts w:hint="eastAsia" w:ascii="方正楷体_GBK" w:hAnsi="方正楷体_GBK" w:eastAsia="方正楷体_GBK" w:cs="方正楷体_GBK"/>
          <w:kern w:val="0"/>
          <w:szCs w:val="32"/>
        </w:rPr>
        <w:t>第二节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提质增效楼宇经济</w:t>
      </w:r>
      <w:r>
        <w:tab/>
      </w:r>
      <w:r>
        <w:fldChar w:fldCharType="begin"/>
      </w:r>
      <w:r>
        <w:instrText xml:space="preserve"> PAGEREF _Toc2992 \h </w:instrText>
      </w:r>
      <w:r>
        <w:fldChar w:fldCharType="separate"/>
      </w:r>
      <w:r>
        <w:t>37</w:t>
      </w:r>
      <w:r>
        <w:fldChar w:fldCharType="end"/>
      </w:r>
      <w:r>
        <w:fldChar w:fldCharType="end"/>
      </w:r>
    </w:p>
    <w:p>
      <w:pPr>
        <w:pStyle w:val="19"/>
        <w:tabs>
          <w:tab w:val="right" w:leader="dot" w:pos="8306"/>
          <w:tab w:val="clear" w:pos="8494"/>
        </w:tabs>
      </w:pPr>
      <w:r>
        <w:fldChar w:fldCharType="begin"/>
      </w:r>
      <w:r>
        <w:instrText xml:space="preserve"> HYPERLINK \l "_Toc31415" </w:instrText>
      </w:r>
      <w:r>
        <w:fldChar w:fldCharType="separate"/>
      </w:r>
      <w:r>
        <w:rPr>
          <w:rFonts w:hint="eastAsia" w:ascii="方正楷体_GBK" w:hAnsi="方正楷体_GBK" w:eastAsia="方正楷体_GBK" w:cs="方正楷体_GBK"/>
          <w:kern w:val="0"/>
          <w:szCs w:val="32"/>
        </w:rPr>
        <w:t>第三节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加快推进临空经济</w:t>
      </w:r>
      <w:r>
        <w:tab/>
      </w:r>
      <w:r>
        <w:fldChar w:fldCharType="begin"/>
      </w:r>
      <w:r>
        <w:instrText xml:space="preserve"> PAGEREF _Toc31415 \h </w:instrText>
      </w:r>
      <w:r>
        <w:fldChar w:fldCharType="separate"/>
      </w:r>
      <w:r>
        <w:t>37</w:t>
      </w:r>
      <w:r>
        <w:fldChar w:fldCharType="end"/>
      </w:r>
      <w:r>
        <w:fldChar w:fldCharType="end"/>
      </w:r>
    </w:p>
    <w:p>
      <w:pPr>
        <w:pStyle w:val="19"/>
        <w:tabs>
          <w:tab w:val="right" w:leader="dot" w:pos="8306"/>
          <w:tab w:val="clear" w:pos="8494"/>
        </w:tabs>
      </w:pPr>
      <w:r>
        <w:fldChar w:fldCharType="begin"/>
      </w:r>
      <w:r>
        <w:instrText xml:space="preserve"> HYPERLINK \l "_Toc30651" </w:instrText>
      </w:r>
      <w:r>
        <w:fldChar w:fldCharType="separate"/>
      </w:r>
      <w:r>
        <w:rPr>
          <w:rFonts w:hint="eastAsia" w:ascii="方正楷体_GBK" w:hAnsi="方正楷体_GBK" w:eastAsia="方正楷体_GBK" w:cs="方正楷体_GBK"/>
          <w:kern w:val="0"/>
          <w:szCs w:val="32"/>
        </w:rPr>
        <w:t>第四节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大力发展平台经济</w:t>
      </w:r>
      <w:r>
        <w:tab/>
      </w:r>
      <w:r>
        <w:fldChar w:fldCharType="begin"/>
      </w:r>
      <w:r>
        <w:instrText xml:space="preserve"> PAGEREF _Toc30651 \h </w:instrText>
      </w:r>
      <w:r>
        <w:fldChar w:fldCharType="separate"/>
      </w:r>
      <w:r>
        <w:t>38</w:t>
      </w:r>
      <w:r>
        <w:fldChar w:fldCharType="end"/>
      </w:r>
      <w:r>
        <w:fldChar w:fldCharType="end"/>
      </w:r>
    </w:p>
    <w:p>
      <w:pPr>
        <w:pStyle w:val="19"/>
        <w:tabs>
          <w:tab w:val="right" w:leader="dot" w:pos="8306"/>
          <w:tab w:val="clear" w:pos="8494"/>
        </w:tabs>
      </w:pPr>
      <w:r>
        <w:fldChar w:fldCharType="begin"/>
      </w:r>
      <w:r>
        <w:instrText xml:space="preserve"> HYPERLINK \l "_Toc17362" </w:instrText>
      </w:r>
      <w:r>
        <w:fldChar w:fldCharType="separate"/>
      </w:r>
      <w:r>
        <w:rPr>
          <w:rFonts w:hint="eastAsia" w:ascii="方正楷体_GBK" w:hAnsi="方正楷体_GBK" w:eastAsia="方正楷体_GBK" w:cs="方正楷体_GBK"/>
          <w:kern w:val="0"/>
          <w:szCs w:val="32"/>
        </w:rPr>
        <w:t>第五节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全面推进数字经济</w:t>
      </w:r>
      <w:r>
        <w:tab/>
      </w:r>
      <w:r>
        <w:fldChar w:fldCharType="begin"/>
      </w:r>
      <w:r>
        <w:instrText xml:space="preserve"> PAGEREF _Toc17362 \h </w:instrText>
      </w:r>
      <w:r>
        <w:fldChar w:fldCharType="separate"/>
      </w:r>
      <w:r>
        <w:t>39</w:t>
      </w:r>
      <w:r>
        <w:fldChar w:fldCharType="end"/>
      </w:r>
      <w:r>
        <w:fldChar w:fldCharType="end"/>
      </w:r>
    </w:p>
    <w:p>
      <w:pPr>
        <w:pStyle w:val="23"/>
        <w:tabs>
          <w:tab w:val="right" w:leader="dot" w:pos="8306"/>
          <w:tab w:val="clear" w:pos="8296"/>
        </w:tabs>
      </w:pPr>
      <w:r>
        <w:fldChar w:fldCharType="begin"/>
      </w:r>
      <w:r>
        <w:instrText xml:space="preserve"> HYPERLINK \l "_Toc29141" </w:instrText>
      </w:r>
      <w:r>
        <w:fldChar w:fldCharType="separate"/>
      </w:r>
      <w:r>
        <w:rPr>
          <w:rFonts w:hint="eastAsia" w:ascii="方正黑体_GBK" w:hAnsi="方正黑体_GBK" w:eastAsia="方正黑体_GBK" w:cs="方正黑体_GBK"/>
          <w:szCs w:val="32"/>
        </w:rPr>
        <w:t>第六章</w:t>
      </w:r>
      <w:r>
        <w:rPr>
          <w:rFonts w:ascii="方正黑体_GBK" w:hAnsi="方正黑体_GBK" w:eastAsia="方正黑体_GBK" w:cs="方正黑体_GBK"/>
          <w:szCs w:val="32"/>
        </w:rPr>
        <w:t xml:space="preserve">  </w:t>
      </w:r>
      <w:r>
        <w:rPr>
          <w:rFonts w:hint="eastAsia" w:ascii="方正黑体_GBK" w:hAnsi="方正黑体_GBK" w:eastAsia="方正黑体_GBK" w:cs="方正黑体_GBK"/>
          <w:szCs w:val="32"/>
        </w:rPr>
        <w:t>推动融合发展</w:t>
      </w:r>
      <w:r>
        <w:tab/>
      </w:r>
      <w:r>
        <w:fldChar w:fldCharType="begin"/>
      </w:r>
      <w:r>
        <w:instrText xml:space="preserve"> PAGEREF _Toc29141 \h </w:instrText>
      </w:r>
      <w:r>
        <w:fldChar w:fldCharType="separate"/>
      </w:r>
      <w:r>
        <w:t>40</w:t>
      </w:r>
      <w:r>
        <w:fldChar w:fldCharType="end"/>
      </w:r>
      <w:r>
        <w:fldChar w:fldCharType="end"/>
      </w:r>
    </w:p>
    <w:p>
      <w:pPr>
        <w:pStyle w:val="19"/>
        <w:tabs>
          <w:tab w:val="right" w:leader="dot" w:pos="8306"/>
          <w:tab w:val="clear" w:pos="8494"/>
        </w:tabs>
      </w:pPr>
      <w:r>
        <w:fldChar w:fldCharType="begin"/>
      </w:r>
      <w:r>
        <w:instrText xml:space="preserve"> HYPERLINK \l "_Toc24041" </w:instrText>
      </w:r>
      <w:r>
        <w:fldChar w:fldCharType="separate"/>
      </w:r>
      <w:r>
        <w:rPr>
          <w:rFonts w:hint="eastAsia" w:ascii="方正楷体_GBK" w:hAnsi="方正楷体_GBK" w:eastAsia="方正楷体_GBK" w:cs="方正楷体_GBK"/>
          <w:kern w:val="0"/>
          <w:szCs w:val="32"/>
        </w:rPr>
        <w:t>第一节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推动先进</w:t>
      </w:r>
      <w:r>
        <w:rPr>
          <w:rFonts w:hint="eastAsia" w:ascii="方正楷体_GBK" w:hAnsi="方正楷体_GBK" w:eastAsia="方正楷体_GBK" w:cs="方正楷体_GBK"/>
          <w:smallCaps/>
          <w:kern w:val="0"/>
          <w:szCs w:val="32"/>
        </w:rPr>
        <w:t>制造业和现代服务业深度融合</w:t>
      </w:r>
      <w:r>
        <w:tab/>
      </w:r>
      <w:r>
        <w:fldChar w:fldCharType="begin"/>
      </w:r>
      <w:r>
        <w:instrText xml:space="preserve"> PAGEREF _Toc24041 \h </w:instrText>
      </w:r>
      <w:r>
        <w:fldChar w:fldCharType="separate"/>
      </w:r>
      <w:r>
        <w:t>40</w:t>
      </w:r>
      <w:r>
        <w:fldChar w:fldCharType="end"/>
      </w:r>
      <w:r>
        <w:fldChar w:fldCharType="end"/>
      </w:r>
    </w:p>
    <w:p>
      <w:pPr>
        <w:pStyle w:val="19"/>
        <w:tabs>
          <w:tab w:val="right" w:leader="dot" w:pos="8306"/>
          <w:tab w:val="clear" w:pos="8494"/>
        </w:tabs>
      </w:pPr>
      <w:r>
        <w:fldChar w:fldCharType="begin"/>
      </w:r>
      <w:r>
        <w:instrText xml:space="preserve"> HYPERLINK \l "_Toc28807" </w:instrText>
      </w:r>
      <w:r>
        <w:fldChar w:fldCharType="separate"/>
      </w:r>
      <w:r>
        <w:rPr>
          <w:rFonts w:hint="eastAsia" w:ascii="方正楷体_GBK" w:hAnsi="方正楷体_GBK" w:eastAsia="方正楷体_GBK" w:cs="方正楷体_GBK"/>
          <w:kern w:val="0"/>
          <w:szCs w:val="32"/>
        </w:rPr>
        <w:t>第二节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促进服务业与现代农业全产业链深度融合</w:t>
      </w:r>
      <w:r>
        <w:tab/>
      </w:r>
      <w:r>
        <w:fldChar w:fldCharType="begin"/>
      </w:r>
      <w:r>
        <w:instrText xml:space="preserve"> PAGEREF _Toc28807 \h </w:instrText>
      </w:r>
      <w:r>
        <w:fldChar w:fldCharType="separate"/>
      </w:r>
      <w:r>
        <w:t>40</w:t>
      </w:r>
      <w:r>
        <w:fldChar w:fldCharType="end"/>
      </w:r>
      <w:r>
        <w:fldChar w:fldCharType="end"/>
      </w:r>
    </w:p>
    <w:p>
      <w:pPr>
        <w:pStyle w:val="19"/>
        <w:tabs>
          <w:tab w:val="right" w:leader="dot" w:pos="8306"/>
          <w:tab w:val="clear" w:pos="8494"/>
        </w:tabs>
      </w:pPr>
      <w:r>
        <w:fldChar w:fldCharType="begin"/>
      </w:r>
      <w:r>
        <w:instrText xml:space="preserve"> HYPERLINK \l "_Toc18572" </w:instrText>
      </w:r>
      <w:r>
        <w:fldChar w:fldCharType="separate"/>
      </w:r>
      <w:r>
        <w:rPr>
          <w:rFonts w:hint="eastAsia" w:ascii="方正楷体_GBK" w:hAnsi="方正楷体_GBK" w:eastAsia="方正楷体_GBK" w:cs="方正楷体_GBK"/>
          <w:kern w:val="0"/>
          <w:szCs w:val="32"/>
        </w:rPr>
        <w:t>第三节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促进服务业内部融合互动</w:t>
      </w:r>
      <w:r>
        <w:tab/>
      </w:r>
      <w:r>
        <w:fldChar w:fldCharType="begin"/>
      </w:r>
      <w:r>
        <w:instrText xml:space="preserve"> PAGEREF _Toc18572 \h </w:instrText>
      </w:r>
      <w:r>
        <w:fldChar w:fldCharType="separate"/>
      </w:r>
      <w:r>
        <w:t>41</w:t>
      </w:r>
      <w:r>
        <w:fldChar w:fldCharType="end"/>
      </w:r>
      <w:r>
        <w:fldChar w:fldCharType="end"/>
      </w:r>
    </w:p>
    <w:p>
      <w:pPr>
        <w:pStyle w:val="23"/>
        <w:tabs>
          <w:tab w:val="right" w:leader="dot" w:pos="8306"/>
          <w:tab w:val="clear" w:pos="8296"/>
        </w:tabs>
      </w:pPr>
      <w:r>
        <w:fldChar w:fldCharType="begin"/>
      </w:r>
      <w:r>
        <w:instrText xml:space="preserve"> HYPERLINK \l "_Toc5004" </w:instrText>
      </w:r>
      <w:r>
        <w:fldChar w:fldCharType="separate"/>
      </w:r>
      <w:r>
        <w:rPr>
          <w:rFonts w:hint="eastAsia" w:ascii="方正黑体_GBK" w:hAnsi="方正黑体_GBK" w:eastAsia="方正黑体_GBK" w:cs="方正黑体_GBK"/>
          <w:szCs w:val="32"/>
        </w:rPr>
        <w:t>第七章　推动开放发展</w:t>
      </w:r>
      <w:r>
        <w:tab/>
      </w:r>
      <w:r>
        <w:fldChar w:fldCharType="begin"/>
      </w:r>
      <w:r>
        <w:instrText xml:space="preserve"> PAGEREF _Toc5004 \h </w:instrText>
      </w:r>
      <w:r>
        <w:fldChar w:fldCharType="separate"/>
      </w:r>
      <w:r>
        <w:t>42</w:t>
      </w:r>
      <w:r>
        <w:fldChar w:fldCharType="end"/>
      </w:r>
      <w:r>
        <w:fldChar w:fldCharType="end"/>
      </w:r>
    </w:p>
    <w:p>
      <w:pPr>
        <w:pStyle w:val="19"/>
        <w:tabs>
          <w:tab w:val="right" w:leader="dot" w:pos="8306"/>
          <w:tab w:val="clear" w:pos="8494"/>
        </w:tabs>
      </w:pPr>
      <w:r>
        <w:fldChar w:fldCharType="begin"/>
      </w:r>
      <w:r>
        <w:instrText xml:space="preserve"> HYPERLINK \l "_Toc29013" </w:instrText>
      </w:r>
      <w:r>
        <w:fldChar w:fldCharType="separate"/>
      </w:r>
      <w:r>
        <w:rPr>
          <w:rFonts w:hint="eastAsia" w:ascii="方正楷体_GBK" w:hAnsi="方正楷体_GBK" w:eastAsia="方正楷体_GBK" w:cs="方正楷体_GBK"/>
          <w:kern w:val="0"/>
          <w:szCs w:val="32"/>
        </w:rPr>
        <w:t>第一节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推进服务业高水平国际合作</w:t>
      </w:r>
      <w:r>
        <w:tab/>
      </w:r>
      <w:r>
        <w:fldChar w:fldCharType="begin"/>
      </w:r>
      <w:r>
        <w:instrText xml:space="preserve"> PAGEREF _Toc29013 \h </w:instrText>
      </w:r>
      <w:r>
        <w:fldChar w:fldCharType="separate"/>
      </w:r>
      <w:r>
        <w:t>42</w:t>
      </w:r>
      <w:r>
        <w:fldChar w:fldCharType="end"/>
      </w:r>
      <w:r>
        <w:fldChar w:fldCharType="end"/>
      </w:r>
    </w:p>
    <w:p>
      <w:pPr>
        <w:pStyle w:val="19"/>
        <w:tabs>
          <w:tab w:val="right" w:leader="dot" w:pos="8306"/>
          <w:tab w:val="clear" w:pos="8494"/>
        </w:tabs>
      </w:pPr>
      <w:r>
        <w:fldChar w:fldCharType="begin"/>
      </w:r>
      <w:r>
        <w:instrText xml:space="preserve"> HYPERLINK \l "_Toc13264" </w:instrText>
      </w:r>
      <w:r>
        <w:fldChar w:fldCharType="separate"/>
      </w:r>
      <w:r>
        <w:rPr>
          <w:rFonts w:hint="eastAsia" w:ascii="方正楷体_GBK" w:hAnsi="方正楷体_GBK" w:eastAsia="方正楷体_GBK" w:cs="方正楷体_GBK"/>
          <w:kern w:val="0"/>
          <w:szCs w:val="32"/>
        </w:rPr>
        <w:t>第二节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实施服务业扩大开放综合试点</w:t>
      </w:r>
      <w:r>
        <w:tab/>
      </w:r>
      <w:r>
        <w:fldChar w:fldCharType="begin"/>
      </w:r>
      <w:r>
        <w:instrText xml:space="preserve"> PAGEREF _Toc13264 \h </w:instrText>
      </w:r>
      <w:r>
        <w:fldChar w:fldCharType="separate"/>
      </w:r>
      <w:r>
        <w:t>42</w:t>
      </w:r>
      <w:r>
        <w:fldChar w:fldCharType="end"/>
      </w:r>
      <w:r>
        <w:fldChar w:fldCharType="end"/>
      </w:r>
    </w:p>
    <w:p>
      <w:pPr>
        <w:pStyle w:val="19"/>
        <w:tabs>
          <w:tab w:val="right" w:leader="dot" w:pos="8306"/>
          <w:tab w:val="clear" w:pos="8494"/>
        </w:tabs>
      </w:pPr>
      <w:r>
        <w:fldChar w:fldCharType="begin"/>
      </w:r>
      <w:r>
        <w:instrText xml:space="preserve"> HYPERLINK \l "_Toc20554" </w:instrText>
      </w:r>
      <w:r>
        <w:fldChar w:fldCharType="separate"/>
      </w:r>
      <w:r>
        <w:rPr>
          <w:rFonts w:hint="eastAsia" w:ascii="方正楷体_GBK" w:hAnsi="方正楷体_GBK" w:eastAsia="方正楷体_GBK" w:cs="方正楷体_GBK"/>
          <w:kern w:val="0"/>
          <w:szCs w:val="32"/>
        </w:rPr>
        <w:t>第三节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加快发展服务贸易</w:t>
      </w:r>
      <w:r>
        <w:tab/>
      </w:r>
      <w:r>
        <w:fldChar w:fldCharType="begin"/>
      </w:r>
      <w:r>
        <w:instrText xml:space="preserve"> PAGEREF _Toc20554 \h </w:instrText>
      </w:r>
      <w:r>
        <w:fldChar w:fldCharType="separate"/>
      </w:r>
      <w:r>
        <w:t>43</w:t>
      </w:r>
      <w:r>
        <w:fldChar w:fldCharType="end"/>
      </w:r>
      <w:r>
        <w:fldChar w:fldCharType="end"/>
      </w:r>
    </w:p>
    <w:p>
      <w:pPr>
        <w:pStyle w:val="23"/>
        <w:tabs>
          <w:tab w:val="right" w:leader="dot" w:pos="8306"/>
          <w:tab w:val="clear" w:pos="8296"/>
        </w:tabs>
      </w:pPr>
      <w:r>
        <w:fldChar w:fldCharType="begin"/>
      </w:r>
      <w:r>
        <w:instrText xml:space="preserve"> HYPERLINK \l "_Toc10443" </w:instrText>
      </w:r>
      <w:r>
        <w:fldChar w:fldCharType="separate"/>
      </w:r>
      <w:r>
        <w:rPr>
          <w:rFonts w:hint="eastAsia" w:ascii="方正黑体_GBK" w:hAnsi="方正黑体_GBK" w:eastAsia="方正黑体_GBK" w:cs="方正黑体_GBK"/>
          <w:szCs w:val="32"/>
        </w:rPr>
        <w:t>第八章</w:t>
      </w:r>
      <w:r>
        <w:rPr>
          <w:rFonts w:ascii="方正黑体_GBK" w:hAnsi="方正黑体_GBK" w:eastAsia="方正黑体_GBK" w:cs="方正黑体_GBK"/>
          <w:szCs w:val="32"/>
        </w:rPr>
        <w:t xml:space="preserve">  </w:t>
      </w:r>
      <w:r>
        <w:rPr>
          <w:rFonts w:hint="eastAsia" w:ascii="方正黑体_GBK" w:hAnsi="方正黑体_GBK" w:eastAsia="方正黑体_GBK" w:cs="方正黑体_GBK"/>
          <w:szCs w:val="32"/>
        </w:rPr>
        <w:t>推动协同发展</w:t>
      </w:r>
      <w:r>
        <w:tab/>
      </w:r>
      <w:r>
        <w:fldChar w:fldCharType="begin"/>
      </w:r>
      <w:r>
        <w:instrText xml:space="preserve"> PAGEREF _Toc10443 \h </w:instrText>
      </w:r>
      <w:r>
        <w:fldChar w:fldCharType="separate"/>
      </w:r>
      <w:r>
        <w:t>44</w:t>
      </w:r>
      <w:r>
        <w:fldChar w:fldCharType="end"/>
      </w:r>
      <w:r>
        <w:fldChar w:fldCharType="end"/>
      </w:r>
    </w:p>
    <w:p>
      <w:pPr>
        <w:pStyle w:val="19"/>
        <w:tabs>
          <w:tab w:val="right" w:leader="dot" w:pos="8306"/>
          <w:tab w:val="clear" w:pos="8494"/>
        </w:tabs>
      </w:pPr>
      <w:r>
        <w:fldChar w:fldCharType="begin"/>
      </w:r>
      <w:r>
        <w:instrText xml:space="preserve"> HYPERLINK \l "_Toc18537" </w:instrText>
      </w:r>
      <w:r>
        <w:fldChar w:fldCharType="separate"/>
      </w:r>
      <w:r>
        <w:rPr>
          <w:rFonts w:hint="eastAsia" w:ascii="方正楷体_GBK" w:hAnsi="方正楷体_GBK" w:eastAsia="方正楷体_GBK" w:cs="方正楷体_GBK"/>
          <w:kern w:val="0"/>
          <w:szCs w:val="32"/>
        </w:rPr>
        <w:t>第一节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深化成渝地区双城经济圈合作</w:t>
      </w:r>
      <w:r>
        <w:tab/>
      </w:r>
      <w:r>
        <w:fldChar w:fldCharType="begin"/>
      </w:r>
      <w:r>
        <w:instrText xml:space="preserve"> PAGEREF _Toc18537 \h </w:instrText>
      </w:r>
      <w:r>
        <w:fldChar w:fldCharType="separate"/>
      </w:r>
      <w:r>
        <w:t>44</w:t>
      </w:r>
      <w:r>
        <w:fldChar w:fldCharType="end"/>
      </w:r>
      <w:r>
        <w:fldChar w:fldCharType="end"/>
      </w:r>
    </w:p>
    <w:p>
      <w:pPr>
        <w:pStyle w:val="19"/>
        <w:tabs>
          <w:tab w:val="right" w:leader="dot" w:pos="8306"/>
          <w:tab w:val="clear" w:pos="8494"/>
        </w:tabs>
      </w:pPr>
      <w:r>
        <w:fldChar w:fldCharType="begin"/>
      </w:r>
      <w:r>
        <w:instrText xml:space="preserve"> HYPERLINK \l "_Toc5472" </w:instrText>
      </w:r>
      <w:r>
        <w:fldChar w:fldCharType="separate"/>
      </w:r>
      <w:r>
        <w:rPr>
          <w:rFonts w:hint="eastAsia" w:ascii="方正楷体_GBK" w:hAnsi="方正楷体_GBK" w:eastAsia="方正楷体_GBK" w:cs="方正楷体_GBK"/>
          <w:kern w:val="0"/>
          <w:szCs w:val="32"/>
        </w:rPr>
        <w:t>第二节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加强与市级平台的协同合作</w:t>
      </w:r>
      <w:r>
        <w:tab/>
      </w:r>
      <w:r>
        <w:fldChar w:fldCharType="begin"/>
      </w:r>
      <w:r>
        <w:instrText xml:space="preserve"> PAGEREF _Toc5472 \h </w:instrText>
      </w:r>
      <w:r>
        <w:fldChar w:fldCharType="separate"/>
      </w:r>
      <w:r>
        <w:t>45</w:t>
      </w:r>
      <w:r>
        <w:fldChar w:fldCharType="end"/>
      </w:r>
      <w:r>
        <w:fldChar w:fldCharType="end"/>
      </w:r>
    </w:p>
    <w:p>
      <w:pPr>
        <w:pStyle w:val="23"/>
        <w:tabs>
          <w:tab w:val="right" w:leader="dot" w:pos="8306"/>
          <w:tab w:val="clear" w:pos="8296"/>
        </w:tabs>
      </w:pPr>
      <w:r>
        <w:fldChar w:fldCharType="begin"/>
      </w:r>
      <w:r>
        <w:instrText xml:space="preserve"> HYPERLINK \l "_Toc30075" </w:instrText>
      </w:r>
      <w:r>
        <w:fldChar w:fldCharType="separate"/>
      </w:r>
      <w:r>
        <w:rPr>
          <w:rFonts w:hint="eastAsia" w:ascii="方正黑体_GBK" w:hAnsi="方正黑体_GBK" w:eastAsia="方正黑体_GBK" w:cs="方正黑体_GBK"/>
          <w:szCs w:val="32"/>
        </w:rPr>
        <w:t>第九章</w:t>
      </w:r>
      <w:r>
        <w:rPr>
          <w:rFonts w:ascii="方正黑体_GBK" w:hAnsi="方正黑体_GBK" w:eastAsia="方正黑体_GBK" w:cs="方正黑体_GBK"/>
          <w:szCs w:val="32"/>
        </w:rPr>
        <w:t xml:space="preserve"> </w:t>
      </w:r>
      <w:r>
        <w:rPr>
          <w:rFonts w:hint="eastAsia" w:ascii="方正黑体_GBK" w:hAnsi="方正黑体_GBK" w:eastAsia="方正黑体_GBK" w:cs="方正黑体_GBK"/>
          <w:szCs w:val="32"/>
        </w:rPr>
        <w:t>优化发展布局</w:t>
      </w:r>
      <w:r>
        <w:tab/>
      </w:r>
      <w:r>
        <w:fldChar w:fldCharType="begin"/>
      </w:r>
      <w:r>
        <w:instrText xml:space="preserve"> PAGEREF _Toc30075 \h </w:instrText>
      </w:r>
      <w:r>
        <w:fldChar w:fldCharType="separate"/>
      </w:r>
      <w:r>
        <w:t>45</w:t>
      </w:r>
      <w:r>
        <w:fldChar w:fldCharType="end"/>
      </w:r>
      <w:r>
        <w:fldChar w:fldCharType="end"/>
      </w:r>
    </w:p>
    <w:p>
      <w:pPr>
        <w:pStyle w:val="19"/>
        <w:tabs>
          <w:tab w:val="right" w:leader="dot" w:pos="8306"/>
          <w:tab w:val="clear" w:pos="8494"/>
        </w:tabs>
      </w:pPr>
      <w:r>
        <w:fldChar w:fldCharType="begin"/>
      </w:r>
      <w:r>
        <w:instrText xml:space="preserve"> HYPERLINK \l "_Toc24792" </w:instrText>
      </w:r>
      <w:r>
        <w:fldChar w:fldCharType="separate"/>
      </w:r>
      <w:r>
        <w:rPr>
          <w:rFonts w:hint="eastAsia" w:ascii="方正楷体_GBK" w:hAnsi="方正楷体_GBK" w:eastAsia="方正楷体_GBK" w:cs="方正楷体_GBK"/>
          <w:kern w:val="0"/>
          <w:szCs w:val="32"/>
        </w:rPr>
        <w:t>第一节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优化总体空间布局</w:t>
      </w:r>
      <w:r>
        <w:tab/>
      </w:r>
      <w:r>
        <w:fldChar w:fldCharType="begin"/>
      </w:r>
      <w:r>
        <w:instrText xml:space="preserve"> PAGEREF _Toc24792 \h </w:instrText>
      </w:r>
      <w:r>
        <w:fldChar w:fldCharType="separate"/>
      </w:r>
      <w:r>
        <w:t>45</w:t>
      </w:r>
      <w:r>
        <w:fldChar w:fldCharType="end"/>
      </w:r>
      <w:r>
        <w:fldChar w:fldCharType="end"/>
      </w:r>
    </w:p>
    <w:p>
      <w:pPr>
        <w:pStyle w:val="19"/>
        <w:tabs>
          <w:tab w:val="right" w:leader="dot" w:pos="8306"/>
          <w:tab w:val="clear" w:pos="8494"/>
        </w:tabs>
      </w:pPr>
      <w:r>
        <w:fldChar w:fldCharType="begin"/>
      </w:r>
      <w:r>
        <w:instrText xml:space="preserve"> HYPERLINK \l "_Toc6565" </w:instrText>
      </w:r>
      <w:r>
        <w:fldChar w:fldCharType="separate"/>
      </w:r>
      <w:r>
        <w:rPr>
          <w:rFonts w:hint="eastAsia" w:ascii="方正楷体_GBK" w:hAnsi="方正楷体_GBK" w:eastAsia="方正楷体_GBK" w:cs="方正楷体_GBK"/>
          <w:kern w:val="0"/>
          <w:szCs w:val="32"/>
        </w:rPr>
        <w:t>第二节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推动现代服务业集聚区建设</w:t>
      </w:r>
      <w:r>
        <w:tab/>
      </w:r>
      <w:r>
        <w:fldChar w:fldCharType="begin"/>
      </w:r>
      <w:r>
        <w:instrText xml:space="preserve"> PAGEREF _Toc6565 \h </w:instrText>
      </w:r>
      <w:r>
        <w:fldChar w:fldCharType="separate"/>
      </w:r>
      <w:r>
        <w:t>49</w:t>
      </w:r>
      <w:r>
        <w:fldChar w:fldCharType="end"/>
      </w:r>
      <w:r>
        <w:fldChar w:fldCharType="end"/>
      </w:r>
    </w:p>
    <w:p>
      <w:pPr>
        <w:pStyle w:val="19"/>
        <w:tabs>
          <w:tab w:val="right" w:leader="dot" w:pos="8306"/>
          <w:tab w:val="clear" w:pos="8494"/>
        </w:tabs>
      </w:pPr>
      <w:r>
        <w:fldChar w:fldCharType="begin"/>
      </w:r>
      <w:r>
        <w:instrText xml:space="preserve"> HYPERLINK \l "_Toc25795" </w:instrText>
      </w:r>
      <w:r>
        <w:fldChar w:fldCharType="separate"/>
      </w:r>
      <w:r>
        <w:rPr>
          <w:rFonts w:hint="eastAsia" w:ascii="方正黑体_GBK" w:hAnsi="方正黑体_GBK" w:eastAsia="方正黑体_GBK" w:cs="方正黑体_GBK"/>
          <w:kern w:val="0"/>
          <w:szCs w:val="36"/>
        </w:rPr>
        <w:t>第四篇</w:t>
      </w:r>
      <w:r>
        <w:rPr>
          <w:rFonts w:ascii="方正黑体_GBK" w:hAnsi="方正黑体_GBK" w:eastAsia="方正黑体_GBK" w:cs="方正黑体_GBK"/>
          <w:kern w:val="0"/>
          <w:szCs w:val="36"/>
        </w:rPr>
        <w:t xml:space="preserve"> </w:t>
      </w:r>
      <w:r>
        <w:rPr>
          <w:rFonts w:hint="eastAsia" w:ascii="方正黑体_GBK" w:hAnsi="方正黑体_GBK" w:eastAsia="方正黑体_GBK" w:cs="方正黑体_GBK"/>
          <w:kern w:val="0"/>
          <w:szCs w:val="36"/>
        </w:rPr>
        <w:t>实施保障</w:t>
      </w:r>
      <w:r>
        <w:tab/>
      </w:r>
      <w:r>
        <w:fldChar w:fldCharType="begin"/>
      </w:r>
      <w:r>
        <w:instrText xml:space="preserve"> PAGEREF _Toc25795 \h </w:instrText>
      </w:r>
      <w:r>
        <w:fldChar w:fldCharType="separate"/>
      </w:r>
      <w:r>
        <w:t>51</w:t>
      </w:r>
      <w:r>
        <w:fldChar w:fldCharType="end"/>
      </w:r>
      <w:r>
        <w:fldChar w:fldCharType="end"/>
      </w:r>
    </w:p>
    <w:p>
      <w:pPr>
        <w:pStyle w:val="23"/>
        <w:tabs>
          <w:tab w:val="right" w:leader="dot" w:pos="8306"/>
          <w:tab w:val="clear" w:pos="8296"/>
        </w:tabs>
      </w:pPr>
      <w:r>
        <w:fldChar w:fldCharType="begin"/>
      </w:r>
      <w:r>
        <w:instrText xml:space="preserve"> HYPERLINK \l "_Toc12364" </w:instrText>
      </w:r>
      <w:r>
        <w:fldChar w:fldCharType="separate"/>
      </w:r>
      <w:r>
        <w:rPr>
          <w:rFonts w:hint="eastAsia" w:ascii="方正黑体_GBK" w:hAnsi="方正黑体_GBK" w:eastAsia="方正黑体_GBK" w:cs="方正黑体_GBK"/>
          <w:szCs w:val="32"/>
        </w:rPr>
        <w:t>第十章</w:t>
      </w:r>
      <w:r>
        <w:rPr>
          <w:rFonts w:ascii="方正黑体_GBK" w:hAnsi="方正黑体_GBK" w:eastAsia="方正黑体_GBK" w:cs="方正黑体_GBK"/>
          <w:szCs w:val="32"/>
        </w:rPr>
        <w:t xml:space="preserve"> </w:t>
      </w:r>
      <w:r>
        <w:rPr>
          <w:rFonts w:hint="eastAsia" w:ascii="方正黑体_GBK" w:hAnsi="方正黑体_GBK" w:eastAsia="方正黑体_GBK" w:cs="方正黑体_GBK"/>
          <w:szCs w:val="32"/>
        </w:rPr>
        <w:t>强化高质量发展支撑体系</w:t>
      </w:r>
      <w:r>
        <w:tab/>
      </w:r>
      <w:r>
        <w:fldChar w:fldCharType="begin"/>
      </w:r>
      <w:r>
        <w:instrText xml:space="preserve"> PAGEREF _Toc12364 \h </w:instrText>
      </w:r>
      <w:r>
        <w:fldChar w:fldCharType="separate"/>
      </w:r>
      <w:r>
        <w:t>51</w:t>
      </w:r>
      <w:r>
        <w:fldChar w:fldCharType="end"/>
      </w:r>
      <w:r>
        <w:fldChar w:fldCharType="end"/>
      </w:r>
    </w:p>
    <w:p>
      <w:pPr>
        <w:pStyle w:val="19"/>
        <w:tabs>
          <w:tab w:val="right" w:leader="dot" w:pos="8306"/>
          <w:tab w:val="clear" w:pos="8494"/>
        </w:tabs>
      </w:pPr>
      <w:r>
        <w:fldChar w:fldCharType="begin"/>
      </w:r>
      <w:r>
        <w:instrText xml:space="preserve"> HYPERLINK \l "_Toc24249" </w:instrText>
      </w:r>
      <w:r>
        <w:fldChar w:fldCharType="separate"/>
      </w:r>
      <w:r>
        <w:rPr>
          <w:rFonts w:hint="eastAsia" w:ascii="方正楷体_GBK" w:hAnsi="方正楷体_GBK" w:eastAsia="方正楷体_GBK" w:cs="方正楷体_GBK"/>
          <w:kern w:val="0"/>
          <w:szCs w:val="32"/>
        </w:rPr>
        <w:t>第一节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培育壮大市场主体体系</w:t>
      </w:r>
      <w:r>
        <w:tab/>
      </w:r>
      <w:r>
        <w:fldChar w:fldCharType="begin"/>
      </w:r>
      <w:r>
        <w:instrText xml:space="preserve"> PAGEREF _Toc24249 \h </w:instrText>
      </w:r>
      <w:r>
        <w:fldChar w:fldCharType="separate"/>
      </w:r>
      <w:r>
        <w:t>51</w:t>
      </w:r>
      <w:r>
        <w:fldChar w:fldCharType="end"/>
      </w:r>
      <w:r>
        <w:fldChar w:fldCharType="end"/>
      </w:r>
    </w:p>
    <w:p>
      <w:pPr>
        <w:pStyle w:val="19"/>
        <w:tabs>
          <w:tab w:val="right" w:leader="dot" w:pos="8306"/>
          <w:tab w:val="clear" w:pos="8494"/>
        </w:tabs>
      </w:pPr>
      <w:r>
        <w:fldChar w:fldCharType="begin"/>
      </w:r>
      <w:r>
        <w:instrText xml:space="preserve"> HYPERLINK \l "_Toc6469" </w:instrText>
      </w:r>
      <w:r>
        <w:fldChar w:fldCharType="separate"/>
      </w:r>
      <w:r>
        <w:rPr>
          <w:rFonts w:hint="eastAsia" w:ascii="方正楷体_GBK" w:hAnsi="方正楷体_GBK" w:eastAsia="方正楷体_GBK" w:cs="方正楷体_GBK"/>
          <w:kern w:val="0"/>
          <w:szCs w:val="32"/>
        </w:rPr>
        <w:t>第二节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完善服务质量体系</w:t>
      </w:r>
      <w:r>
        <w:tab/>
      </w:r>
      <w:r>
        <w:fldChar w:fldCharType="begin"/>
      </w:r>
      <w:r>
        <w:instrText xml:space="preserve"> PAGEREF _Toc6469 \h </w:instrText>
      </w:r>
      <w:r>
        <w:fldChar w:fldCharType="separate"/>
      </w:r>
      <w:r>
        <w:t>51</w:t>
      </w:r>
      <w:r>
        <w:fldChar w:fldCharType="end"/>
      </w:r>
      <w:r>
        <w:fldChar w:fldCharType="end"/>
      </w:r>
    </w:p>
    <w:p>
      <w:pPr>
        <w:pStyle w:val="19"/>
        <w:tabs>
          <w:tab w:val="right" w:leader="dot" w:pos="8306"/>
          <w:tab w:val="clear" w:pos="8494"/>
        </w:tabs>
      </w:pPr>
      <w:r>
        <w:fldChar w:fldCharType="begin"/>
      </w:r>
      <w:r>
        <w:instrText xml:space="preserve"> HYPERLINK \l "_Toc27992" </w:instrText>
      </w:r>
      <w:r>
        <w:fldChar w:fldCharType="separate"/>
      </w:r>
      <w:r>
        <w:rPr>
          <w:rFonts w:hint="eastAsia" w:ascii="方正楷体_GBK" w:hAnsi="方正楷体_GBK" w:eastAsia="方正楷体_GBK" w:cs="方正楷体_GBK"/>
          <w:kern w:val="0"/>
          <w:szCs w:val="32"/>
        </w:rPr>
        <w:t>第三节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优化创新创业生态体系</w:t>
      </w:r>
      <w:r>
        <w:tab/>
      </w:r>
      <w:r>
        <w:fldChar w:fldCharType="begin"/>
      </w:r>
      <w:r>
        <w:instrText xml:space="preserve"> PAGEREF _Toc27992 \h </w:instrText>
      </w:r>
      <w:r>
        <w:fldChar w:fldCharType="separate"/>
      </w:r>
      <w:r>
        <w:t>52</w:t>
      </w:r>
      <w:r>
        <w:fldChar w:fldCharType="end"/>
      </w:r>
      <w:r>
        <w:fldChar w:fldCharType="end"/>
      </w:r>
    </w:p>
    <w:p>
      <w:pPr>
        <w:pStyle w:val="19"/>
        <w:tabs>
          <w:tab w:val="right" w:leader="dot" w:pos="8306"/>
          <w:tab w:val="clear" w:pos="8494"/>
        </w:tabs>
      </w:pPr>
      <w:r>
        <w:fldChar w:fldCharType="begin"/>
      </w:r>
      <w:r>
        <w:instrText xml:space="preserve"> HYPERLINK \l "_Toc9838" </w:instrText>
      </w:r>
      <w:r>
        <w:fldChar w:fldCharType="separate"/>
      </w:r>
      <w:r>
        <w:rPr>
          <w:rFonts w:hint="eastAsia" w:ascii="方正楷体_GBK" w:hAnsi="方正楷体_GBK" w:eastAsia="方正楷体_GBK" w:cs="方正楷体_GBK"/>
          <w:kern w:val="0"/>
          <w:szCs w:val="32"/>
        </w:rPr>
        <w:t>第四节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优化人才集聚和培育体系</w:t>
      </w:r>
      <w:r>
        <w:tab/>
      </w:r>
      <w:r>
        <w:fldChar w:fldCharType="begin"/>
      </w:r>
      <w:r>
        <w:instrText xml:space="preserve"> PAGEREF _Toc9838 \h </w:instrText>
      </w:r>
      <w:r>
        <w:fldChar w:fldCharType="separate"/>
      </w:r>
      <w:r>
        <w:t>53</w:t>
      </w:r>
      <w:r>
        <w:fldChar w:fldCharType="end"/>
      </w:r>
      <w:r>
        <w:fldChar w:fldCharType="end"/>
      </w:r>
    </w:p>
    <w:p>
      <w:pPr>
        <w:pStyle w:val="19"/>
        <w:tabs>
          <w:tab w:val="right" w:leader="dot" w:pos="8306"/>
          <w:tab w:val="clear" w:pos="8494"/>
        </w:tabs>
      </w:pPr>
      <w:r>
        <w:fldChar w:fldCharType="begin"/>
      </w:r>
      <w:r>
        <w:instrText xml:space="preserve"> HYPERLINK \l "_Toc23021" </w:instrText>
      </w:r>
      <w:r>
        <w:fldChar w:fldCharType="separate"/>
      </w:r>
      <w:r>
        <w:rPr>
          <w:rFonts w:hint="eastAsia" w:ascii="方正楷体_GBK" w:hAnsi="方正楷体_GBK" w:eastAsia="方正楷体_GBK" w:cs="方正楷体_GBK"/>
          <w:kern w:val="0"/>
          <w:szCs w:val="32"/>
        </w:rPr>
        <w:t>第五节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提升品牌竞争力体系</w:t>
      </w:r>
      <w:r>
        <w:tab/>
      </w:r>
      <w:r>
        <w:fldChar w:fldCharType="begin"/>
      </w:r>
      <w:r>
        <w:instrText xml:space="preserve"> PAGEREF _Toc23021 \h </w:instrText>
      </w:r>
      <w:r>
        <w:fldChar w:fldCharType="separate"/>
      </w:r>
      <w:r>
        <w:t>53</w:t>
      </w:r>
      <w:r>
        <w:fldChar w:fldCharType="end"/>
      </w:r>
      <w:r>
        <w:fldChar w:fldCharType="end"/>
      </w:r>
    </w:p>
    <w:p>
      <w:pPr>
        <w:pStyle w:val="23"/>
        <w:tabs>
          <w:tab w:val="right" w:leader="dot" w:pos="8306"/>
          <w:tab w:val="clear" w:pos="8296"/>
        </w:tabs>
      </w:pPr>
      <w:r>
        <w:fldChar w:fldCharType="begin"/>
      </w:r>
      <w:r>
        <w:instrText xml:space="preserve"> HYPERLINK \l "_Toc26400" </w:instrText>
      </w:r>
      <w:r>
        <w:fldChar w:fldCharType="separate"/>
      </w:r>
      <w:r>
        <w:rPr>
          <w:rFonts w:hint="eastAsia" w:ascii="方正黑体_GBK" w:hAnsi="方正黑体_GBK" w:eastAsia="方正黑体_GBK" w:cs="方正黑体_GBK"/>
          <w:szCs w:val="32"/>
        </w:rPr>
        <w:t>第十一章</w:t>
      </w:r>
      <w:r>
        <w:rPr>
          <w:rFonts w:ascii="方正黑体_GBK" w:hAnsi="方正黑体_GBK" w:eastAsia="方正黑体_GBK" w:cs="方正黑体_GBK"/>
          <w:szCs w:val="32"/>
        </w:rPr>
        <w:t xml:space="preserve"> </w:t>
      </w:r>
      <w:r>
        <w:rPr>
          <w:rFonts w:hint="eastAsia" w:ascii="方正黑体_GBK" w:hAnsi="方正黑体_GBK" w:eastAsia="方正黑体_GBK" w:cs="方正黑体_GBK"/>
          <w:szCs w:val="32"/>
        </w:rPr>
        <w:t>强化规划实施保障</w:t>
      </w:r>
      <w:r>
        <w:tab/>
      </w:r>
      <w:r>
        <w:fldChar w:fldCharType="begin"/>
      </w:r>
      <w:r>
        <w:instrText xml:space="preserve"> PAGEREF _Toc26400 \h </w:instrText>
      </w:r>
      <w:r>
        <w:fldChar w:fldCharType="separate"/>
      </w:r>
      <w:r>
        <w:t>54</w:t>
      </w:r>
      <w:r>
        <w:fldChar w:fldCharType="end"/>
      </w:r>
      <w:r>
        <w:fldChar w:fldCharType="end"/>
      </w:r>
    </w:p>
    <w:p>
      <w:pPr>
        <w:pStyle w:val="19"/>
        <w:tabs>
          <w:tab w:val="right" w:leader="dot" w:pos="8306"/>
          <w:tab w:val="clear" w:pos="8494"/>
        </w:tabs>
      </w:pPr>
      <w:r>
        <w:fldChar w:fldCharType="begin"/>
      </w:r>
      <w:r>
        <w:instrText xml:space="preserve"> HYPERLINK \l "_Toc15528" </w:instrText>
      </w:r>
      <w:r>
        <w:fldChar w:fldCharType="separate"/>
      </w:r>
      <w:r>
        <w:rPr>
          <w:rFonts w:hint="eastAsia" w:ascii="方正楷体_GBK" w:hAnsi="方正楷体_GBK" w:eastAsia="方正楷体_GBK" w:cs="方正楷体_GBK"/>
          <w:kern w:val="0"/>
          <w:szCs w:val="32"/>
        </w:rPr>
        <w:t>第一节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加强组织领导</w:t>
      </w:r>
      <w:r>
        <w:tab/>
      </w:r>
      <w:r>
        <w:fldChar w:fldCharType="begin"/>
      </w:r>
      <w:r>
        <w:instrText xml:space="preserve"> PAGEREF _Toc15528 \h </w:instrText>
      </w:r>
      <w:r>
        <w:fldChar w:fldCharType="separate"/>
      </w:r>
      <w:r>
        <w:t>54</w:t>
      </w:r>
      <w:r>
        <w:fldChar w:fldCharType="end"/>
      </w:r>
      <w:r>
        <w:fldChar w:fldCharType="end"/>
      </w:r>
    </w:p>
    <w:p>
      <w:pPr>
        <w:pStyle w:val="19"/>
        <w:tabs>
          <w:tab w:val="right" w:leader="dot" w:pos="8306"/>
          <w:tab w:val="clear" w:pos="8494"/>
        </w:tabs>
      </w:pPr>
      <w:r>
        <w:fldChar w:fldCharType="begin"/>
      </w:r>
      <w:r>
        <w:instrText xml:space="preserve"> HYPERLINK \l "_Toc10265" </w:instrText>
      </w:r>
      <w:r>
        <w:fldChar w:fldCharType="separate"/>
      </w:r>
      <w:r>
        <w:rPr>
          <w:rFonts w:hint="eastAsia" w:ascii="方正楷体_GBK" w:hAnsi="方正楷体_GBK" w:eastAsia="方正楷体_GBK" w:cs="方正楷体_GBK"/>
          <w:kern w:val="0"/>
          <w:szCs w:val="32"/>
        </w:rPr>
        <w:t>第二节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优化营商环境</w:t>
      </w:r>
      <w:r>
        <w:tab/>
      </w:r>
      <w:r>
        <w:fldChar w:fldCharType="begin"/>
      </w:r>
      <w:r>
        <w:instrText xml:space="preserve"> PAGEREF _Toc10265 \h </w:instrText>
      </w:r>
      <w:r>
        <w:fldChar w:fldCharType="separate"/>
      </w:r>
      <w:r>
        <w:t>55</w:t>
      </w:r>
      <w:r>
        <w:fldChar w:fldCharType="end"/>
      </w:r>
      <w:r>
        <w:fldChar w:fldCharType="end"/>
      </w:r>
    </w:p>
    <w:p>
      <w:pPr>
        <w:pStyle w:val="19"/>
        <w:tabs>
          <w:tab w:val="right" w:leader="dot" w:pos="8306"/>
          <w:tab w:val="clear" w:pos="8494"/>
        </w:tabs>
      </w:pPr>
      <w:r>
        <w:fldChar w:fldCharType="begin"/>
      </w:r>
      <w:r>
        <w:instrText xml:space="preserve"> HYPERLINK \l "_Toc14169" </w:instrText>
      </w:r>
      <w:r>
        <w:fldChar w:fldCharType="separate"/>
      </w:r>
      <w:r>
        <w:rPr>
          <w:rFonts w:hint="eastAsia" w:ascii="方正楷体_GBK" w:hAnsi="方正楷体_GBK" w:eastAsia="方正楷体_GBK" w:cs="方正楷体_GBK"/>
          <w:kern w:val="0"/>
          <w:szCs w:val="32"/>
        </w:rPr>
        <w:t>第三节</w:t>
      </w:r>
      <w:r>
        <w:rPr>
          <w:rFonts w:ascii="方正楷体_GBK" w:hAnsi="方正楷体_GBK" w:eastAsia="方正楷体_GBK" w:cs="方正楷体_GBK"/>
          <w:kern w:val="0"/>
          <w:szCs w:val="32"/>
        </w:rPr>
        <w:t xml:space="preserve"> </w:t>
      </w:r>
      <w:r>
        <w:rPr>
          <w:rFonts w:hint="eastAsia" w:eastAsia="方正楷体_GBK" w:cs="方正楷体_GBK"/>
          <w:szCs w:val="32"/>
        </w:rPr>
        <w:t>完善</w:t>
      </w:r>
      <w:r>
        <w:rPr>
          <w:rFonts w:hint="eastAsia" w:ascii="Times New Roman" w:eastAsia="方正楷体_GBK" w:cs="方正楷体_GBK"/>
          <w:szCs w:val="32"/>
        </w:rPr>
        <w:t>政策支撑</w:t>
      </w:r>
      <w:r>
        <w:tab/>
      </w:r>
      <w:r>
        <w:fldChar w:fldCharType="begin"/>
      </w:r>
      <w:r>
        <w:instrText xml:space="preserve"> PAGEREF _Toc14169 \h </w:instrText>
      </w:r>
      <w:r>
        <w:fldChar w:fldCharType="separate"/>
      </w:r>
      <w:r>
        <w:t>55</w:t>
      </w:r>
      <w:r>
        <w:fldChar w:fldCharType="end"/>
      </w:r>
      <w:r>
        <w:fldChar w:fldCharType="end"/>
      </w:r>
    </w:p>
    <w:p>
      <w:pPr>
        <w:pStyle w:val="19"/>
        <w:tabs>
          <w:tab w:val="right" w:leader="dot" w:pos="8306"/>
          <w:tab w:val="clear" w:pos="8494"/>
        </w:tabs>
      </w:pPr>
      <w:r>
        <w:fldChar w:fldCharType="begin"/>
      </w:r>
      <w:r>
        <w:instrText xml:space="preserve"> HYPERLINK \l "_Toc5072" </w:instrText>
      </w:r>
      <w:r>
        <w:fldChar w:fldCharType="separate"/>
      </w:r>
      <w:r>
        <w:rPr>
          <w:rFonts w:hint="eastAsia" w:ascii="方正楷体_GBK" w:hAnsi="方正楷体_GBK" w:eastAsia="方正楷体_GBK" w:cs="方正楷体_GBK"/>
          <w:kern w:val="0"/>
          <w:szCs w:val="32"/>
        </w:rPr>
        <w:t>第四节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强化产业链招商</w:t>
      </w:r>
      <w:r>
        <w:tab/>
      </w:r>
      <w:r>
        <w:fldChar w:fldCharType="begin"/>
      </w:r>
      <w:r>
        <w:instrText xml:space="preserve"> PAGEREF _Toc5072 \h </w:instrText>
      </w:r>
      <w:r>
        <w:fldChar w:fldCharType="separate"/>
      </w:r>
      <w:r>
        <w:t>56</w:t>
      </w:r>
      <w:r>
        <w:fldChar w:fldCharType="end"/>
      </w:r>
      <w:r>
        <w:fldChar w:fldCharType="end"/>
      </w:r>
    </w:p>
    <w:p>
      <w:pPr>
        <w:pStyle w:val="19"/>
        <w:tabs>
          <w:tab w:val="right" w:leader="dot" w:pos="8306"/>
          <w:tab w:val="clear" w:pos="8494"/>
        </w:tabs>
      </w:pPr>
      <w:r>
        <w:fldChar w:fldCharType="begin"/>
      </w:r>
      <w:r>
        <w:instrText xml:space="preserve"> HYPERLINK \l "_Toc8951" </w:instrText>
      </w:r>
      <w:r>
        <w:fldChar w:fldCharType="separate"/>
      </w:r>
      <w:r>
        <w:rPr>
          <w:rFonts w:hint="eastAsia" w:ascii="方正楷体_GBK" w:hAnsi="方正楷体_GBK" w:eastAsia="方正楷体_GBK" w:cs="方正楷体_GBK"/>
          <w:kern w:val="0"/>
          <w:szCs w:val="32"/>
        </w:rPr>
        <w:t>第五节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加强统计考核</w:t>
      </w:r>
      <w:r>
        <w:tab/>
      </w:r>
      <w:r>
        <w:fldChar w:fldCharType="begin"/>
      </w:r>
      <w:r>
        <w:instrText xml:space="preserve"> PAGEREF _Toc8951 \h </w:instrText>
      </w:r>
      <w:r>
        <w:fldChar w:fldCharType="separate"/>
      </w:r>
      <w:r>
        <w:t>56</w:t>
      </w:r>
      <w:r>
        <w:fldChar w:fldCharType="end"/>
      </w:r>
      <w:r>
        <w:fldChar w:fldCharType="end"/>
      </w:r>
    </w:p>
    <w:p>
      <w:pPr>
        <w:spacing w:line="500" w:lineRule="exact"/>
        <w:rPr>
          <w:rFonts w:ascii="方正楷体_GBK" w:hAnsi="方正楷体_GBK" w:eastAsia="方正楷体_GBK" w:cs="方正楷体_GBK"/>
          <w:sz w:val="28"/>
          <w:szCs w:val="28"/>
        </w:rPr>
      </w:pPr>
      <w:r>
        <w:rPr>
          <w:rFonts w:ascii="方正楷体_GBK" w:hAnsi="方正楷体_GBK" w:eastAsia="方正楷体_GBK" w:cs="方正楷体_GBK"/>
          <w:sz w:val="28"/>
          <w:szCs w:val="28"/>
        </w:rPr>
        <w:fldChar w:fldCharType="end"/>
      </w:r>
    </w:p>
    <w:bookmarkEnd w:id="0"/>
    <w:p>
      <w:pPr>
        <w:spacing w:line="560" w:lineRule="exact"/>
        <w:ind w:firstLine="640" w:firstLineChars="200"/>
        <w:rPr>
          <w:rFonts w:ascii="方正仿宋_GBK" w:hAnsi="方正仿宋_GBK" w:eastAsia="方正仿宋_GBK" w:cs="方正仿宋_GBK"/>
          <w:sz w:val="32"/>
          <w:szCs w:val="32"/>
        </w:rPr>
      </w:pPr>
    </w:p>
    <w:p/>
    <w:p/>
    <w:p/>
    <w:p/>
    <w:p/>
    <w:p/>
    <w:p/>
    <w:p/>
    <w:p/>
    <w:p/>
    <w:p>
      <w:pPr>
        <w:tabs>
          <w:tab w:val="left" w:pos="1364"/>
        </w:tabs>
        <w:jc w:val="left"/>
        <w:sectPr>
          <w:footerReference r:id="rId4" w:type="default"/>
          <w:pgSz w:w="11906" w:h="16838"/>
          <w:pgMar w:top="1440" w:right="1800" w:bottom="1440" w:left="1800" w:header="851" w:footer="992" w:gutter="0"/>
          <w:pgNumType w:start="1"/>
          <w:cols w:space="425" w:num="1"/>
          <w:docGrid w:type="lines" w:linePitch="312" w:charSpace="0"/>
        </w:sectPr>
      </w:pPr>
      <w:r>
        <w:tab/>
      </w:r>
    </w:p>
    <w:p>
      <w:pPr>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重庆市渝北区现代服务业发展</w:t>
      </w:r>
    </w:p>
    <w:p>
      <w:pPr>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“十四五”规划</w:t>
      </w:r>
    </w:p>
    <w:p>
      <w:pPr>
        <w:spacing w:line="560" w:lineRule="exact"/>
        <w:jc w:val="cente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w:t>
      </w:r>
      <w:r>
        <w:rPr>
          <w:rFonts w:ascii="方正仿宋_GBK" w:hAnsi="方正仿宋_GBK" w:eastAsia="方正仿宋_GBK" w:cs="方正仿宋_GBK"/>
          <w:sz w:val="32"/>
          <w:szCs w:val="32"/>
        </w:rPr>
        <w:t>2021—2025</w:t>
      </w:r>
      <w:r>
        <w:rPr>
          <w:rFonts w:hint="eastAsia" w:ascii="方正仿宋_GBK" w:hAnsi="方正仿宋_GBK" w:eastAsia="方正仿宋_GBK" w:cs="方正仿宋_GBK"/>
          <w:sz w:val="32"/>
          <w:szCs w:val="32"/>
        </w:rPr>
        <w:t>年）</w:t>
      </w:r>
    </w:p>
    <w:p>
      <w:pPr>
        <w:spacing w:line="560" w:lineRule="exact"/>
        <w:ind w:firstLine="640" w:firstLineChars="200"/>
        <w:rPr>
          <w:rFonts w:ascii="方正仿宋_GBK" w:hAnsi="方正仿宋_GBK" w:eastAsia="方正仿宋_GBK" w:cs="方正仿宋_GBK"/>
          <w:sz w:val="32"/>
          <w:szCs w:val="32"/>
        </w:rPr>
      </w:pP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本规划</w:t>
      </w:r>
      <w:r>
        <w:rPr>
          <w:rFonts w:hint="eastAsia" w:ascii="方正仿宋_GBK" w:hAnsi="方正仿宋_GBK" w:eastAsia="方正仿宋_GBK" w:cs="方正仿宋_GBK"/>
          <w:sz w:val="32"/>
          <w:szCs w:val="32"/>
          <w:lang w:val="zh-TW"/>
        </w:rPr>
        <w:t>根据</w:t>
      </w:r>
      <w:r>
        <w:rPr>
          <w:rFonts w:hint="eastAsia" w:ascii="方正仿宋_GBK" w:hAnsi="方正仿宋_GBK" w:eastAsia="方正仿宋_GBK" w:cs="方正仿宋_GBK"/>
          <w:sz w:val="32"/>
          <w:szCs w:val="32"/>
        </w:rPr>
        <w:t>《重庆市人民政府关于新形势下推动服务业高质量发展的意见（渝府发〔</w:t>
      </w:r>
      <w:r>
        <w:rPr>
          <w:rFonts w:ascii="方正仿宋_GBK" w:hAnsi="方正仿宋_GBK" w:eastAsia="方正仿宋_GBK" w:cs="方正仿宋_GBK"/>
          <w:sz w:val="32"/>
          <w:szCs w:val="32"/>
        </w:rPr>
        <w:t>2020</w:t>
      </w:r>
      <w:r>
        <w:rPr>
          <w:rFonts w:hint="eastAsia" w:ascii="方正仿宋_GBK" w:hAnsi="方正仿宋_GBK" w:eastAsia="方正仿宋_GBK" w:cs="方正仿宋_GBK"/>
          <w:sz w:val="32"/>
          <w:szCs w:val="32"/>
        </w:rPr>
        <w:t>〕</w:t>
      </w:r>
      <w:r>
        <w:rPr>
          <w:rFonts w:ascii="方正仿宋_GBK" w:hAnsi="方正仿宋_GBK" w:eastAsia="方正仿宋_GBK" w:cs="方正仿宋_GBK"/>
          <w:sz w:val="32"/>
          <w:szCs w:val="32"/>
        </w:rPr>
        <w:t>10</w:t>
      </w:r>
      <w:r>
        <w:rPr>
          <w:rFonts w:hint="eastAsia" w:ascii="方正仿宋_GBK" w:hAnsi="方正仿宋_GBK" w:eastAsia="方正仿宋_GBK" w:cs="方正仿宋_GBK"/>
          <w:sz w:val="32"/>
          <w:szCs w:val="32"/>
        </w:rPr>
        <w:t>号）》、《重庆市服务业发展“十四五”规划（</w:t>
      </w:r>
      <w:r>
        <w:rPr>
          <w:rFonts w:ascii="方正仿宋_GBK" w:hAnsi="方正仿宋_GBK" w:eastAsia="方正仿宋_GBK" w:cs="方正仿宋_GBK"/>
          <w:sz w:val="32"/>
          <w:szCs w:val="32"/>
        </w:rPr>
        <w:t>2021—2025</w:t>
      </w:r>
      <w:r>
        <w:rPr>
          <w:rFonts w:hint="eastAsia" w:ascii="方正仿宋_GBK" w:hAnsi="方正仿宋_GBK" w:eastAsia="方正仿宋_GBK" w:cs="方正仿宋_GBK"/>
          <w:sz w:val="32"/>
          <w:szCs w:val="32"/>
        </w:rPr>
        <w:t>年）》、《重庆市渝北区国民经济和社会发展第十四个五年规划和二〇三五年远景目标纲要》等文件精神制定，明确渝北区“十四五”时期现代服务业发展战略意图和工作重点，是未来五年全区服务业行动纲领，是政府履行职责和引导市场主体行为的重要依据。本《规划》范围包括渝北行政区全域，对龙兴工业开发区、保税港区空港功能区、悦来新城和江北国际机场现代服务业的发展规划只作原则性描述，其具体发展规划由相关市级开发主体负责编制和实施。</w:t>
      </w:r>
    </w:p>
    <w:p>
      <w:pPr>
        <w:pStyle w:val="3"/>
        <w:spacing w:beforeLines="150" w:afterLines="150" w:line="560" w:lineRule="exact"/>
        <w:contextualSpacing/>
        <w:jc w:val="center"/>
        <w:rPr>
          <w:rFonts w:ascii="微软雅黑" w:hAnsi="微软雅黑" w:eastAsia="微软雅黑" w:cs="微软雅黑"/>
          <w:kern w:val="0"/>
          <w:sz w:val="32"/>
          <w:szCs w:val="32"/>
        </w:rPr>
      </w:pPr>
      <w:bookmarkStart w:id="1" w:name="_Toc289"/>
      <w:bookmarkStart w:id="2" w:name="_Toc73"/>
      <w:r>
        <w:rPr>
          <w:rFonts w:hint="eastAsia" w:ascii="方正黑体_GBK" w:hAnsi="方正黑体_GBK" w:eastAsia="方正黑体_GBK" w:cs="方正黑体_GBK"/>
          <w:kern w:val="0"/>
          <w:sz w:val="36"/>
          <w:szCs w:val="36"/>
        </w:rPr>
        <w:t>第一篇</w:t>
      </w:r>
      <w:r>
        <w:rPr>
          <w:rFonts w:ascii="方正黑体_GBK" w:hAnsi="方正黑体_GBK" w:eastAsia="方正黑体_GBK" w:cs="方正黑体_GBK"/>
          <w:kern w:val="0"/>
          <w:sz w:val="36"/>
          <w:szCs w:val="36"/>
        </w:rPr>
        <w:t xml:space="preserve">  </w:t>
      </w:r>
      <w:r>
        <w:rPr>
          <w:rFonts w:hint="eastAsia" w:ascii="方正黑体_GBK" w:hAnsi="方正黑体_GBK" w:eastAsia="方正黑体_GBK" w:cs="方正黑体_GBK"/>
          <w:kern w:val="0"/>
          <w:sz w:val="36"/>
          <w:szCs w:val="36"/>
        </w:rPr>
        <w:t>发展形势与要求</w:t>
      </w:r>
      <w:bookmarkEnd w:id="1"/>
    </w:p>
    <w:p>
      <w:pPr>
        <w:pStyle w:val="125"/>
        <w:overflowPunct w:val="0"/>
        <w:adjustRightInd w:val="0"/>
        <w:snapToGrid w:val="0"/>
        <w:spacing w:beforeLines="150" w:afterLines="50" w:line="560" w:lineRule="exact"/>
        <w:ind w:firstLine="0"/>
        <w:jc w:val="center"/>
        <w:outlineLvl w:val="1"/>
        <w:rPr>
          <w:rFonts w:ascii="方正黑体_GBK" w:hAnsi="方正黑体_GBK" w:eastAsia="方正黑体_GBK" w:cs="方正黑体_GBK"/>
          <w:kern w:val="0"/>
          <w:sz w:val="32"/>
          <w:szCs w:val="32"/>
        </w:rPr>
      </w:pPr>
      <w:bookmarkStart w:id="3" w:name="_Toc19889"/>
      <w:bookmarkStart w:id="4" w:name="_Toc100"/>
      <w:bookmarkStart w:id="5" w:name="_Toc24591"/>
      <w:bookmarkStart w:id="6" w:name="_Toc3012"/>
      <w:bookmarkStart w:id="7" w:name="_Toc28027"/>
      <w:bookmarkStart w:id="8" w:name="_Toc10720"/>
      <w:bookmarkStart w:id="9" w:name="_Toc14815"/>
      <w:r>
        <w:rPr>
          <w:rFonts w:hint="eastAsia" w:ascii="方正黑体_GBK" w:hAnsi="方正黑体_GBK" w:eastAsia="方正黑体_GBK" w:cs="方正黑体_GBK"/>
          <w:kern w:val="0"/>
          <w:sz w:val="32"/>
          <w:szCs w:val="32"/>
        </w:rPr>
        <w:t>第一章</w:t>
      </w:r>
      <w:bookmarkStart w:id="10" w:name="_Toc4694"/>
      <w:bookmarkEnd w:id="10"/>
      <w:bookmarkStart w:id="11" w:name="_Toc28317"/>
      <w:bookmarkEnd w:id="11"/>
      <w:bookmarkStart w:id="12" w:name="_Toc6156"/>
      <w:bookmarkEnd w:id="12"/>
      <w:bookmarkStart w:id="13" w:name="_Toc27747"/>
      <w:bookmarkEnd w:id="13"/>
      <w:r>
        <w:rPr>
          <w:rFonts w:hint="eastAsia" w:ascii="方正黑体_GBK" w:hAnsi="方正黑体_GBK" w:eastAsia="方正黑体_GBK" w:cs="方正黑体_GBK"/>
          <w:kern w:val="0"/>
          <w:sz w:val="32"/>
          <w:szCs w:val="32"/>
        </w:rPr>
        <w:t>发展基础</w:t>
      </w:r>
      <w:bookmarkEnd w:id="3"/>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十四五”时期是我国全面建成小康社会、实现第一个百年奋斗目标之后，乘势而上开启全面建设社会主义现代化国家新征程、向第二个百年奋斗目标进军的第一个五年。要着眼长远，把握大势，谱写全区现代服务业高质量发展新篇章。</w:t>
      </w: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14" w:name="_Toc1338"/>
      <w:r>
        <w:rPr>
          <w:rFonts w:hint="eastAsia" w:ascii="方正楷体_GBK" w:hAnsi="方正楷体_GBK" w:eastAsia="方正楷体_GBK" w:cs="方正楷体_GBK"/>
          <w:kern w:val="0"/>
          <w:sz w:val="32"/>
          <w:szCs w:val="32"/>
        </w:rPr>
        <w:t>第一节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发展</w:t>
      </w:r>
      <w:bookmarkEnd w:id="4"/>
      <w:bookmarkEnd w:id="5"/>
      <w:bookmarkEnd w:id="6"/>
      <w:bookmarkEnd w:id="7"/>
      <w:bookmarkEnd w:id="8"/>
      <w:r>
        <w:rPr>
          <w:rFonts w:hint="eastAsia" w:ascii="方正楷体_GBK" w:hAnsi="方正楷体_GBK" w:eastAsia="方正楷体_GBK" w:cs="方正楷体_GBK"/>
          <w:kern w:val="0"/>
          <w:sz w:val="32"/>
          <w:szCs w:val="32"/>
        </w:rPr>
        <w:t>现状</w:t>
      </w:r>
      <w:bookmarkEnd w:id="14"/>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“十三五”时期，我区服务业发展规模迅速提升，结构持续优化，新模式新业态不断涌现，跨越式发展迈上新台阶，在经济增长、转型升级、促进就业、改善民生等方面发挥了重要作用。</w:t>
      </w:r>
    </w:p>
    <w:p>
      <w:pPr>
        <w:spacing w:line="560" w:lineRule="exact"/>
        <w:ind w:firstLine="643" w:firstLineChars="200"/>
        <w:rPr>
          <w:rFonts w:ascii="方正仿宋_GBK" w:hAnsi="方正仿宋_GBK" w:eastAsia="方正仿宋_GBK" w:cs="方正仿宋_GBK"/>
          <w:sz w:val="32"/>
          <w:szCs w:val="32"/>
        </w:rPr>
      </w:pPr>
      <w:bookmarkStart w:id="15" w:name="_Toc26509"/>
      <w:bookmarkStart w:id="16" w:name="_Toc40888662"/>
      <w:bookmarkStart w:id="17" w:name="_Toc18297"/>
      <w:r>
        <w:rPr>
          <w:rFonts w:hint="eastAsia" w:ascii="方正仿宋_GBK" w:hAnsi="方正仿宋_GBK" w:eastAsia="方正仿宋_GBK" w:cs="方正仿宋_GBK"/>
          <w:b/>
          <w:bCs/>
          <w:sz w:val="32"/>
          <w:szCs w:val="32"/>
        </w:rPr>
        <w:t>服务业实力显著增强。</w:t>
      </w:r>
      <w:r>
        <w:rPr>
          <w:rFonts w:ascii="方正仿宋_GBK" w:hAnsi="方正仿宋_GBK" w:eastAsia="方正仿宋_GBK" w:cs="方正仿宋_GBK"/>
          <w:sz w:val="32"/>
          <w:szCs w:val="32"/>
        </w:rPr>
        <w:t>2020</w:t>
      </w:r>
      <w:r>
        <w:rPr>
          <w:rFonts w:hint="eastAsia" w:ascii="方正仿宋_GBK" w:hAnsi="方正仿宋_GBK" w:eastAsia="方正仿宋_GBK" w:cs="方正仿宋_GBK"/>
          <w:sz w:val="32"/>
          <w:szCs w:val="32"/>
        </w:rPr>
        <w:t>年，全区服务业增加值达到</w:t>
      </w:r>
      <w:r>
        <w:rPr>
          <w:rFonts w:ascii="方正仿宋_GBK" w:hAnsi="方正仿宋_GBK" w:eastAsia="方正仿宋_GBK" w:cs="方正仿宋_GBK"/>
          <w:sz w:val="32"/>
          <w:szCs w:val="32"/>
        </w:rPr>
        <w:t>1326.08</w:t>
      </w:r>
      <w:r>
        <w:rPr>
          <w:rFonts w:hint="eastAsia" w:ascii="方正仿宋_GBK" w:hAnsi="方正仿宋_GBK" w:eastAsia="方正仿宋_GBK" w:cs="方正仿宋_GBK"/>
          <w:sz w:val="32"/>
          <w:szCs w:val="32"/>
        </w:rPr>
        <w:t>亿元，是</w:t>
      </w:r>
      <w:r>
        <w:rPr>
          <w:rFonts w:ascii="方正仿宋_GBK" w:hAnsi="方正仿宋_GBK" w:eastAsia="方正仿宋_GBK" w:cs="方正仿宋_GBK"/>
          <w:sz w:val="32"/>
          <w:szCs w:val="32"/>
        </w:rPr>
        <w:t>2015</w:t>
      </w:r>
      <w:r>
        <w:rPr>
          <w:rFonts w:hint="eastAsia" w:ascii="方正仿宋_GBK" w:hAnsi="方正仿宋_GBK" w:eastAsia="方正仿宋_GBK" w:cs="方正仿宋_GBK"/>
          <w:sz w:val="32"/>
          <w:szCs w:val="32"/>
        </w:rPr>
        <w:t>年的</w:t>
      </w:r>
      <w:r>
        <w:rPr>
          <w:rFonts w:ascii="方正仿宋_GBK" w:hAnsi="方正仿宋_GBK" w:eastAsia="方正仿宋_GBK" w:cs="方正仿宋_GBK"/>
          <w:sz w:val="32"/>
          <w:szCs w:val="32"/>
        </w:rPr>
        <w:t>2.83</w:t>
      </w:r>
      <w:r>
        <w:rPr>
          <w:rFonts w:hint="eastAsia" w:ascii="方正仿宋_GBK" w:hAnsi="方正仿宋_GBK" w:eastAsia="方正仿宋_GBK" w:cs="方正仿宋_GBK"/>
          <w:sz w:val="32"/>
          <w:szCs w:val="32"/>
        </w:rPr>
        <w:t>倍，总量跃居全市第一，占全市服务业增加值的</w:t>
      </w:r>
      <w:r>
        <w:rPr>
          <w:rFonts w:ascii="方正仿宋_GBK" w:hAnsi="方正仿宋_GBK" w:eastAsia="方正仿宋_GBK" w:cs="方正仿宋_GBK"/>
          <w:sz w:val="32"/>
          <w:szCs w:val="32"/>
        </w:rPr>
        <w:t>1/10</w:t>
      </w:r>
      <w:r>
        <w:rPr>
          <w:rFonts w:hint="eastAsia" w:ascii="方正仿宋_GBK" w:hAnsi="方正仿宋_GBK" w:eastAsia="方正仿宋_GBK" w:cs="方正仿宋_GBK"/>
          <w:sz w:val="32"/>
          <w:szCs w:val="32"/>
        </w:rPr>
        <w:t>。服务业增加值占地区生产总值比重由</w:t>
      </w:r>
      <w:r>
        <w:rPr>
          <w:rFonts w:ascii="方正仿宋_GBK" w:hAnsi="方正仿宋_GBK" w:eastAsia="方正仿宋_GBK" w:cs="方正仿宋_GBK"/>
          <w:sz w:val="32"/>
          <w:szCs w:val="32"/>
        </w:rPr>
        <w:t>47.4%</w:t>
      </w:r>
      <w:r>
        <w:rPr>
          <w:rFonts w:hint="eastAsia" w:ascii="方正仿宋_GBK" w:hAnsi="方正仿宋_GBK" w:eastAsia="方正仿宋_GBK" w:cs="方正仿宋_GBK"/>
          <w:sz w:val="32"/>
          <w:szCs w:val="32"/>
        </w:rPr>
        <w:t>上升到</w:t>
      </w:r>
      <w:r>
        <w:rPr>
          <w:rFonts w:ascii="方正仿宋_GBK" w:hAnsi="方正仿宋_GBK" w:eastAsia="方正仿宋_GBK" w:cs="方正仿宋_GBK"/>
          <w:sz w:val="32"/>
          <w:szCs w:val="32"/>
        </w:rPr>
        <w:t>66%</w:t>
      </w:r>
      <w:r>
        <w:rPr>
          <w:rFonts w:hint="eastAsia" w:ascii="方正仿宋_GBK" w:hAnsi="方正仿宋_GBK" w:eastAsia="方正仿宋_GBK" w:cs="方正仿宋_GBK"/>
          <w:sz w:val="32"/>
          <w:szCs w:val="32"/>
        </w:rPr>
        <w:t>，服务业税收占比达</w:t>
      </w:r>
      <w:r>
        <w:rPr>
          <w:rFonts w:ascii="方正仿宋_GBK" w:hAnsi="方正仿宋_GBK" w:eastAsia="方正仿宋_GBK" w:cs="方正仿宋_GBK"/>
          <w:sz w:val="32"/>
          <w:szCs w:val="32"/>
        </w:rPr>
        <w:t>77.9%</w:t>
      </w:r>
      <w:r>
        <w:rPr>
          <w:rFonts w:hint="eastAsia" w:ascii="方正仿宋_GBK" w:hAnsi="方正仿宋_GBK" w:eastAsia="方正仿宋_GBK" w:cs="方正仿宋_GBK"/>
          <w:sz w:val="32"/>
          <w:szCs w:val="32"/>
        </w:rPr>
        <w:t>，服务业固定资产投资占比达</w:t>
      </w:r>
      <w:r>
        <w:rPr>
          <w:rFonts w:ascii="方正仿宋_GBK" w:hAnsi="方正仿宋_GBK" w:eastAsia="方正仿宋_GBK" w:cs="方正仿宋_GBK"/>
          <w:sz w:val="32"/>
          <w:szCs w:val="32"/>
        </w:rPr>
        <w:t>87.23%</w:t>
      </w:r>
      <w:r>
        <w:rPr>
          <w:rFonts w:hint="eastAsia" w:ascii="方正仿宋_GBK" w:hAnsi="方正仿宋_GBK" w:eastAsia="方正仿宋_GBK" w:cs="方正仿宋_GBK"/>
          <w:sz w:val="32"/>
          <w:szCs w:val="32"/>
        </w:rPr>
        <w:t>。科技、金融、商贸、货物与服务贸易等主要经济指标位居全市领先水平，全区规模以上服务业企业实现营业收入</w:t>
      </w:r>
      <w:r>
        <w:rPr>
          <w:rFonts w:ascii="方正仿宋_GBK" w:hAnsi="方正仿宋_GBK" w:eastAsia="方正仿宋_GBK" w:cs="方正仿宋_GBK"/>
          <w:sz w:val="32"/>
          <w:szCs w:val="32"/>
        </w:rPr>
        <w:t>1251.05</w:t>
      </w:r>
      <w:r>
        <w:rPr>
          <w:rFonts w:hint="eastAsia" w:ascii="方正仿宋_GBK" w:hAnsi="方正仿宋_GBK" w:eastAsia="方正仿宋_GBK" w:cs="方正仿宋_GBK"/>
          <w:sz w:val="32"/>
          <w:szCs w:val="32"/>
        </w:rPr>
        <w:t>亿元，总量位列全市第一，入选中国服务业企业</w:t>
      </w:r>
      <w:r>
        <w:rPr>
          <w:rFonts w:ascii="方正仿宋_GBK" w:hAnsi="方正仿宋_GBK" w:eastAsia="方正仿宋_GBK" w:cs="方正仿宋_GBK"/>
          <w:sz w:val="32"/>
          <w:szCs w:val="32"/>
        </w:rPr>
        <w:t>500</w:t>
      </w:r>
      <w:r>
        <w:rPr>
          <w:rFonts w:hint="eastAsia" w:ascii="方正仿宋_GBK" w:hAnsi="方正仿宋_GBK" w:eastAsia="方正仿宋_GBK" w:cs="方正仿宋_GBK"/>
          <w:sz w:val="32"/>
          <w:szCs w:val="32"/>
        </w:rPr>
        <w:t>强数量位列全市第一，服务业领先优势明显，成为经济增长的主要动力。</w:t>
      </w:r>
    </w:p>
    <w:p>
      <w:pPr>
        <w:spacing w:line="560" w:lineRule="exact"/>
        <w:ind w:firstLine="643"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高质量发展动能集聚。</w:t>
      </w:r>
      <w:bookmarkStart w:id="18" w:name="_Toc28276"/>
      <w:bookmarkStart w:id="19" w:name="_Toc17162"/>
      <w:bookmarkStart w:id="20" w:name="_Toc40888667"/>
      <w:r>
        <w:rPr>
          <w:rFonts w:hint="eastAsia" w:ascii="方正仿宋_GBK" w:hAnsi="方正仿宋_GBK" w:eastAsia="方正仿宋_GBK" w:cs="方正仿宋_GBK"/>
          <w:sz w:val="32"/>
          <w:szCs w:val="32"/>
        </w:rPr>
        <w:t>服务业投资进一步向民生领域和高技术领域集聚。高端消费持续发力，</w:t>
      </w:r>
      <w:bookmarkEnd w:id="18"/>
      <w:bookmarkEnd w:id="19"/>
      <w:bookmarkEnd w:id="20"/>
      <w:r>
        <w:rPr>
          <w:rFonts w:hint="eastAsia" w:ascii="方正仿宋_GBK" w:hAnsi="方正仿宋_GBK" w:eastAsia="方正仿宋_GBK" w:cs="方正仿宋_GBK"/>
          <w:sz w:val="32"/>
          <w:szCs w:val="32"/>
        </w:rPr>
        <w:t>新光天地、蘭亭新都汇等</w:t>
      </w:r>
      <w:r>
        <w:rPr>
          <w:rFonts w:ascii="方正仿宋_GBK" w:hAnsi="方正仿宋_GBK" w:eastAsia="方正仿宋_GBK" w:cs="方正仿宋_GBK"/>
          <w:sz w:val="32"/>
          <w:szCs w:val="32"/>
        </w:rPr>
        <w:t>130</w:t>
      </w:r>
      <w:r>
        <w:rPr>
          <w:rFonts w:hint="eastAsia" w:ascii="方正仿宋_GBK" w:hAnsi="方正仿宋_GBK" w:eastAsia="方正仿宋_GBK" w:cs="方正仿宋_GBK"/>
          <w:sz w:val="32"/>
          <w:szCs w:val="32"/>
        </w:rPr>
        <w:t>万平方米商业综合体建成运营，航空物流园加快建设，快件集散中心等有序推进，以悦来会展城为龙头的会展产业加快发展，仙桃国际大数据谷快速发展，中关村协同创新中心、长安全球软件中心落地建设，两江国际商务中心加快建设，龙湖天街、吾悦广场、中粮大悦城等项目蓄势待发。</w:t>
      </w:r>
    </w:p>
    <w:p>
      <w:pPr>
        <w:spacing w:line="560" w:lineRule="exact"/>
        <w:ind w:firstLine="643"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创新驱动引领发展。</w:t>
      </w:r>
      <w:r>
        <w:rPr>
          <w:rFonts w:hint="eastAsia" w:ascii="方正仿宋_GBK" w:hAnsi="方正仿宋_GBK" w:eastAsia="方正仿宋_GBK" w:cs="方正仿宋_GBK"/>
          <w:sz w:val="32"/>
          <w:szCs w:val="32"/>
        </w:rPr>
        <w:t>科技综合实力稳步提升。全区研发投入强度（</w:t>
      </w:r>
      <w:r>
        <w:rPr>
          <w:rFonts w:ascii="方正仿宋_GBK" w:hAnsi="方正仿宋_GBK" w:eastAsia="方正仿宋_GBK" w:cs="方正仿宋_GBK"/>
          <w:sz w:val="32"/>
          <w:szCs w:val="32"/>
        </w:rPr>
        <w:t>R&amp;D</w:t>
      </w:r>
      <w:r>
        <w:rPr>
          <w:rFonts w:hint="eastAsia" w:ascii="方正仿宋_GBK" w:hAnsi="方正仿宋_GBK" w:eastAsia="方正仿宋_GBK" w:cs="方正仿宋_GBK"/>
          <w:sz w:val="32"/>
          <w:szCs w:val="32"/>
        </w:rPr>
        <w:t>经费支出占</w:t>
      </w:r>
      <w:r>
        <w:rPr>
          <w:rFonts w:ascii="方正仿宋_GBK" w:hAnsi="方正仿宋_GBK" w:eastAsia="方正仿宋_GBK" w:cs="方正仿宋_GBK"/>
          <w:sz w:val="32"/>
          <w:szCs w:val="32"/>
        </w:rPr>
        <w:t>GDP</w:t>
      </w:r>
      <w:r>
        <w:rPr>
          <w:rFonts w:hint="eastAsia" w:ascii="方正仿宋_GBK" w:hAnsi="方正仿宋_GBK" w:eastAsia="方正仿宋_GBK" w:cs="方正仿宋_GBK"/>
          <w:sz w:val="32"/>
          <w:szCs w:val="32"/>
        </w:rPr>
        <w:t>的比重）从</w:t>
      </w:r>
      <w:r>
        <w:rPr>
          <w:rFonts w:ascii="方正仿宋_GBK" w:hAnsi="方正仿宋_GBK" w:eastAsia="方正仿宋_GBK" w:cs="方正仿宋_GBK"/>
          <w:sz w:val="32"/>
          <w:szCs w:val="32"/>
        </w:rPr>
        <w:t>3.66%</w:t>
      </w:r>
      <w:r>
        <w:rPr>
          <w:rFonts w:hint="eastAsia" w:ascii="方正仿宋_GBK" w:hAnsi="方正仿宋_GBK" w:eastAsia="方正仿宋_GBK" w:cs="方正仿宋_GBK"/>
          <w:sz w:val="32"/>
          <w:szCs w:val="32"/>
        </w:rPr>
        <w:t>提高到</w:t>
      </w:r>
      <w:r>
        <w:rPr>
          <w:rFonts w:ascii="方正仿宋_GBK" w:hAnsi="方正仿宋_GBK" w:eastAsia="方正仿宋_GBK" w:cs="方正仿宋_GBK"/>
          <w:sz w:val="32"/>
          <w:szCs w:val="32"/>
        </w:rPr>
        <w:t>4.08%</w:t>
      </w:r>
      <w:r>
        <w:rPr>
          <w:rFonts w:hint="eastAsia" w:ascii="方正仿宋_GBK" w:hAnsi="方正仿宋_GBK" w:eastAsia="方正仿宋_GBK" w:cs="方正仿宋_GBK"/>
          <w:sz w:val="32"/>
          <w:szCs w:val="32"/>
        </w:rPr>
        <w:t>，高出全市近</w:t>
      </w:r>
      <w:r>
        <w:rPr>
          <w:rFonts w:ascii="方正仿宋_GBK" w:hAnsi="方正仿宋_GBK" w:eastAsia="方正仿宋_GBK" w:cs="方正仿宋_GBK"/>
          <w:sz w:val="32"/>
          <w:szCs w:val="32"/>
        </w:rPr>
        <w:t>2</w:t>
      </w:r>
      <w:r>
        <w:rPr>
          <w:rFonts w:hint="eastAsia" w:ascii="方正仿宋_GBK" w:hAnsi="方正仿宋_GBK" w:eastAsia="方正仿宋_GBK" w:cs="方正仿宋_GBK"/>
          <w:sz w:val="32"/>
          <w:szCs w:val="32"/>
        </w:rPr>
        <w:t>个百分点，知识产权综合发展指数、综合科技竞争力与“双创”指数持续保持全市第一。在全市率先开展研发机构法人化改革试点，建成独立法人研发机构</w:t>
      </w:r>
      <w:r>
        <w:rPr>
          <w:rFonts w:ascii="方正仿宋_GBK" w:hAnsi="方正仿宋_GBK" w:eastAsia="方正仿宋_GBK" w:cs="方正仿宋_GBK"/>
          <w:sz w:val="32"/>
          <w:szCs w:val="32"/>
        </w:rPr>
        <w:t>32</w:t>
      </w:r>
      <w:r>
        <w:rPr>
          <w:rFonts w:hint="eastAsia" w:ascii="方正仿宋_GBK" w:hAnsi="方正仿宋_GBK" w:eastAsia="方正仿宋_GBK" w:cs="方正仿宋_GBK"/>
          <w:sz w:val="32"/>
          <w:szCs w:val="32"/>
        </w:rPr>
        <w:t>家，认定为重庆市新型研发机构</w:t>
      </w:r>
      <w:r>
        <w:rPr>
          <w:rFonts w:ascii="方正仿宋_GBK" w:hAnsi="方正仿宋_GBK" w:eastAsia="方正仿宋_GBK" w:cs="方正仿宋_GBK"/>
          <w:sz w:val="32"/>
          <w:szCs w:val="32"/>
        </w:rPr>
        <w:t>20</w:t>
      </w:r>
      <w:r>
        <w:rPr>
          <w:rFonts w:hint="eastAsia" w:ascii="方正仿宋_GBK" w:hAnsi="方正仿宋_GBK" w:eastAsia="方正仿宋_GBK" w:cs="方正仿宋_GBK"/>
          <w:sz w:val="32"/>
          <w:szCs w:val="32"/>
        </w:rPr>
        <w:t>家、重庆市新型高端研发机构</w:t>
      </w:r>
      <w:r>
        <w:rPr>
          <w:rFonts w:ascii="方正仿宋_GBK" w:hAnsi="方正仿宋_GBK" w:eastAsia="方正仿宋_GBK" w:cs="方正仿宋_GBK"/>
          <w:sz w:val="32"/>
          <w:szCs w:val="32"/>
        </w:rPr>
        <w:t>12</w:t>
      </w:r>
      <w:r>
        <w:rPr>
          <w:rFonts w:hint="eastAsia" w:ascii="方正仿宋_GBK" w:hAnsi="方正仿宋_GBK" w:eastAsia="方正仿宋_GBK" w:cs="方正仿宋_GBK"/>
          <w:sz w:val="32"/>
          <w:szCs w:val="32"/>
        </w:rPr>
        <w:t>家，国家级众创平台达</w:t>
      </w:r>
      <w:r>
        <w:rPr>
          <w:rFonts w:ascii="方正仿宋_GBK" w:hAnsi="方正仿宋_GBK" w:eastAsia="方正仿宋_GBK" w:cs="方正仿宋_GBK"/>
          <w:sz w:val="32"/>
          <w:szCs w:val="32"/>
        </w:rPr>
        <w:t>6</w:t>
      </w:r>
      <w:r>
        <w:rPr>
          <w:rFonts w:hint="eastAsia" w:ascii="方正仿宋_GBK" w:hAnsi="方正仿宋_GBK" w:eastAsia="方正仿宋_GBK" w:cs="方正仿宋_GBK"/>
          <w:sz w:val="32"/>
          <w:szCs w:val="32"/>
        </w:rPr>
        <w:t>家，位居全市第一。拥有国家级研发中心达到</w:t>
      </w:r>
      <w:r>
        <w:rPr>
          <w:rFonts w:ascii="方正仿宋_GBK" w:hAnsi="方正仿宋_GBK" w:eastAsia="方正仿宋_GBK" w:cs="方正仿宋_GBK"/>
          <w:sz w:val="32"/>
          <w:szCs w:val="32"/>
        </w:rPr>
        <w:t>10</w:t>
      </w:r>
      <w:r>
        <w:rPr>
          <w:rFonts w:hint="eastAsia" w:ascii="方正仿宋_GBK" w:hAnsi="方正仿宋_GBK" w:eastAsia="方正仿宋_GBK" w:cs="方正仿宋_GBK"/>
          <w:sz w:val="32"/>
          <w:szCs w:val="32"/>
        </w:rPr>
        <w:t>个，市级以上研发平台达到</w:t>
      </w:r>
      <w:r>
        <w:rPr>
          <w:rFonts w:ascii="方正仿宋_GBK" w:hAnsi="方正仿宋_GBK" w:eastAsia="方正仿宋_GBK" w:cs="方正仿宋_GBK"/>
          <w:sz w:val="32"/>
          <w:szCs w:val="32"/>
        </w:rPr>
        <w:t>219</w:t>
      </w:r>
      <w:r>
        <w:rPr>
          <w:rFonts w:hint="eastAsia" w:ascii="方正仿宋_GBK" w:hAnsi="方正仿宋_GBK" w:eastAsia="方正仿宋_GBK" w:cs="方正仿宋_GBK"/>
          <w:sz w:val="32"/>
          <w:szCs w:val="32"/>
        </w:rPr>
        <w:t>个，数字经济蓬勃发展，年均增速</w:t>
      </w:r>
      <w:r>
        <w:rPr>
          <w:rFonts w:ascii="方正仿宋_GBK" w:hAnsi="方正仿宋_GBK" w:eastAsia="方正仿宋_GBK" w:cs="方正仿宋_GBK"/>
          <w:sz w:val="32"/>
          <w:szCs w:val="32"/>
        </w:rPr>
        <w:t>20%</w:t>
      </w:r>
      <w:r>
        <w:rPr>
          <w:rFonts w:hint="eastAsia" w:ascii="方正仿宋_GBK" w:hAnsi="方正仿宋_GBK" w:eastAsia="方正仿宋_GBK" w:cs="方正仿宋_GBK"/>
          <w:sz w:val="32"/>
          <w:szCs w:val="32"/>
        </w:rPr>
        <w:t>以上。</w:t>
      </w:r>
    </w:p>
    <w:p>
      <w:pPr>
        <w:spacing w:line="560" w:lineRule="exact"/>
        <w:ind w:firstLine="643" w:firstLineChars="200"/>
        <w:rPr>
          <w:rFonts w:eastAsia="方正仿宋_GBK"/>
          <w:sz w:val="32"/>
          <w:szCs w:val="32"/>
        </w:rPr>
      </w:pPr>
      <w:r>
        <w:rPr>
          <w:rFonts w:hint="eastAsia" w:ascii="方正仿宋_GBK" w:hAnsi="方正仿宋_GBK" w:eastAsia="方正仿宋_GBK" w:cs="方正仿宋_GBK"/>
          <w:b/>
          <w:bCs/>
          <w:sz w:val="32"/>
          <w:szCs w:val="32"/>
        </w:rPr>
        <w:t>结构升级步伐加快。</w:t>
      </w:r>
      <w:r>
        <w:rPr>
          <w:rFonts w:ascii="方正仿宋_GBK" w:hAnsi="方正仿宋_GBK" w:eastAsia="方正仿宋_GBK" w:cs="方正仿宋_GBK"/>
          <w:sz w:val="32"/>
          <w:szCs w:val="32"/>
        </w:rPr>
        <w:t>2020</w:t>
      </w:r>
      <w:r>
        <w:rPr>
          <w:rFonts w:hint="eastAsia" w:ascii="方正仿宋_GBK" w:hAnsi="方正仿宋_GBK" w:eastAsia="方正仿宋_GBK" w:cs="方正仿宋_GBK"/>
          <w:sz w:val="32"/>
          <w:szCs w:val="32"/>
        </w:rPr>
        <w:t>年，金融机构人民币存贷款余额与金融业增加值分别达到</w:t>
      </w:r>
      <w:r>
        <w:rPr>
          <w:rFonts w:ascii="方正仿宋_GBK" w:hAnsi="方正仿宋_GBK" w:eastAsia="方正仿宋_GBK" w:cs="方正仿宋_GBK"/>
          <w:sz w:val="32"/>
          <w:szCs w:val="32"/>
        </w:rPr>
        <w:t>13136.24</w:t>
      </w:r>
      <w:r>
        <w:rPr>
          <w:rFonts w:hint="eastAsia" w:ascii="方正仿宋_GBK" w:hAnsi="方正仿宋_GBK" w:eastAsia="方正仿宋_GBK" w:cs="方正仿宋_GBK"/>
          <w:sz w:val="32"/>
          <w:szCs w:val="32"/>
        </w:rPr>
        <w:t>亿元、</w:t>
      </w:r>
      <w:r>
        <w:rPr>
          <w:rFonts w:ascii="方正仿宋_GBK" w:hAnsi="方正仿宋_GBK" w:eastAsia="方正仿宋_GBK" w:cs="方正仿宋_GBK"/>
          <w:sz w:val="32"/>
          <w:szCs w:val="32"/>
        </w:rPr>
        <w:t>290</w:t>
      </w:r>
      <w:r>
        <w:rPr>
          <w:rFonts w:hint="eastAsia" w:ascii="方正仿宋_GBK" w:hAnsi="方正仿宋_GBK" w:eastAsia="方正仿宋_GBK" w:cs="方正仿宋_GBK"/>
          <w:sz w:val="32"/>
          <w:szCs w:val="32"/>
        </w:rPr>
        <w:t>亿元，分别占全市比重的</w:t>
      </w:r>
      <w:r>
        <w:rPr>
          <w:rFonts w:ascii="方正仿宋_GBK" w:hAnsi="方正仿宋_GBK" w:eastAsia="方正仿宋_GBK" w:cs="方正仿宋_GBK"/>
          <w:sz w:val="32"/>
          <w:szCs w:val="32"/>
        </w:rPr>
        <w:t>15.5%</w:t>
      </w:r>
      <w:r>
        <w:rPr>
          <w:rFonts w:hint="eastAsia" w:ascii="方正仿宋_GBK" w:hAnsi="方正仿宋_GBK" w:eastAsia="方正仿宋_GBK" w:cs="方正仿宋_GBK"/>
          <w:sz w:val="32"/>
          <w:szCs w:val="32"/>
        </w:rPr>
        <w:t>、</w:t>
      </w:r>
      <w:r>
        <w:rPr>
          <w:rFonts w:ascii="方正仿宋_GBK" w:hAnsi="方正仿宋_GBK" w:eastAsia="方正仿宋_GBK" w:cs="方正仿宋_GBK"/>
          <w:sz w:val="32"/>
          <w:szCs w:val="32"/>
        </w:rPr>
        <w:t>13.1%</w:t>
      </w:r>
      <w:r>
        <w:rPr>
          <w:rFonts w:hint="eastAsia" w:ascii="方正仿宋_GBK" w:hAnsi="方正仿宋_GBK" w:eastAsia="方正仿宋_GBK" w:cs="方正仿宋_GBK"/>
          <w:sz w:val="32"/>
          <w:szCs w:val="32"/>
        </w:rPr>
        <w:t>。金融业增加值占地区生产总值比重达到</w:t>
      </w:r>
      <w:r>
        <w:rPr>
          <w:rFonts w:ascii="方正仿宋_GBK" w:hAnsi="方正仿宋_GBK" w:eastAsia="方正仿宋_GBK" w:cs="方正仿宋_GBK"/>
          <w:sz w:val="32"/>
          <w:szCs w:val="32"/>
        </w:rPr>
        <w:t>14.43%</w:t>
      </w:r>
      <w:r>
        <w:rPr>
          <w:rFonts w:hint="eastAsia" w:ascii="方正仿宋_GBK" w:hAnsi="方正仿宋_GBK" w:eastAsia="方正仿宋_GBK" w:cs="方正仿宋_GBK"/>
          <w:sz w:val="32"/>
          <w:szCs w:val="32"/>
        </w:rPr>
        <w:t>，成为第一支柱产业。</w:t>
      </w:r>
      <w:r>
        <w:rPr>
          <w:rFonts w:hint="eastAsia" w:eastAsia="方正仿宋_GBK"/>
          <w:sz w:val="32"/>
          <w:szCs w:val="32"/>
        </w:rPr>
        <w:t>规模以上信息软件业、科学研究和试验发展业营业收入增速分别达到</w:t>
      </w:r>
      <w:r>
        <w:rPr>
          <w:rFonts w:eastAsia="方正仿宋_GBK"/>
          <w:sz w:val="32"/>
          <w:szCs w:val="32"/>
        </w:rPr>
        <w:t>16.9%</w:t>
      </w:r>
      <w:r>
        <w:rPr>
          <w:rFonts w:hint="eastAsia" w:eastAsia="方正仿宋_GBK"/>
          <w:sz w:val="32"/>
          <w:szCs w:val="32"/>
        </w:rPr>
        <w:t>、</w:t>
      </w:r>
      <w:r>
        <w:rPr>
          <w:rFonts w:eastAsia="方正仿宋_GBK"/>
          <w:sz w:val="32"/>
          <w:szCs w:val="32"/>
        </w:rPr>
        <w:t>16.7%</w:t>
      </w:r>
      <w:r>
        <w:rPr>
          <w:rFonts w:hint="eastAsia" w:eastAsia="方正仿宋_GBK"/>
          <w:sz w:val="32"/>
          <w:szCs w:val="32"/>
        </w:rPr>
        <w:t>，</w:t>
      </w:r>
      <w:r>
        <w:rPr>
          <w:rFonts w:hint="eastAsia" w:ascii="方正仿宋_GBK" w:hAnsi="方正仿宋_GBK" w:eastAsia="方正仿宋_GBK" w:cs="方正仿宋_GBK"/>
          <w:sz w:val="32"/>
          <w:szCs w:val="32"/>
        </w:rPr>
        <w:t>智慧养老、文旅体融合加快发展，重庆创意公园先后荣获</w:t>
      </w:r>
      <w:r>
        <w:rPr>
          <w:rFonts w:ascii="方正仿宋_GBK" w:hAnsi="方正仿宋_GBK" w:eastAsia="方正仿宋_GBK" w:cs="方正仿宋_GBK"/>
          <w:sz w:val="32"/>
          <w:szCs w:val="32"/>
        </w:rPr>
        <w:t xml:space="preserve"> </w:t>
      </w:r>
      <w:r>
        <w:rPr>
          <w:rFonts w:hint="eastAsia" w:ascii="方正仿宋_GBK" w:hAnsi="方正仿宋_GBK" w:eastAsia="方正仿宋_GBK" w:cs="方正仿宋_GBK"/>
          <w:sz w:val="32"/>
          <w:szCs w:val="32"/>
        </w:rPr>
        <w:t>“国家广告产业园区”、“国家级众创空间”等称号，</w:t>
      </w:r>
      <w:r>
        <w:rPr>
          <w:rFonts w:hint="eastAsia" w:eastAsia="方正仿宋_GBK"/>
          <w:kern w:val="0"/>
          <w:sz w:val="32"/>
          <w:szCs w:val="32"/>
        </w:rPr>
        <w:t>新产业新业态新模式稳定向好</w:t>
      </w:r>
      <w:r>
        <w:rPr>
          <w:rFonts w:hint="eastAsia" w:ascii="方正仿宋_GBK" w:hAnsi="方正仿宋_GBK" w:eastAsia="方正仿宋_GBK" w:cs="方正仿宋_GBK"/>
          <w:sz w:val="32"/>
          <w:szCs w:val="32"/>
        </w:rPr>
        <w:t>。</w:t>
      </w:r>
    </w:p>
    <w:p>
      <w:pPr>
        <w:adjustRightInd w:val="0"/>
        <w:snapToGrid w:val="0"/>
        <w:spacing w:line="560" w:lineRule="exact"/>
        <w:ind w:firstLine="643" w:firstLineChars="200"/>
        <w:rPr>
          <w:rFonts w:ascii="方正仿宋_GBK" w:hAnsi="方正仿宋_GBK" w:eastAsia="方正仿宋_GBK" w:cs="方正仿宋_GBK"/>
          <w:sz w:val="32"/>
          <w:szCs w:val="32"/>
        </w:rPr>
      </w:pPr>
      <w:r>
        <w:rPr>
          <w:rFonts w:hint="eastAsia" w:eastAsia="方正仿宋_GBK"/>
          <w:b/>
          <w:bCs/>
          <w:sz w:val="32"/>
          <w:szCs w:val="32"/>
        </w:rPr>
        <w:t>服务业开放成效显著。</w:t>
      </w:r>
      <w:r>
        <w:rPr>
          <w:rFonts w:ascii="方正仿宋_GBK" w:hAnsi="方正仿宋_GBK" w:eastAsia="方正仿宋_GBK" w:cs="方正仿宋_GBK"/>
          <w:sz w:val="32"/>
          <w:szCs w:val="32"/>
        </w:rPr>
        <w:t>2016</w:t>
      </w:r>
      <w:r>
        <w:rPr>
          <w:rFonts w:hint="eastAsia" w:ascii="方正仿宋_GBK" w:hAnsi="方正仿宋_GBK" w:eastAsia="方正仿宋_GBK" w:cs="方正仿宋_GBK"/>
          <w:sz w:val="32"/>
          <w:szCs w:val="32"/>
        </w:rPr>
        <w:t>年，成功获批国家级临空经济示范区，临空经济积极向好，建成“一带一路”商品展示交易中心和临空国际贸易示范园，推动服务贸易多领域有序开放，首家外资独资医院</w:t>
      </w:r>
      <w:r>
        <w:rPr>
          <w:rFonts w:ascii="方正仿宋_GBK" w:hAnsi="方正仿宋_GBK" w:eastAsia="方正仿宋_GBK" w:cs="方正仿宋_GBK"/>
          <w:sz w:val="32"/>
          <w:szCs w:val="32"/>
        </w:rPr>
        <w:t>——</w:t>
      </w:r>
      <w:r>
        <w:rPr>
          <w:rFonts w:hint="eastAsia" w:ascii="方正仿宋_GBK" w:hAnsi="方正仿宋_GBK" w:eastAsia="方正仿宋_GBK" w:cs="方正仿宋_GBK"/>
          <w:sz w:val="32"/>
          <w:szCs w:val="32"/>
        </w:rPr>
        <w:t>莱佛士医院落户，仙桃国际大数据谷成为中新（重庆）国际互联网数据专用通道首批示范园区并申报成为市级服务贸易特色产业园，打造市级总部贸易基地，跨境电商综合试验区建设稳步推进，开展保税港区贸易多元化试点，</w:t>
      </w:r>
      <w:r>
        <w:rPr>
          <w:rFonts w:hint="eastAsia" w:eastAsia="方正仿宋_GBK"/>
          <w:sz w:val="32"/>
          <w:szCs w:val="32"/>
        </w:rPr>
        <w:t>推进飞机融资租赁、保税航材、保税维修、跨境电商等新型业态落地，</w:t>
      </w:r>
      <w:r>
        <w:rPr>
          <w:rFonts w:hint="eastAsia" w:ascii="方正仿宋_GBK" w:hAnsi="方正仿宋_GBK" w:eastAsia="方正仿宋_GBK" w:cs="方正仿宋_GBK"/>
          <w:sz w:val="32"/>
          <w:szCs w:val="32"/>
        </w:rPr>
        <w:t>汽车整车进口、飞机融资租赁取得较大突破。</w:t>
      </w:r>
    </w:p>
    <w:bookmarkEnd w:id="15"/>
    <w:bookmarkEnd w:id="16"/>
    <w:bookmarkEnd w:id="17"/>
    <w:p>
      <w:pPr>
        <w:adjustRightInd w:val="0"/>
        <w:snapToGrid w:val="0"/>
        <w:spacing w:line="560" w:lineRule="exact"/>
        <w:ind w:firstLine="643" w:firstLineChars="200"/>
        <w:rPr>
          <w:rFonts w:eastAsia="方正仿宋_GBK"/>
          <w:sz w:val="32"/>
          <w:szCs w:val="32"/>
        </w:rPr>
      </w:pPr>
      <w:bookmarkStart w:id="21" w:name="_Toc17834"/>
      <w:r>
        <w:rPr>
          <w:rFonts w:hint="eastAsia" w:eastAsia="方正仿宋_GBK"/>
          <w:b/>
          <w:bCs/>
          <w:sz w:val="32"/>
          <w:szCs w:val="32"/>
        </w:rPr>
        <w:t>制度保障能力显著增强</w:t>
      </w:r>
      <w:bookmarkEnd w:id="21"/>
      <w:r>
        <w:rPr>
          <w:rFonts w:hint="eastAsia" w:eastAsia="方正仿宋_GBK"/>
          <w:b/>
          <w:bCs/>
          <w:sz w:val="32"/>
          <w:szCs w:val="32"/>
        </w:rPr>
        <w:t>。</w:t>
      </w:r>
      <w:r>
        <w:rPr>
          <w:rFonts w:hint="eastAsia" w:eastAsia="方正仿宋_GBK"/>
          <w:sz w:val="32"/>
          <w:szCs w:val="32"/>
        </w:rPr>
        <w:t>“放管服”、自贸区“一本报告管全域”等改革深入推进，认真落实重庆自贸试验区总体方案改革试点任务，推动适用于渝北板块的改革创新措施落地见效。全面实施自贸区外商投资负面清单，实行外商投资准入前国民待遇。积极推进金融开放创新措施，促进跨境结算更加及时便捷，支持跨境结算规模逐步扩大，引导创新定制金融融资产品。推进马德里商标国际注册，推进重点产业知识产权服务，健全知识产权保护长效机制，为企业发展保驾护航。</w:t>
      </w:r>
    </w:p>
    <w:bookmarkEnd w:id="2"/>
    <w:bookmarkEnd w:id="9"/>
    <w:p>
      <w:pPr>
        <w:pStyle w:val="11"/>
        <w:spacing w:beforeLines="50" w:after="0" w:line="400" w:lineRule="exact"/>
        <w:jc w:val="center"/>
        <w:rPr>
          <w:rFonts w:ascii="方正黑体_GBK" w:hAnsi="方正黑体_GBK" w:eastAsia="方正黑体_GBK" w:cs="方正黑体_GBK"/>
          <w:smallCaps/>
          <w:kern w:val="0"/>
          <w:sz w:val="32"/>
          <w:szCs w:val="32"/>
        </w:rPr>
      </w:pPr>
      <w:bookmarkStart w:id="22" w:name="_Toc45016300"/>
      <w:r>
        <w:rPr>
          <w:rFonts w:hint="eastAsia" w:ascii="方正黑体_GBK" w:hAnsi="方正黑体_GBK" w:eastAsia="方正黑体_GBK" w:cs="方正黑体_GBK"/>
          <w:smallCaps/>
          <w:kern w:val="0"/>
          <w:sz w:val="32"/>
          <w:szCs w:val="32"/>
        </w:rPr>
        <w:t>专栏</w:t>
      </w:r>
      <w:r>
        <w:rPr>
          <w:rFonts w:ascii="方正黑体_GBK" w:hAnsi="方正黑体_GBK" w:eastAsia="方正黑体_GBK" w:cs="方正黑体_GBK"/>
          <w:smallCaps/>
          <w:kern w:val="0"/>
          <w:sz w:val="32"/>
          <w:szCs w:val="32"/>
        </w:rPr>
        <w:t xml:space="preserve">1 </w:t>
      </w:r>
      <w:r>
        <w:rPr>
          <w:rFonts w:hint="eastAsia" w:ascii="方正黑体_GBK" w:hAnsi="方正黑体_GBK" w:eastAsia="方正黑体_GBK" w:cs="方正黑体_GBK"/>
          <w:smallCaps/>
          <w:kern w:val="0"/>
          <w:sz w:val="32"/>
          <w:szCs w:val="32"/>
        </w:rPr>
        <w:t>“十三五”规划主要指标实现情况</w:t>
      </w:r>
    </w:p>
    <w:tbl>
      <w:tblPr>
        <w:tblStyle w:val="32"/>
        <w:tblpPr w:leftFromText="180" w:rightFromText="180" w:vertAnchor="text" w:horzAnchor="page" w:tblpX="1792" w:tblpY="287"/>
        <w:tblOverlap w:val="never"/>
        <w:tblW w:w="84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4435"/>
        <w:gridCol w:w="970"/>
        <w:gridCol w:w="1129"/>
        <w:gridCol w:w="1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707" w:type="dxa"/>
            <w:vAlign w:val="center"/>
          </w:tcPr>
          <w:p>
            <w:pPr>
              <w:widowControl/>
              <w:adjustRightInd w:val="0"/>
              <w:snapToGrid w:val="0"/>
              <w:jc w:val="left"/>
              <w:rPr>
                <w:rFonts w:ascii="方正黑体_GBK" w:hAnsi="方正黑体_GBK" w:eastAsia="方正黑体_GBK" w:cs="方正黑体_GBK"/>
                <w:kern w:val="0"/>
                <w:sz w:val="24"/>
                <w:szCs w:val="24"/>
              </w:rPr>
            </w:pPr>
            <w:r>
              <w:rPr>
                <w:rFonts w:hint="eastAsia" w:ascii="方正黑体_GBK" w:hAnsi="方正黑体_GBK" w:eastAsia="方正黑体_GBK" w:cs="方正黑体_GBK"/>
                <w:kern w:val="0"/>
                <w:sz w:val="24"/>
                <w:szCs w:val="24"/>
              </w:rPr>
              <w:t>序号</w:t>
            </w:r>
          </w:p>
        </w:tc>
        <w:tc>
          <w:tcPr>
            <w:tcW w:w="4435" w:type="dxa"/>
            <w:vAlign w:val="center"/>
          </w:tcPr>
          <w:p>
            <w:pPr>
              <w:widowControl/>
              <w:adjustRightInd w:val="0"/>
              <w:snapToGrid w:val="0"/>
              <w:jc w:val="left"/>
              <w:rPr>
                <w:rFonts w:ascii="方正黑体_GBK" w:hAnsi="方正黑体_GBK" w:eastAsia="方正黑体_GBK" w:cs="方正黑体_GBK"/>
                <w:kern w:val="0"/>
                <w:sz w:val="24"/>
                <w:szCs w:val="24"/>
              </w:rPr>
            </w:pPr>
            <w:r>
              <w:rPr>
                <w:rFonts w:hint="eastAsia" w:ascii="方正黑体_GBK" w:hAnsi="方正黑体_GBK" w:eastAsia="方正黑体_GBK" w:cs="方正黑体_GBK"/>
                <w:kern w:val="0"/>
                <w:sz w:val="24"/>
                <w:szCs w:val="24"/>
              </w:rPr>
              <w:t>指标名称</w:t>
            </w:r>
          </w:p>
        </w:tc>
        <w:tc>
          <w:tcPr>
            <w:tcW w:w="970" w:type="dxa"/>
            <w:vAlign w:val="center"/>
          </w:tcPr>
          <w:p>
            <w:pPr>
              <w:widowControl/>
              <w:adjustRightInd w:val="0"/>
              <w:snapToGrid w:val="0"/>
              <w:jc w:val="center"/>
              <w:rPr>
                <w:rFonts w:ascii="方正黑体_GBK" w:hAnsi="方正黑体_GBK" w:eastAsia="方正黑体_GBK" w:cs="方正黑体_GBK"/>
                <w:kern w:val="0"/>
                <w:sz w:val="24"/>
                <w:szCs w:val="24"/>
              </w:rPr>
            </w:pPr>
            <w:r>
              <w:rPr>
                <w:rFonts w:hint="eastAsia" w:ascii="方正黑体_GBK" w:hAnsi="方正黑体_GBK" w:eastAsia="方正黑体_GBK" w:cs="方正黑体_GBK"/>
                <w:kern w:val="0"/>
                <w:sz w:val="24"/>
                <w:szCs w:val="24"/>
              </w:rPr>
              <w:t>指标属性</w:t>
            </w:r>
          </w:p>
        </w:tc>
        <w:tc>
          <w:tcPr>
            <w:tcW w:w="1129" w:type="dxa"/>
            <w:vAlign w:val="center"/>
          </w:tcPr>
          <w:p>
            <w:pPr>
              <w:widowControl/>
              <w:adjustRightInd w:val="0"/>
              <w:snapToGrid w:val="0"/>
              <w:jc w:val="center"/>
              <w:rPr>
                <w:rFonts w:ascii="方正黑体_GBK" w:hAnsi="方正黑体_GBK" w:eastAsia="方正黑体_GBK" w:cs="方正黑体_GBK"/>
                <w:kern w:val="0"/>
                <w:sz w:val="24"/>
                <w:szCs w:val="24"/>
              </w:rPr>
            </w:pPr>
            <w:r>
              <w:rPr>
                <w:rFonts w:ascii="方正黑体_GBK" w:hAnsi="方正黑体_GBK" w:eastAsia="方正黑体_GBK" w:cs="方正黑体_GBK"/>
                <w:kern w:val="0"/>
                <w:sz w:val="24"/>
                <w:szCs w:val="24"/>
              </w:rPr>
              <w:t>2020</w:t>
            </w:r>
            <w:r>
              <w:rPr>
                <w:rFonts w:hint="eastAsia" w:ascii="方正黑体_GBK" w:hAnsi="方正黑体_GBK" w:eastAsia="方正黑体_GBK" w:cs="方正黑体_GBK"/>
                <w:kern w:val="0"/>
                <w:sz w:val="24"/>
                <w:szCs w:val="24"/>
              </w:rPr>
              <w:t>年</w:t>
            </w:r>
          </w:p>
          <w:p>
            <w:pPr>
              <w:widowControl/>
              <w:adjustRightInd w:val="0"/>
              <w:snapToGrid w:val="0"/>
              <w:jc w:val="center"/>
              <w:rPr>
                <w:rFonts w:ascii="方正黑体_GBK" w:hAnsi="方正黑体_GBK" w:eastAsia="方正黑体_GBK" w:cs="方正黑体_GBK"/>
                <w:kern w:val="0"/>
                <w:sz w:val="24"/>
                <w:szCs w:val="24"/>
              </w:rPr>
            </w:pPr>
            <w:r>
              <w:rPr>
                <w:rFonts w:hint="eastAsia" w:ascii="方正黑体_GBK" w:hAnsi="方正黑体_GBK" w:eastAsia="方正黑体_GBK" w:cs="方正黑体_GBK"/>
                <w:kern w:val="0"/>
                <w:sz w:val="24"/>
                <w:szCs w:val="24"/>
              </w:rPr>
              <w:t>（目标）</w:t>
            </w:r>
          </w:p>
        </w:tc>
        <w:tc>
          <w:tcPr>
            <w:tcW w:w="1217" w:type="dxa"/>
            <w:vAlign w:val="center"/>
          </w:tcPr>
          <w:p>
            <w:pPr>
              <w:widowControl/>
              <w:adjustRightInd w:val="0"/>
              <w:snapToGrid w:val="0"/>
              <w:jc w:val="center"/>
              <w:rPr>
                <w:rFonts w:ascii="方正黑体_GBK" w:hAnsi="方正黑体_GBK" w:eastAsia="方正黑体_GBK" w:cs="方正黑体_GBK"/>
                <w:kern w:val="0"/>
                <w:sz w:val="24"/>
                <w:szCs w:val="24"/>
              </w:rPr>
            </w:pPr>
            <w:r>
              <w:rPr>
                <w:rFonts w:ascii="方正黑体_GBK" w:hAnsi="方正黑体_GBK" w:eastAsia="方正黑体_GBK" w:cs="方正黑体_GBK"/>
                <w:kern w:val="0"/>
                <w:sz w:val="24"/>
                <w:szCs w:val="24"/>
              </w:rPr>
              <w:t>2020</w:t>
            </w:r>
            <w:r>
              <w:rPr>
                <w:rFonts w:hint="eastAsia" w:ascii="方正黑体_GBK" w:hAnsi="方正黑体_GBK" w:eastAsia="方正黑体_GBK" w:cs="方正黑体_GBK"/>
                <w:kern w:val="0"/>
                <w:sz w:val="24"/>
                <w:szCs w:val="24"/>
              </w:rPr>
              <w:t>年</w:t>
            </w:r>
          </w:p>
          <w:p>
            <w:pPr>
              <w:widowControl/>
              <w:adjustRightInd w:val="0"/>
              <w:snapToGrid w:val="0"/>
              <w:jc w:val="center"/>
              <w:rPr>
                <w:rFonts w:ascii="方正黑体_GBK" w:hAnsi="方正黑体_GBK" w:eastAsia="方正黑体_GBK" w:cs="方正黑体_GBK"/>
                <w:kern w:val="0"/>
                <w:sz w:val="24"/>
                <w:szCs w:val="24"/>
              </w:rPr>
            </w:pPr>
            <w:r>
              <w:rPr>
                <w:rFonts w:hint="eastAsia" w:ascii="方正黑体_GBK" w:hAnsi="方正黑体_GBK" w:eastAsia="方正黑体_GBK" w:cs="方正黑体_GBK"/>
                <w:kern w:val="0"/>
                <w:sz w:val="24"/>
                <w:szCs w:val="24"/>
              </w:rPr>
              <w:t>（完成）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dxa"/>
            <w:vAlign w:val="center"/>
          </w:tcPr>
          <w:p>
            <w:pPr>
              <w:widowControl/>
              <w:snapToGrid w:val="0"/>
              <w:jc w:val="left"/>
              <w:rPr>
                <w:rFonts w:ascii="方正仿宋_GBK" w:hAnsi="方正仿宋_GBK" w:eastAsia="方正仿宋_GBK" w:cs="方正仿宋_GBK"/>
                <w:kern w:val="0"/>
                <w:sz w:val="24"/>
                <w:szCs w:val="24"/>
              </w:rPr>
            </w:pPr>
            <w:r>
              <w:rPr>
                <w:rFonts w:ascii="方正仿宋_GBK" w:hAnsi="方正仿宋_GBK" w:eastAsia="方正仿宋_GBK" w:cs="方正仿宋_GBK"/>
                <w:kern w:val="0"/>
                <w:sz w:val="24"/>
                <w:szCs w:val="24"/>
              </w:rPr>
              <w:t>1</w:t>
            </w:r>
          </w:p>
        </w:tc>
        <w:tc>
          <w:tcPr>
            <w:tcW w:w="4435" w:type="dxa"/>
            <w:vAlign w:val="center"/>
          </w:tcPr>
          <w:p>
            <w:pPr>
              <w:widowControl/>
              <w:snapToGrid w:val="0"/>
              <w:jc w:val="left"/>
              <w:rPr>
                <w:rFonts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服务业增加值（亿元）</w:t>
            </w:r>
          </w:p>
        </w:tc>
        <w:tc>
          <w:tcPr>
            <w:tcW w:w="970" w:type="dxa"/>
            <w:vAlign w:val="center"/>
          </w:tcPr>
          <w:p>
            <w:pPr>
              <w:widowControl/>
              <w:snapToGrid w:val="0"/>
              <w:jc w:val="center"/>
              <w:rPr>
                <w:rFonts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预期性</w:t>
            </w:r>
          </w:p>
        </w:tc>
        <w:tc>
          <w:tcPr>
            <w:tcW w:w="1129" w:type="dxa"/>
            <w:vAlign w:val="center"/>
          </w:tcPr>
          <w:p>
            <w:pPr>
              <w:widowControl/>
              <w:snapToGrid w:val="0"/>
              <w:jc w:val="center"/>
              <w:rPr>
                <w:rFonts w:ascii="方正仿宋_GBK" w:hAnsi="方正仿宋_GBK" w:eastAsia="方正仿宋_GBK" w:cs="方正仿宋_GBK"/>
                <w:kern w:val="0"/>
                <w:sz w:val="24"/>
                <w:szCs w:val="24"/>
              </w:rPr>
            </w:pPr>
            <w:r>
              <w:rPr>
                <w:rFonts w:ascii="方正仿宋_GBK" w:hAnsi="方正仿宋_GBK" w:eastAsia="方正仿宋_GBK" w:cs="方正仿宋_GBK"/>
                <w:kern w:val="0"/>
                <w:sz w:val="24"/>
                <w:szCs w:val="24"/>
              </w:rPr>
              <w:t>840</w:t>
            </w:r>
          </w:p>
        </w:tc>
        <w:tc>
          <w:tcPr>
            <w:tcW w:w="1217" w:type="dxa"/>
            <w:vAlign w:val="center"/>
          </w:tcPr>
          <w:p>
            <w:pPr>
              <w:widowControl/>
              <w:snapToGrid w:val="0"/>
              <w:jc w:val="center"/>
              <w:rPr>
                <w:rFonts w:ascii="方正仿宋_GBK" w:hAnsi="方正仿宋_GBK" w:eastAsia="方正仿宋_GBK" w:cs="方正仿宋_GBK"/>
                <w:sz w:val="24"/>
                <w:szCs w:val="24"/>
              </w:rPr>
            </w:pPr>
            <w:r>
              <w:rPr>
                <w:rFonts w:ascii="方正仿宋_GBK" w:hAnsi="方正仿宋_GBK" w:eastAsia="方正仿宋_GBK" w:cs="方正仿宋_GBK"/>
                <w:sz w:val="24"/>
                <w:szCs w:val="24"/>
              </w:rPr>
              <w:t>1326.08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dxa"/>
            <w:vAlign w:val="center"/>
          </w:tcPr>
          <w:p>
            <w:pPr>
              <w:widowControl/>
              <w:snapToGrid w:val="0"/>
              <w:jc w:val="left"/>
              <w:rPr>
                <w:rFonts w:ascii="方正仿宋_GBK" w:hAnsi="方正仿宋_GBK" w:eastAsia="方正仿宋_GBK" w:cs="方正仿宋_GBK"/>
                <w:kern w:val="0"/>
                <w:sz w:val="24"/>
                <w:szCs w:val="24"/>
              </w:rPr>
            </w:pPr>
            <w:r>
              <w:rPr>
                <w:rFonts w:ascii="方正仿宋_GBK" w:hAnsi="方正仿宋_GBK" w:eastAsia="方正仿宋_GBK" w:cs="方正仿宋_GBK"/>
                <w:kern w:val="0"/>
                <w:sz w:val="24"/>
                <w:szCs w:val="24"/>
              </w:rPr>
              <w:t>2</w:t>
            </w:r>
          </w:p>
        </w:tc>
        <w:tc>
          <w:tcPr>
            <w:tcW w:w="4435" w:type="dxa"/>
            <w:vAlign w:val="center"/>
          </w:tcPr>
          <w:p>
            <w:pPr>
              <w:widowControl/>
              <w:snapToGrid w:val="0"/>
              <w:jc w:val="left"/>
              <w:rPr>
                <w:rFonts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服务业增加值占生产总值的比重（</w:t>
            </w:r>
            <w:r>
              <w:rPr>
                <w:rFonts w:ascii="方正仿宋_GBK" w:hAnsi="方正仿宋_GBK" w:eastAsia="方正仿宋_GBK" w:cs="方正仿宋_GBK"/>
                <w:kern w:val="0"/>
                <w:sz w:val="24"/>
                <w:szCs w:val="24"/>
              </w:rPr>
              <w:t>%</w:t>
            </w:r>
            <w:r>
              <w:rPr>
                <w:rFonts w:hint="eastAsia" w:ascii="方正仿宋_GBK" w:hAnsi="方正仿宋_GBK" w:eastAsia="方正仿宋_GBK" w:cs="方正仿宋_GBK"/>
                <w:kern w:val="0"/>
                <w:sz w:val="24"/>
                <w:szCs w:val="24"/>
              </w:rPr>
              <w:t>）</w:t>
            </w:r>
          </w:p>
        </w:tc>
        <w:tc>
          <w:tcPr>
            <w:tcW w:w="970" w:type="dxa"/>
            <w:vAlign w:val="center"/>
          </w:tcPr>
          <w:p>
            <w:pPr>
              <w:widowControl/>
              <w:snapToGrid w:val="0"/>
              <w:jc w:val="center"/>
              <w:rPr>
                <w:rFonts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预期性</w:t>
            </w:r>
          </w:p>
        </w:tc>
        <w:tc>
          <w:tcPr>
            <w:tcW w:w="1129" w:type="dxa"/>
            <w:vAlign w:val="center"/>
          </w:tcPr>
          <w:p>
            <w:pPr>
              <w:widowControl/>
              <w:snapToGrid w:val="0"/>
              <w:jc w:val="center"/>
              <w:rPr>
                <w:rFonts w:ascii="方正仿宋_GBK" w:hAnsi="方正仿宋_GBK" w:eastAsia="方正仿宋_GBK" w:cs="方正仿宋_GBK"/>
                <w:kern w:val="0"/>
                <w:sz w:val="24"/>
                <w:szCs w:val="24"/>
              </w:rPr>
            </w:pPr>
            <w:r>
              <w:rPr>
                <w:rFonts w:ascii="方正仿宋_GBK" w:hAnsi="方正仿宋_GBK" w:eastAsia="方正仿宋_GBK" w:cs="方正仿宋_GBK"/>
                <w:kern w:val="0"/>
                <w:sz w:val="24"/>
                <w:szCs w:val="24"/>
              </w:rPr>
              <w:t>52</w:t>
            </w:r>
          </w:p>
        </w:tc>
        <w:tc>
          <w:tcPr>
            <w:tcW w:w="1217" w:type="dxa"/>
            <w:vAlign w:val="center"/>
          </w:tcPr>
          <w:p>
            <w:pPr>
              <w:widowControl/>
              <w:snapToGrid w:val="0"/>
              <w:jc w:val="center"/>
              <w:rPr>
                <w:rFonts w:ascii="方正仿宋_GBK" w:hAnsi="方正仿宋_GBK" w:eastAsia="方正仿宋_GBK" w:cs="方正仿宋_GBK"/>
                <w:sz w:val="24"/>
                <w:szCs w:val="24"/>
              </w:rPr>
            </w:pPr>
            <w:r>
              <w:rPr>
                <w:rFonts w:ascii="方正仿宋_GBK" w:hAnsi="方正仿宋_GBK" w:eastAsia="方正仿宋_GBK" w:cs="方正仿宋_GBK"/>
                <w:sz w:val="24"/>
                <w:szCs w:val="24"/>
              </w:rPr>
              <w:t>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dxa"/>
            <w:vAlign w:val="center"/>
          </w:tcPr>
          <w:p>
            <w:pPr>
              <w:widowControl/>
              <w:snapToGrid w:val="0"/>
              <w:jc w:val="left"/>
              <w:rPr>
                <w:rFonts w:ascii="方正仿宋_GBK" w:hAnsi="方正仿宋_GBK" w:eastAsia="方正仿宋_GBK" w:cs="方正仿宋_GBK"/>
                <w:kern w:val="0"/>
                <w:sz w:val="24"/>
                <w:szCs w:val="24"/>
              </w:rPr>
            </w:pPr>
            <w:r>
              <w:rPr>
                <w:rFonts w:ascii="方正仿宋_GBK" w:hAnsi="方正仿宋_GBK" w:eastAsia="方正仿宋_GBK" w:cs="方正仿宋_GBK"/>
                <w:kern w:val="0"/>
                <w:sz w:val="24"/>
                <w:szCs w:val="24"/>
              </w:rPr>
              <w:t>3</w:t>
            </w:r>
          </w:p>
        </w:tc>
        <w:tc>
          <w:tcPr>
            <w:tcW w:w="4435" w:type="dxa"/>
            <w:vAlign w:val="center"/>
          </w:tcPr>
          <w:p>
            <w:pPr>
              <w:widowControl/>
              <w:snapToGrid w:val="0"/>
              <w:jc w:val="left"/>
              <w:rPr>
                <w:rFonts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金融业增加值（亿元）</w:t>
            </w:r>
          </w:p>
        </w:tc>
        <w:tc>
          <w:tcPr>
            <w:tcW w:w="970" w:type="dxa"/>
            <w:vAlign w:val="center"/>
          </w:tcPr>
          <w:p>
            <w:pPr>
              <w:widowControl/>
              <w:snapToGrid w:val="0"/>
              <w:jc w:val="center"/>
              <w:rPr>
                <w:rFonts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预期性</w:t>
            </w:r>
          </w:p>
        </w:tc>
        <w:tc>
          <w:tcPr>
            <w:tcW w:w="1129" w:type="dxa"/>
            <w:vAlign w:val="center"/>
          </w:tcPr>
          <w:p>
            <w:pPr>
              <w:widowControl/>
              <w:snapToGrid w:val="0"/>
              <w:jc w:val="center"/>
              <w:rPr>
                <w:rFonts w:ascii="方正仿宋_GBK" w:hAnsi="方正仿宋_GBK" w:eastAsia="方正仿宋_GBK" w:cs="方正仿宋_GBK"/>
                <w:kern w:val="0"/>
                <w:sz w:val="24"/>
                <w:szCs w:val="24"/>
              </w:rPr>
            </w:pPr>
            <w:r>
              <w:rPr>
                <w:rFonts w:ascii="方正仿宋_GBK" w:hAnsi="方正仿宋_GBK" w:eastAsia="方正仿宋_GBK" w:cs="方正仿宋_GBK"/>
                <w:kern w:val="0"/>
                <w:sz w:val="24"/>
                <w:szCs w:val="24"/>
              </w:rPr>
              <w:t>250</w:t>
            </w:r>
          </w:p>
        </w:tc>
        <w:tc>
          <w:tcPr>
            <w:tcW w:w="1217" w:type="dxa"/>
            <w:vAlign w:val="center"/>
          </w:tcPr>
          <w:p>
            <w:pPr>
              <w:widowControl/>
              <w:snapToGrid w:val="0"/>
              <w:jc w:val="center"/>
              <w:rPr>
                <w:rFonts w:ascii="方正仿宋_GBK" w:hAnsi="方正仿宋_GBK" w:eastAsia="方正仿宋_GBK" w:cs="方正仿宋_GBK"/>
                <w:sz w:val="24"/>
                <w:szCs w:val="24"/>
              </w:rPr>
            </w:pPr>
            <w:r>
              <w:rPr>
                <w:rFonts w:ascii="方正仿宋_GBK" w:hAnsi="方正仿宋_GBK" w:eastAsia="方正仿宋_GBK" w:cs="方正仿宋_GBK"/>
                <w:sz w:val="24"/>
                <w:szCs w:val="24"/>
              </w:rPr>
              <w:t>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dxa"/>
            <w:vAlign w:val="center"/>
          </w:tcPr>
          <w:p>
            <w:pPr>
              <w:widowControl/>
              <w:snapToGrid w:val="0"/>
              <w:jc w:val="left"/>
              <w:rPr>
                <w:rFonts w:ascii="方正仿宋_GBK" w:hAnsi="方正仿宋_GBK" w:eastAsia="方正仿宋_GBK" w:cs="方正仿宋_GBK"/>
                <w:kern w:val="0"/>
                <w:sz w:val="24"/>
                <w:szCs w:val="24"/>
              </w:rPr>
            </w:pPr>
            <w:r>
              <w:rPr>
                <w:rFonts w:ascii="方正仿宋_GBK" w:hAnsi="方正仿宋_GBK" w:eastAsia="方正仿宋_GBK" w:cs="方正仿宋_GBK"/>
                <w:kern w:val="0"/>
                <w:sz w:val="24"/>
                <w:szCs w:val="24"/>
              </w:rPr>
              <w:t>4</w:t>
            </w:r>
          </w:p>
        </w:tc>
        <w:tc>
          <w:tcPr>
            <w:tcW w:w="4435" w:type="dxa"/>
            <w:vAlign w:val="center"/>
          </w:tcPr>
          <w:p>
            <w:pPr>
              <w:widowControl/>
              <w:snapToGrid w:val="0"/>
              <w:jc w:val="left"/>
              <w:rPr>
                <w:rFonts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社会消费品零售总额（亿元）</w:t>
            </w:r>
          </w:p>
        </w:tc>
        <w:tc>
          <w:tcPr>
            <w:tcW w:w="970" w:type="dxa"/>
            <w:vAlign w:val="center"/>
          </w:tcPr>
          <w:p>
            <w:pPr>
              <w:widowControl/>
              <w:snapToGrid w:val="0"/>
              <w:jc w:val="center"/>
              <w:rPr>
                <w:rFonts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预期性</w:t>
            </w:r>
          </w:p>
        </w:tc>
        <w:tc>
          <w:tcPr>
            <w:tcW w:w="1129" w:type="dxa"/>
            <w:vAlign w:val="center"/>
          </w:tcPr>
          <w:p>
            <w:pPr>
              <w:widowControl/>
              <w:snapToGrid w:val="0"/>
              <w:jc w:val="center"/>
              <w:rPr>
                <w:rFonts w:ascii="方正仿宋_GBK" w:hAnsi="方正仿宋_GBK" w:eastAsia="方正仿宋_GBK" w:cs="方正仿宋_GBK"/>
                <w:kern w:val="0"/>
                <w:sz w:val="24"/>
                <w:szCs w:val="24"/>
              </w:rPr>
            </w:pPr>
            <w:r>
              <w:rPr>
                <w:rFonts w:ascii="方正仿宋_GBK" w:hAnsi="方正仿宋_GBK" w:eastAsia="方正仿宋_GBK" w:cs="方正仿宋_GBK"/>
                <w:kern w:val="0"/>
                <w:sz w:val="24"/>
                <w:szCs w:val="24"/>
              </w:rPr>
              <w:t>900</w:t>
            </w:r>
          </w:p>
        </w:tc>
        <w:tc>
          <w:tcPr>
            <w:tcW w:w="1217" w:type="dxa"/>
            <w:vAlign w:val="center"/>
          </w:tcPr>
          <w:p>
            <w:pPr>
              <w:widowControl/>
              <w:snapToGrid w:val="0"/>
              <w:jc w:val="center"/>
              <w:rPr>
                <w:rFonts w:ascii="方正仿宋_GBK" w:hAnsi="方正仿宋_GBK" w:eastAsia="方正仿宋_GBK" w:cs="方正仿宋_GBK"/>
                <w:sz w:val="24"/>
                <w:szCs w:val="24"/>
              </w:rPr>
            </w:pPr>
            <w:r>
              <w:rPr>
                <w:rFonts w:ascii="方正仿宋_GBK" w:hAnsi="方正仿宋_GBK" w:eastAsia="方正仿宋_GBK" w:cs="方正仿宋_GBK"/>
                <w:sz w:val="24"/>
                <w:szCs w:val="24"/>
              </w:rPr>
              <w:t>947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dxa"/>
            <w:vAlign w:val="center"/>
          </w:tcPr>
          <w:p>
            <w:pPr>
              <w:widowControl/>
              <w:snapToGrid w:val="0"/>
              <w:jc w:val="left"/>
              <w:rPr>
                <w:rFonts w:ascii="方正仿宋_GBK" w:hAnsi="方正仿宋_GBK" w:eastAsia="方正仿宋_GBK" w:cs="方正仿宋_GBK"/>
                <w:kern w:val="0"/>
                <w:sz w:val="24"/>
                <w:szCs w:val="24"/>
              </w:rPr>
            </w:pPr>
            <w:r>
              <w:rPr>
                <w:rFonts w:ascii="方正仿宋_GBK" w:hAnsi="方正仿宋_GBK" w:eastAsia="方正仿宋_GBK" w:cs="方正仿宋_GBK"/>
                <w:kern w:val="0"/>
                <w:sz w:val="24"/>
                <w:szCs w:val="24"/>
              </w:rPr>
              <w:t>5</w:t>
            </w:r>
          </w:p>
        </w:tc>
        <w:tc>
          <w:tcPr>
            <w:tcW w:w="4435" w:type="dxa"/>
            <w:vAlign w:val="center"/>
          </w:tcPr>
          <w:p>
            <w:pPr>
              <w:widowControl/>
              <w:snapToGrid w:val="0"/>
              <w:jc w:val="left"/>
              <w:rPr>
                <w:rFonts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文化产业增加值占地区生产总值比重（</w:t>
            </w:r>
            <w:r>
              <w:rPr>
                <w:rFonts w:ascii="方正仿宋_GBK" w:hAnsi="方正仿宋_GBK" w:eastAsia="方正仿宋_GBK" w:cs="方正仿宋_GBK"/>
                <w:kern w:val="0"/>
                <w:sz w:val="24"/>
                <w:szCs w:val="24"/>
              </w:rPr>
              <w:t>%</w:t>
            </w:r>
            <w:r>
              <w:rPr>
                <w:rFonts w:hint="eastAsia" w:ascii="方正仿宋_GBK" w:hAnsi="方正仿宋_GBK" w:eastAsia="方正仿宋_GBK" w:cs="方正仿宋_GBK"/>
                <w:kern w:val="0"/>
                <w:sz w:val="24"/>
                <w:szCs w:val="24"/>
              </w:rPr>
              <w:t>）</w:t>
            </w:r>
          </w:p>
        </w:tc>
        <w:tc>
          <w:tcPr>
            <w:tcW w:w="970" w:type="dxa"/>
            <w:vAlign w:val="center"/>
          </w:tcPr>
          <w:p>
            <w:pPr>
              <w:widowControl/>
              <w:snapToGrid w:val="0"/>
              <w:jc w:val="center"/>
              <w:rPr>
                <w:rFonts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预期性</w:t>
            </w:r>
          </w:p>
        </w:tc>
        <w:tc>
          <w:tcPr>
            <w:tcW w:w="1129" w:type="dxa"/>
            <w:vAlign w:val="center"/>
          </w:tcPr>
          <w:p>
            <w:pPr>
              <w:widowControl/>
              <w:snapToGrid w:val="0"/>
              <w:jc w:val="center"/>
              <w:rPr>
                <w:rFonts w:ascii="方正仿宋_GBK" w:hAnsi="方正仿宋_GBK" w:eastAsia="方正仿宋_GBK" w:cs="方正仿宋_GBK"/>
                <w:kern w:val="0"/>
                <w:sz w:val="24"/>
                <w:szCs w:val="24"/>
              </w:rPr>
            </w:pPr>
            <w:r>
              <w:rPr>
                <w:rFonts w:ascii="方正仿宋_GBK" w:hAnsi="方正仿宋_GBK" w:eastAsia="方正仿宋_GBK" w:cs="方正仿宋_GBK"/>
                <w:kern w:val="0"/>
                <w:sz w:val="24"/>
                <w:szCs w:val="24"/>
              </w:rPr>
              <w:t>4.84</w:t>
            </w:r>
          </w:p>
        </w:tc>
        <w:tc>
          <w:tcPr>
            <w:tcW w:w="1217" w:type="dxa"/>
            <w:vAlign w:val="center"/>
          </w:tcPr>
          <w:p>
            <w:pPr>
              <w:widowControl/>
              <w:snapToGrid w:val="0"/>
              <w:jc w:val="center"/>
              <w:rPr>
                <w:rFonts w:ascii="方正仿宋_GBK" w:hAnsi="方正仿宋_GBK" w:eastAsia="方正仿宋_GBK" w:cs="方正仿宋_GBK"/>
                <w:sz w:val="24"/>
                <w:szCs w:val="24"/>
              </w:rPr>
            </w:pPr>
            <w:r>
              <w:rPr>
                <w:rFonts w:ascii="方正仿宋_GBK" w:hAnsi="方正仿宋_GBK" w:eastAsia="方正仿宋_GBK" w:cs="方正仿宋_GBK"/>
                <w:sz w:val="24"/>
                <w:szCs w:val="24"/>
              </w:rPr>
              <w:t>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dxa"/>
            <w:vAlign w:val="center"/>
          </w:tcPr>
          <w:p>
            <w:pPr>
              <w:widowControl/>
              <w:snapToGrid w:val="0"/>
              <w:jc w:val="left"/>
              <w:rPr>
                <w:rFonts w:ascii="方正仿宋_GBK" w:hAnsi="方正仿宋_GBK" w:eastAsia="方正仿宋_GBK" w:cs="方正仿宋_GBK"/>
                <w:kern w:val="0"/>
                <w:sz w:val="24"/>
                <w:szCs w:val="24"/>
              </w:rPr>
            </w:pPr>
            <w:r>
              <w:rPr>
                <w:rFonts w:ascii="方正仿宋_GBK" w:hAnsi="方正仿宋_GBK" w:eastAsia="方正仿宋_GBK" w:cs="方正仿宋_GBK"/>
                <w:kern w:val="0"/>
                <w:sz w:val="24"/>
                <w:szCs w:val="24"/>
              </w:rPr>
              <w:t>6</w:t>
            </w:r>
          </w:p>
        </w:tc>
        <w:tc>
          <w:tcPr>
            <w:tcW w:w="4435" w:type="dxa"/>
            <w:vAlign w:val="center"/>
          </w:tcPr>
          <w:p>
            <w:pPr>
              <w:widowControl/>
              <w:snapToGrid w:val="0"/>
              <w:jc w:val="left"/>
              <w:rPr>
                <w:rFonts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旅游综合收入（亿元）</w:t>
            </w:r>
          </w:p>
        </w:tc>
        <w:tc>
          <w:tcPr>
            <w:tcW w:w="970" w:type="dxa"/>
            <w:vAlign w:val="center"/>
          </w:tcPr>
          <w:p>
            <w:pPr>
              <w:widowControl/>
              <w:snapToGrid w:val="0"/>
              <w:jc w:val="center"/>
              <w:rPr>
                <w:rFonts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预期性</w:t>
            </w:r>
          </w:p>
        </w:tc>
        <w:tc>
          <w:tcPr>
            <w:tcW w:w="1129" w:type="dxa"/>
            <w:vAlign w:val="center"/>
          </w:tcPr>
          <w:p>
            <w:pPr>
              <w:widowControl/>
              <w:snapToGrid w:val="0"/>
              <w:jc w:val="center"/>
              <w:rPr>
                <w:rFonts w:ascii="方正仿宋_GBK" w:hAnsi="方正仿宋_GBK" w:eastAsia="方正仿宋_GBK" w:cs="方正仿宋_GBK"/>
                <w:kern w:val="0"/>
                <w:sz w:val="24"/>
                <w:szCs w:val="24"/>
              </w:rPr>
            </w:pPr>
            <w:r>
              <w:rPr>
                <w:rFonts w:ascii="方正仿宋_GBK" w:hAnsi="方正仿宋_GBK" w:eastAsia="方正仿宋_GBK" w:cs="方正仿宋_GBK"/>
                <w:kern w:val="0"/>
                <w:sz w:val="24"/>
                <w:szCs w:val="24"/>
              </w:rPr>
              <w:t>100</w:t>
            </w:r>
          </w:p>
        </w:tc>
        <w:tc>
          <w:tcPr>
            <w:tcW w:w="1217" w:type="dxa"/>
            <w:vAlign w:val="center"/>
          </w:tcPr>
          <w:p>
            <w:pPr>
              <w:widowControl/>
              <w:snapToGrid w:val="0"/>
              <w:jc w:val="center"/>
              <w:rPr>
                <w:rFonts w:ascii="方正仿宋_GBK" w:hAnsi="方正仿宋_GBK" w:eastAsia="方正仿宋_GBK" w:cs="方正仿宋_GBK"/>
                <w:sz w:val="24"/>
                <w:szCs w:val="24"/>
              </w:rPr>
            </w:pPr>
            <w:r>
              <w:rPr>
                <w:rFonts w:ascii="方正仿宋_GBK" w:hAnsi="方正仿宋_GBK" w:eastAsia="方正仿宋_GBK" w:cs="方正仿宋_GBK"/>
                <w:sz w:val="24"/>
                <w:szCs w:val="24"/>
              </w:rPr>
              <w:t>96.58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707" w:type="dxa"/>
            <w:vAlign w:val="center"/>
          </w:tcPr>
          <w:p>
            <w:pPr>
              <w:widowControl/>
              <w:snapToGrid w:val="0"/>
              <w:jc w:val="left"/>
              <w:rPr>
                <w:rFonts w:ascii="方正仿宋_GBK" w:hAnsi="方正仿宋_GBK" w:eastAsia="方正仿宋_GBK" w:cs="方正仿宋_GBK"/>
                <w:kern w:val="0"/>
                <w:sz w:val="24"/>
                <w:szCs w:val="24"/>
              </w:rPr>
            </w:pPr>
            <w:r>
              <w:rPr>
                <w:rFonts w:ascii="方正仿宋_GBK" w:hAnsi="方正仿宋_GBK" w:eastAsia="方正仿宋_GBK" w:cs="方正仿宋_GBK"/>
                <w:kern w:val="0"/>
                <w:sz w:val="24"/>
                <w:szCs w:val="24"/>
              </w:rPr>
              <w:t>7</w:t>
            </w:r>
          </w:p>
        </w:tc>
        <w:tc>
          <w:tcPr>
            <w:tcW w:w="4435" w:type="dxa"/>
            <w:vAlign w:val="center"/>
          </w:tcPr>
          <w:p>
            <w:pPr>
              <w:widowControl/>
              <w:snapToGrid w:val="0"/>
              <w:jc w:val="left"/>
              <w:rPr>
                <w:rFonts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研究与试验发展经费支出占地区生产总值比重（</w:t>
            </w:r>
            <w:r>
              <w:rPr>
                <w:rFonts w:ascii="方正仿宋_GBK" w:hAnsi="方正仿宋_GBK" w:eastAsia="方正仿宋_GBK" w:cs="方正仿宋_GBK"/>
                <w:kern w:val="0"/>
                <w:sz w:val="24"/>
                <w:szCs w:val="24"/>
              </w:rPr>
              <w:t>%</w:t>
            </w:r>
            <w:r>
              <w:rPr>
                <w:rFonts w:hint="eastAsia" w:ascii="方正仿宋_GBK" w:hAnsi="方正仿宋_GBK" w:eastAsia="方正仿宋_GBK" w:cs="方正仿宋_GBK"/>
                <w:kern w:val="0"/>
                <w:sz w:val="24"/>
                <w:szCs w:val="24"/>
              </w:rPr>
              <w:t>）</w:t>
            </w:r>
          </w:p>
        </w:tc>
        <w:tc>
          <w:tcPr>
            <w:tcW w:w="970" w:type="dxa"/>
            <w:vAlign w:val="center"/>
          </w:tcPr>
          <w:p>
            <w:pPr>
              <w:widowControl/>
              <w:snapToGrid w:val="0"/>
              <w:jc w:val="center"/>
              <w:rPr>
                <w:rFonts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预期性</w:t>
            </w:r>
          </w:p>
        </w:tc>
        <w:tc>
          <w:tcPr>
            <w:tcW w:w="1129" w:type="dxa"/>
            <w:vAlign w:val="center"/>
          </w:tcPr>
          <w:p>
            <w:pPr>
              <w:widowControl/>
              <w:snapToGrid w:val="0"/>
              <w:jc w:val="center"/>
              <w:rPr>
                <w:rFonts w:ascii="方正仿宋_GBK" w:hAnsi="方正仿宋_GBK" w:eastAsia="方正仿宋_GBK" w:cs="方正仿宋_GBK"/>
                <w:kern w:val="0"/>
                <w:sz w:val="24"/>
                <w:szCs w:val="24"/>
              </w:rPr>
            </w:pPr>
            <w:r>
              <w:rPr>
                <w:rFonts w:ascii="方正仿宋_GBK" w:hAnsi="方正仿宋_GBK" w:eastAsia="方正仿宋_GBK" w:cs="方正仿宋_GBK"/>
                <w:kern w:val="0"/>
                <w:sz w:val="24"/>
                <w:szCs w:val="24"/>
              </w:rPr>
              <w:t>4</w:t>
            </w:r>
          </w:p>
        </w:tc>
        <w:tc>
          <w:tcPr>
            <w:tcW w:w="1217" w:type="dxa"/>
            <w:vAlign w:val="center"/>
          </w:tcPr>
          <w:p>
            <w:pPr>
              <w:widowControl/>
              <w:snapToGrid w:val="0"/>
              <w:jc w:val="center"/>
              <w:rPr>
                <w:rFonts w:ascii="方正仿宋_GBK" w:hAnsi="方正仿宋_GBK" w:eastAsia="方正仿宋_GBK" w:cs="方正仿宋_GBK"/>
                <w:sz w:val="24"/>
                <w:szCs w:val="24"/>
              </w:rPr>
            </w:pPr>
            <w:r>
              <w:rPr>
                <w:rFonts w:ascii="方正仿宋_GBK" w:hAnsi="方正仿宋_GBK" w:eastAsia="方正仿宋_GBK" w:cs="方正仿宋_GBK"/>
                <w:sz w:val="24"/>
                <w:szCs w:val="24"/>
              </w:rPr>
              <w:t>4.08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dxa"/>
            <w:vAlign w:val="center"/>
          </w:tcPr>
          <w:p>
            <w:pPr>
              <w:widowControl/>
              <w:snapToGrid w:val="0"/>
              <w:jc w:val="left"/>
              <w:rPr>
                <w:rFonts w:ascii="方正仿宋_GBK" w:hAnsi="方正仿宋_GBK" w:eastAsia="方正仿宋_GBK" w:cs="方正仿宋_GBK"/>
                <w:kern w:val="0"/>
                <w:sz w:val="24"/>
                <w:szCs w:val="24"/>
              </w:rPr>
            </w:pPr>
            <w:r>
              <w:rPr>
                <w:rFonts w:ascii="方正仿宋_GBK" w:hAnsi="方正仿宋_GBK" w:eastAsia="方正仿宋_GBK" w:cs="方正仿宋_GBK"/>
                <w:kern w:val="0"/>
                <w:sz w:val="24"/>
                <w:szCs w:val="24"/>
              </w:rPr>
              <w:t>8</w:t>
            </w:r>
          </w:p>
        </w:tc>
        <w:tc>
          <w:tcPr>
            <w:tcW w:w="4435" w:type="dxa"/>
            <w:vAlign w:val="center"/>
          </w:tcPr>
          <w:p>
            <w:pPr>
              <w:widowControl/>
              <w:snapToGrid w:val="0"/>
              <w:jc w:val="left"/>
              <w:rPr>
                <w:rFonts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万人有效发明专利拥有量（件）</w:t>
            </w:r>
          </w:p>
        </w:tc>
        <w:tc>
          <w:tcPr>
            <w:tcW w:w="970" w:type="dxa"/>
            <w:vAlign w:val="center"/>
          </w:tcPr>
          <w:p>
            <w:pPr>
              <w:widowControl/>
              <w:snapToGrid w:val="0"/>
              <w:jc w:val="center"/>
              <w:rPr>
                <w:rFonts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预期性</w:t>
            </w:r>
          </w:p>
        </w:tc>
        <w:tc>
          <w:tcPr>
            <w:tcW w:w="1129" w:type="dxa"/>
            <w:vAlign w:val="center"/>
          </w:tcPr>
          <w:p>
            <w:pPr>
              <w:widowControl/>
              <w:snapToGrid w:val="0"/>
              <w:jc w:val="center"/>
              <w:rPr>
                <w:rFonts w:ascii="方正仿宋_GBK" w:hAnsi="方正仿宋_GBK" w:eastAsia="方正仿宋_GBK" w:cs="方正仿宋_GBK"/>
                <w:kern w:val="0"/>
                <w:sz w:val="24"/>
                <w:szCs w:val="24"/>
              </w:rPr>
            </w:pPr>
            <w:r>
              <w:rPr>
                <w:rFonts w:ascii="方正仿宋_GBK" w:hAnsi="方正仿宋_GBK" w:eastAsia="方正仿宋_GBK" w:cs="方正仿宋_GBK"/>
                <w:kern w:val="0"/>
                <w:sz w:val="24"/>
                <w:szCs w:val="24"/>
              </w:rPr>
              <w:t>18</w:t>
            </w:r>
          </w:p>
        </w:tc>
        <w:tc>
          <w:tcPr>
            <w:tcW w:w="1217" w:type="dxa"/>
            <w:vAlign w:val="center"/>
          </w:tcPr>
          <w:p>
            <w:pPr>
              <w:widowControl/>
              <w:snapToGrid w:val="0"/>
              <w:jc w:val="center"/>
              <w:rPr>
                <w:rFonts w:ascii="方正仿宋_GBK" w:hAnsi="方正仿宋_GBK" w:eastAsia="方正仿宋_GBK" w:cs="方正仿宋_GBK"/>
                <w:kern w:val="0"/>
                <w:sz w:val="24"/>
                <w:szCs w:val="24"/>
              </w:rPr>
            </w:pPr>
            <w:r>
              <w:rPr>
                <w:rFonts w:ascii="方正仿宋_GBK" w:hAnsi="方正仿宋_GBK" w:eastAsia="方正仿宋_GBK" w:cs="方正仿宋_GBK"/>
                <w:kern w:val="0"/>
                <w:sz w:val="24"/>
                <w:szCs w:val="24"/>
              </w:rPr>
              <w:t>18.69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dxa"/>
            <w:vAlign w:val="center"/>
          </w:tcPr>
          <w:p>
            <w:pPr>
              <w:widowControl/>
              <w:snapToGrid w:val="0"/>
              <w:jc w:val="left"/>
              <w:rPr>
                <w:rFonts w:ascii="方正仿宋_GBK" w:hAnsi="方正仿宋_GBK" w:eastAsia="方正仿宋_GBK" w:cs="方正仿宋_GBK"/>
                <w:kern w:val="0"/>
                <w:sz w:val="24"/>
                <w:szCs w:val="24"/>
              </w:rPr>
            </w:pPr>
            <w:r>
              <w:rPr>
                <w:rFonts w:ascii="方正仿宋_GBK" w:hAnsi="方正仿宋_GBK" w:eastAsia="方正仿宋_GBK" w:cs="方正仿宋_GBK"/>
                <w:kern w:val="0"/>
                <w:sz w:val="24"/>
                <w:szCs w:val="24"/>
              </w:rPr>
              <w:t>9</w:t>
            </w:r>
          </w:p>
        </w:tc>
        <w:tc>
          <w:tcPr>
            <w:tcW w:w="4435" w:type="dxa"/>
            <w:vAlign w:val="center"/>
          </w:tcPr>
          <w:p>
            <w:pPr>
              <w:widowControl/>
              <w:snapToGrid w:val="0"/>
              <w:jc w:val="left"/>
              <w:rPr>
                <w:rFonts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服务贸易进出口总额（亿美元）</w:t>
            </w:r>
          </w:p>
        </w:tc>
        <w:tc>
          <w:tcPr>
            <w:tcW w:w="970" w:type="dxa"/>
            <w:vAlign w:val="center"/>
          </w:tcPr>
          <w:p>
            <w:pPr>
              <w:widowControl/>
              <w:snapToGrid w:val="0"/>
              <w:jc w:val="center"/>
              <w:rPr>
                <w:rFonts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预期性</w:t>
            </w:r>
          </w:p>
        </w:tc>
        <w:tc>
          <w:tcPr>
            <w:tcW w:w="1129" w:type="dxa"/>
            <w:vAlign w:val="center"/>
          </w:tcPr>
          <w:p>
            <w:pPr>
              <w:widowControl/>
              <w:snapToGrid w:val="0"/>
              <w:jc w:val="center"/>
              <w:rPr>
                <w:rFonts w:ascii="方正仿宋_GBK" w:hAnsi="方正仿宋_GBK" w:eastAsia="方正仿宋_GBK" w:cs="方正仿宋_GBK"/>
                <w:kern w:val="0"/>
                <w:sz w:val="24"/>
                <w:szCs w:val="24"/>
              </w:rPr>
            </w:pPr>
            <w:r>
              <w:rPr>
                <w:rFonts w:ascii="方正仿宋_GBK" w:hAnsi="方正仿宋_GBK" w:eastAsia="方正仿宋_GBK" w:cs="方正仿宋_GBK"/>
                <w:kern w:val="0"/>
                <w:sz w:val="24"/>
                <w:szCs w:val="24"/>
              </w:rPr>
              <w:t>50</w:t>
            </w:r>
          </w:p>
        </w:tc>
        <w:tc>
          <w:tcPr>
            <w:tcW w:w="1217" w:type="dxa"/>
            <w:vAlign w:val="center"/>
          </w:tcPr>
          <w:p>
            <w:pPr>
              <w:widowControl/>
              <w:snapToGrid w:val="0"/>
              <w:jc w:val="center"/>
              <w:rPr>
                <w:rFonts w:ascii="方正仿宋_GBK" w:hAnsi="方正仿宋_GBK" w:eastAsia="方正仿宋_GBK" w:cs="方正仿宋_GBK"/>
                <w:sz w:val="24"/>
                <w:szCs w:val="24"/>
              </w:rPr>
            </w:pPr>
            <w:r>
              <w:rPr>
                <w:rFonts w:ascii="方正仿宋_GBK" w:hAnsi="方正仿宋_GBK" w:eastAsia="方正仿宋_GBK" w:cs="方正仿宋_GBK"/>
                <w:sz w:val="24"/>
                <w:szCs w:val="24"/>
              </w:rPr>
              <w:t>54.4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dxa"/>
            <w:vAlign w:val="center"/>
          </w:tcPr>
          <w:p>
            <w:pPr>
              <w:widowControl/>
              <w:snapToGrid w:val="0"/>
              <w:jc w:val="left"/>
              <w:rPr>
                <w:rFonts w:ascii="方正仿宋_GBK" w:hAnsi="方正仿宋_GBK" w:eastAsia="方正仿宋_GBK" w:cs="方正仿宋_GBK"/>
                <w:kern w:val="0"/>
                <w:sz w:val="24"/>
                <w:szCs w:val="24"/>
              </w:rPr>
            </w:pPr>
            <w:r>
              <w:rPr>
                <w:rFonts w:ascii="方正仿宋_GBK" w:hAnsi="方正仿宋_GBK" w:eastAsia="方正仿宋_GBK" w:cs="方正仿宋_GBK"/>
                <w:kern w:val="0"/>
                <w:sz w:val="24"/>
                <w:szCs w:val="24"/>
              </w:rPr>
              <w:t>10</w:t>
            </w:r>
          </w:p>
        </w:tc>
        <w:tc>
          <w:tcPr>
            <w:tcW w:w="4435" w:type="dxa"/>
            <w:vAlign w:val="center"/>
          </w:tcPr>
          <w:p>
            <w:pPr>
              <w:widowControl/>
              <w:snapToGrid w:val="0"/>
              <w:jc w:val="left"/>
              <w:rPr>
                <w:rFonts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机场年货邮吞吐量（万吨）</w:t>
            </w:r>
          </w:p>
        </w:tc>
        <w:tc>
          <w:tcPr>
            <w:tcW w:w="970" w:type="dxa"/>
            <w:vAlign w:val="center"/>
          </w:tcPr>
          <w:p>
            <w:pPr>
              <w:widowControl/>
              <w:snapToGrid w:val="0"/>
              <w:jc w:val="center"/>
              <w:rPr>
                <w:rFonts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预期性</w:t>
            </w:r>
          </w:p>
        </w:tc>
        <w:tc>
          <w:tcPr>
            <w:tcW w:w="1129" w:type="dxa"/>
            <w:vAlign w:val="center"/>
          </w:tcPr>
          <w:p>
            <w:pPr>
              <w:widowControl/>
              <w:snapToGrid w:val="0"/>
              <w:jc w:val="center"/>
              <w:rPr>
                <w:rFonts w:ascii="方正仿宋_GBK" w:hAnsi="方正仿宋_GBK" w:eastAsia="方正仿宋_GBK" w:cs="方正仿宋_GBK"/>
                <w:kern w:val="0"/>
                <w:sz w:val="24"/>
                <w:szCs w:val="24"/>
              </w:rPr>
            </w:pPr>
            <w:r>
              <w:rPr>
                <w:rFonts w:ascii="方正仿宋_GBK" w:hAnsi="方正仿宋_GBK" w:eastAsia="方正仿宋_GBK" w:cs="方正仿宋_GBK"/>
                <w:kern w:val="0"/>
                <w:sz w:val="24"/>
                <w:szCs w:val="24"/>
              </w:rPr>
              <w:t>50</w:t>
            </w:r>
          </w:p>
        </w:tc>
        <w:tc>
          <w:tcPr>
            <w:tcW w:w="1217" w:type="dxa"/>
            <w:vAlign w:val="center"/>
          </w:tcPr>
          <w:p>
            <w:pPr>
              <w:widowControl/>
              <w:snapToGrid w:val="0"/>
              <w:jc w:val="center"/>
              <w:rPr>
                <w:rFonts w:ascii="方正仿宋_GBK" w:hAnsi="方正仿宋_GBK" w:eastAsia="方正仿宋_GBK" w:cs="方正仿宋_GBK"/>
                <w:sz w:val="24"/>
                <w:szCs w:val="24"/>
              </w:rPr>
            </w:pPr>
            <w:r>
              <w:rPr>
                <w:rFonts w:ascii="方正仿宋_GBK" w:hAnsi="方正仿宋_GBK" w:eastAsia="方正仿宋_GBK" w:cs="方正仿宋_GBK"/>
                <w:sz w:val="24"/>
                <w:szCs w:val="24"/>
              </w:rPr>
              <w:t>41.12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dxa"/>
            <w:vAlign w:val="center"/>
          </w:tcPr>
          <w:p>
            <w:pPr>
              <w:widowControl/>
              <w:snapToGrid w:val="0"/>
              <w:jc w:val="left"/>
              <w:rPr>
                <w:rFonts w:ascii="方正仿宋_GBK" w:hAnsi="方正仿宋_GBK" w:eastAsia="方正仿宋_GBK" w:cs="方正仿宋_GBK"/>
                <w:kern w:val="0"/>
                <w:sz w:val="24"/>
                <w:szCs w:val="24"/>
              </w:rPr>
            </w:pPr>
            <w:r>
              <w:rPr>
                <w:rFonts w:ascii="方正仿宋_GBK" w:hAnsi="方正仿宋_GBK" w:eastAsia="方正仿宋_GBK" w:cs="方正仿宋_GBK"/>
                <w:kern w:val="0"/>
                <w:sz w:val="24"/>
                <w:szCs w:val="24"/>
              </w:rPr>
              <w:t>11</w:t>
            </w:r>
          </w:p>
        </w:tc>
        <w:tc>
          <w:tcPr>
            <w:tcW w:w="4435" w:type="dxa"/>
            <w:vAlign w:val="center"/>
          </w:tcPr>
          <w:p>
            <w:pPr>
              <w:widowControl/>
              <w:snapToGrid w:val="0"/>
              <w:jc w:val="left"/>
              <w:rPr>
                <w:rFonts w:ascii="方正仿宋_GBK" w:hAnsi="方正仿宋_GBK" w:eastAsia="方正仿宋_GBK" w:cs="方正仿宋_GBK"/>
                <w:kern w:val="0"/>
                <w:sz w:val="24"/>
                <w:szCs w:val="24"/>
              </w:rPr>
            </w:pPr>
            <w:r>
              <w:rPr>
                <w:rFonts w:ascii="方正仿宋_GBK" w:hAnsi="方正仿宋_GBK" w:eastAsia="方正仿宋_GBK" w:cs="方正仿宋_GBK"/>
                <w:kern w:val="0"/>
                <w:sz w:val="24"/>
                <w:szCs w:val="24"/>
              </w:rPr>
              <w:t>#</w:t>
            </w:r>
            <w:r>
              <w:rPr>
                <w:rFonts w:hint="eastAsia" w:ascii="方正仿宋_GBK" w:hAnsi="方正仿宋_GBK" w:eastAsia="方正仿宋_GBK" w:cs="方正仿宋_GBK"/>
                <w:kern w:val="0"/>
                <w:sz w:val="24"/>
                <w:szCs w:val="24"/>
              </w:rPr>
              <w:t>国际货邮量（万吨）</w:t>
            </w:r>
          </w:p>
        </w:tc>
        <w:tc>
          <w:tcPr>
            <w:tcW w:w="970" w:type="dxa"/>
            <w:vAlign w:val="center"/>
          </w:tcPr>
          <w:p>
            <w:pPr>
              <w:widowControl/>
              <w:snapToGrid w:val="0"/>
              <w:jc w:val="center"/>
              <w:rPr>
                <w:rFonts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预期性</w:t>
            </w:r>
          </w:p>
        </w:tc>
        <w:tc>
          <w:tcPr>
            <w:tcW w:w="1129" w:type="dxa"/>
            <w:vAlign w:val="center"/>
          </w:tcPr>
          <w:p>
            <w:pPr>
              <w:widowControl/>
              <w:snapToGrid w:val="0"/>
              <w:jc w:val="center"/>
              <w:rPr>
                <w:rFonts w:ascii="方正仿宋_GBK" w:hAnsi="方正仿宋_GBK" w:eastAsia="方正仿宋_GBK" w:cs="方正仿宋_GBK"/>
                <w:kern w:val="0"/>
                <w:sz w:val="24"/>
                <w:szCs w:val="24"/>
              </w:rPr>
            </w:pPr>
            <w:r>
              <w:rPr>
                <w:rFonts w:ascii="方正仿宋_GBK" w:hAnsi="方正仿宋_GBK" w:eastAsia="方正仿宋_GBK" w:cs="方正仿宋_GBK"/>
                <w:kern w:val="0"/>
                <w:sz w:val="24"/>
                <w:szCs w:val="24"/>
              </w:rPr>
              <w:t>20</w:t>
            </w:r>
          </w:p>
        </w:tc>
        <w:tc>
          <w:tcPr>
            <w:tcW w:w="1217" w:type="dxa"/>
            <w:vAlign w:val="center"/>
          </w:tcPr>
          <w:p>
            <w:pPr>
              <w:widowControl/>
              <w:snapToGrid w:val="0"/>
              <w:jc w:val="center"/>
              <w:rPr>
                <w:rFonts w:ascii="方正仿宋_GBK" w:hAnsi="方正仿宋_GBK" w:eastAsia="方正仿宋_GBK" w:cs="方正仿宋_GBK"/>
                <w:sz w:val="24"/>
                <w:szCs w:val="24"/>
              </w:rPr>
            </w:pPr>
            <w:r>
              <w:rPr>
                <w:rFonts w:ascii="方正仿宋_GBK" w:hAnsi="方正仿宋_GBK" w:eastAsia="方正仿宋_GBK" w:cs="方正仿宋_GBK"/>
                <w:sz w:val="24"/>
                <w:szCs w:val="24"/>
              </w:rPr>
              <w:t>15.1</w:t>
            </w:r>
          </w:p>
        </w:tc>
      </w:tr>
      <w:bookmarkEnd w:id="22"/>
    </w:tbl>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23" w:name="_Toc32627"/>
      <w:bookmarkStart w:id="24" w:name="_Toc18264"/>
      <w:bookmarkStart w:id="25" w:name="_Toc12941"/>
      <w:bookmarkStart w:id="26" w:name="_Toc31711"/>
      <w:bookmarkStart w:id="27" w:name="_Toc24730"/>
      <w:r>
        <w:rPr>
          <w:rFonts w:hint="eastAsia" w:ascii="方正楷体_GBK" w:hAnsi="方正楷体_GBK" w:eastAsia="方正楷体_GBK" w:cs="方正楷体_GBK"/>
          <w:kern w:val="0"/>
          <w:sz w:val="32"/>
          <w:szCs w:val="32"/>
        </w:rPr>
        <w:t>第二节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面临的挑战</w:t>
      </w:r>
      <w:bookmarkEnd w:id="23"/>
      <w:bookmarkEnd w:id="24"/>
      <w:bookmarkEnd w:id="25"/>
      <w:bookmarkEnd w:id="26"/>
      <w:bookmarkEnd w:id="27"/>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十四五”时期，我区服务业发展面临国际环境日趋复杂、国内经济结构深度调整等诸多挑战，新冠肺炎疫情影响广泛深远，不稳定不确定性因素明显增多，发展不平衡不充分问题仍然突出。制造业与服务业融合发展的瓶颈尚未打破，服务业规模大但产业能级不够高，行业门类齐全但新兴服务业发展不够突出，新产业新业态新模式新场景创新引领不足，产业链价值链创新链高端发力不够，区域发展水平不均衡，自主板块企业数量、经济总量较小，缺乏一批在全市和全国有影响力的标志性项目，服务质量效益不够高等问题仍较突出，区县间、城际间创新资源竞争激烈，支撑我区现代服务业高质量发展的经济基础还不够强大，航空枢纽功能没有充分显现，资源优势还未完全转化为产业优势，本土龙头企业和品牌培育力度不够，重点领域关键环节改革任务仍然艰巨，适应服务业高质量发展要求的体制机制还不健全，适应新业态新模式发展的监管环境有待优化，中高端人才支撑不足等制约着我区现代服务业的发展。</w:t>
      </w: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28" w:name="_Toc26401"/>
      <w:bookmarkStart w:id="29" w:name="_Toc16839"/>
      <w:bookmarkStart w:id="30" w:name="_Toc14866"/>
      <w:bookmarkStart w:id="31" w:name="_Toc27178"/>
      <w:bookmarkStart w:id="32" w:name="_Toc9317"/>
      <w:bookmarkStart w:id="33" w:name="_Toc8742"/>
      <w:bookmarkStart w:id="34" w:name="_Toc30366"/>
      <w:bookmarkStart w:id="35" w:name="_Toc15953"/>
      <w:r>
        <w:rPr>
          <w:rFonts w:hint="eastAsia" w:ascii="方正楷体_GBK" w:hAnsi="方正楷体_GBK" w:eastAsia="方正楷体_GBK" w:cs="方正楷体_GBK"/>
          <w:kern w:val="0"/>
          <w:sz w:val="32"/>
          <w:szCs w:val="32"/>
        </w:rPr>
        <w:t>第三节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面临的机遇</w:t>
      </w:r>
      <w:bookmarkEnd w:id="28"/>
    </w:p>
    <w:p>
      <w:pPr>
        <w:pStyle w:val="125"/>
        <w:overflowPunct w:val="0"/>
        <w:adjustRightInd w:val="0"/>
        <w:snapToGrid w:val="0"/>
        <w:spacing w:beforeLines="200" w:afterLines="50" w:line="560" w:lineRule="exact"/>
        <w:ind w:firstLine="0"/>
        <w:jc w:val="center"/>
        <w:outlineLvl w:val="1"/>
        <w:rPr>
          <w:rFonts w:ascii="方正黑体_GBK" w:hAnsi="方正黑体_GBK" w:eastAsia="方正黑体_GBK" w:cs="方正黑体_GBK"/>
          <w:kern w:val="0"/>
          <w:sz w:val="32"/>
          <w:szCs w:val="32"/>
        </w:rPr>
      </w:pPr>
      <w:r>
        <w:rPr>
          <w:rFonts w:ascii="方正仿宋_GBK" w:hAnsi="方正仿宋_GBK" w:eastAsia="方正仿宋_GBK" w:cs="方正仿宋_GBK"/>
          <w:sz w:val="32"/>
          <w:szCs w:val="32"/>
        </w:rPr>
        <w:t xml:space="preserve">    </w:t>
      </w:r>
      <w:r>
        <w:rPr>
          <w:rFonts w:hint="eastAsia" w:ascii="方正仿宋_GBK" w:hAnsi="方正仿宋_GBK" w:eastAsia="方正仿宋_GBK" w:cs="方正仿宋_GBK"/>
          <w:sz w:val="32"/>
          <w:szCs w:val="32"/>
        </w:rPr>
        <w:t>“十四五”时期，我区现代服务业发展面临诸多机遇和有利条件。从国际环境看，以数字经济为代表的新一轮产业变革、科技变革快速推进，全球供应链深度调整形成新布局，服务业创新发展动力强劲。从国内环境看，共建“一带一路”、长江经济带发展、新一轮西部大开发等重大战略深入实施、供给侧结构性改革稳步推进、扩大内需战略的深入实施，为服务业高质量发展赋予了全新动能。从重庆发展来看，成渝地区双城经济圈发展战略、“一区两群”协调发展战略和对外开放战略在渝叠加，重庆获批开展服务业扩大开放综合试点、建设国家消费中心城市等带来诸多政策利好。从我区自身发展条件看，作为国家首批临空经济示范区、重庆内陆开放高地建设主阵地、重庆自贸试验区和中新（重庆）战略性互联互通项目重要承载地、两江新区开发建设的主战场，汇集了保税港区空港功能区、悦来国际会展城等市级开发开放平台，临空优势、区位优势、交通枢纽优势、人口优势、政策优势、科技创新载体优势明显，高质量生产性服务需求与高品质生活性服务需求快速增长，服务业发展内生动力强劲，现代服务业将进入提质增效、高质量发展的新时期。</w:t>
      </w:r>
    </w:p>
    <w:p>
      <w:pPr>
        <w:pStyle w:val="125"/>
        <w:overflowPunct w:val="0"/>
        <w:adjustRightInd w:val="0"/>
        <w:snapToGrid w:val="0"/>
        <w:spacing w:beforeLines="200" w:afterLines="50" w:line="560" w:lineRule="exact"/>
        <w:ind w:firstLine="0"/>
        <w:jc w:val="center"/>
        <w:outlineLvl w:val="1"/>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第二章</w:t>
      </w:r>
      <w:r>
        <w:rPr>
          <w:rFonts w:ascii="方正黑体_GBK" w:hAnsi="方正黑体_GBK" w:eastAsia="方正黑体_GBK" w:cs="方正黑体_GBK"/>
          <w:kern w:val="0"/>
          <w:sz w:val="32"/>
          <w:szCs w:val="32"/>
        </w:rPr>
        <w:t xml:space="preserve"> </w:t>
      </w:r>
      <w:bookmarkEnd w:id="29"/>
      <w:bookmarkEnd w:id="30"/>
      <w:bookmarkEnd w:id="31"/>
      <w:bookmarkEnd w:id="32"/>
      <w:bookmarkEnd w:id="33"/>
      <w:bookmarkStart w:id="36" w:name="_Toc31293"/>
      <w:bookmarkStart w:id="37" w:name="_Toc20431"/>
      <w:bookmarkStart w:id="38" w:name="_Toc17451"/>
      <w:bookmarkStart w:id="39" w:name="_Toc21227"/>
      <w:r>
        <w:rPr>
          <w:rFonts w:hint="eastAsia" w:ascii="方正黑体_GBK" w:hAnsi="方正黑体_GBK" w:eastAsia="方正黑体_GBK" w:cs="方正黑体_GBK"/>
          <w:kern w:val="0"/>
          <w:sz w:val="32"/>
          <w:szCs w:val="32"/>
        </w:rPr>
        <w:t>总体要求</w:t>
      </w:r>
      <w:bookmarkEnd w:id="34"/>
      <w:bookmarkEnd w:id="35"/>
      <w:bookmarkEnd w:id="36"/>
      <w:bookmarkEnd w:id="37"/>
      <w:bookmarkEnd w:id="38"/>
      <w:bookmarkEnd w:id="39"/>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对标党中央决策部署和市委、市政府要求，充分考虑我区发展阶段性特征和未来发展支撑条件，充分发挥首批国家临空经济示范区优势，紧紧围绕高质量发展的经济大区、高水平开放的临空大区、高能级策源的科创大区、高品质生活的城乡大区“四个大区”发展定位，提出“十四五”现代服务业发展总体思路、主要目标和二〇三五年远景目标。</w:t>
      </w: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40" w:name="_Toc5117"/>
      <w:bookmarkStart w:id="41" w:name="_Toc45016328"/>
      <w:r>
        <w:rPr>
          <w:rFonts w:hint="eastAsia" w:ascii="方正楷体_GBK" w:hAnsi="方正楷体_GBK" w:eastAsia="方正楷体_GBK" w:cs="方正楷体_GBK"/>
          <w:kern w:val="0"/>
          <w:sz w:val="32"/>
          <w:szCs w:val="32"/>
        </w:rPr>
        <w:t>第一节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指导思想</w:t>
      </w:r>
      <w:bookmarkEnd w:id="40"/>
      <w:bookmarkEnd w:id="41"/>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以习近平新时代中国特色社会主义思想为指导，全面贯彻党的十九大和十九届二中、三中、四中、五中、六中全会精神，深入贯彻习近平总书记对重庆提出的“两点”定位、“两地”“两高”目标和推动成渝地区双城经济圈建设等重要指示要求，全面贯彻新发展理念，充分发挥国家临空经济示范区效应，推动生产性服务业向专业化和价值链高端延伸，生活性服务业向精细化和高品质升级，提升服务业标准化、品牌化、智能化、国际化水平和防风险能力，积极培育新产业、新业态、新模式、新品牌、新场景，推动信息技术深度融合与跨界发展，提高服务效率、服务品质和服务能级，努力构建优质高效、布局优化、融合共享的现代服务业体系，为全区高质量发展提供有力支撑。</w:t>
      </w: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42" w:name="_Toc10617"/>
      <w:bookmarkStart w:id="43" w:name="_Toc45016329"/>
      <w:r>
        <w:rPr>
          <w:rFonts w:hint="eastAsia" w:ascii="方正楷体_GBK" w:hAnsi="方正楷体_GBK" w:eastAsia="方正楷体_GBK" w:cs="方正楷体_GBK"/>
          <w:kern w:val="0"/>
          <w:sz w:val="32"/>
          <w:szCs w:val="32"/>
        </w:rPr>
        <w:t>第二节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基本原则</w:t>
      </w:r>
      <w:bookmarkEnd w:id="42"/>
      <w:bookmarkEnd w:id="43"/>
      <w:bookmarkStart w:id="44" w:name="_Hlk45289371"/>
    </w:p>
    <w:p>
      <w:pPr>
        <w:spacing w:line="560" w:lineRule="exact"/>
        <w:ind w:firstLine="640" w:firstLineChars="200"/>
        <w:rPr>
          <w:rFonts w:ascii="方正仿宋_GBK" w:hAnsi="方正仿宋_GBK" w:eastAsia="方正仿宋_GBK" w:cs="方正仿宋_GBK"/>
          <w:sz w:val="32"/>
          <w:szCs w:val="32"/>
        </w:rPr>
      </w:pPr>
      <w:bookmarkStart w:id="45" w:name="_Toc14859"/>
      <w:bookmarkStart w:id="46" w:name="_Toc2408"/>
      <w:bookmarkStart w:id="47" w:name="_Toc31200"/>
      <w:r>
        <w:rPr>
          <w:rFonts w:hint="eastAsia" w:ascii="方正仿宋_GBK" w:hAnsi="方正仿宋_GBK" w:eastAsia="方正仿宋_GBK" w:cs="方正仿宋_GBK"/>
          <w:sz w:val="32"/>
          <w:szCs w:val="32"/>
        </w:rPr>
        <w:t>坚持创新驱动，促进数字赋能。加快服务业数字化转型转换步伐，培育壮大新业态新模式，发展新经济形态，提升产业链价值链，推动服务业提档升级，实现高质量发展。</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坚持改革开放</w:t>
      </w:r>
      <w:r>
        <w:rPr>
          <w:rFonts w:hint="eastAsia" w:ascii="方正仿宋_GBK" w:hAnsi="方正仿宋_GBK" w:eastAsia="方正仿宋_GBK" w:cs="方正仿宋_GBK"/>
          <w:sz w:val="32"/>
          <w:szCs w:val="32"/>
          <w:lang w:val="zh-TW"/>
        </w:rPr>
        <w:t>，</w:t>
      </w:r>
      <w:r>
        <w:rPr>
          <w:rFonts w:hint="eastAsia" w:ascii="方正仿宋_GBK" w:hAnsi="方正仿宋_GBK" w:eastAsia="方正仿宋_GBK" w:cs="方正仿宋_GBK"/>
          <w:sz w:val="32"/>
          <w:szCs w:val="32"/>
        </w:rPr>
        <w:t>推动升级</w:t>
      </w:r>
      <w:r>
        <w:rPr>
          <w:rFonts w:hint="eastAsia" w:ascii="方正仿宋_GBK" w:hAnsi="方正仿宋_GBK" w:eastAsia="方正仿宋_GBK" w:cs="方正仿宋_GBK"/>
          <w:sz w:val="32"/>
          <w:szCs w:val="32"/>
          <w:lang w:val="zh-TW"/>
        </w:rPr>
        <w:t>发展</w:t>
      </w:r>
      <w:r>
        <w:rPr>
          <w:rFonts w:hint="eastAsia" w:ascii="方正仿宋_GBK" w:hAnsi="方正仿宋_GBK" w:eastAsia="方正仿宋_GBK" w:cs="方正仿宋_GBK"/>
          <w:sz w:val="32"/>
          <w:szCs w:val="32"/>
        </w:rPr>
        <w:t>。坚持市场主导，</w:t>
      </w:r>
      <w:r>
        <w:rPr>
          <w:rFonts w:hint="eastAsia" w:ascii="方正仿宋_GBK" w:hAnsi="方正仿宋_GBK" w:eastAsia="方正仿宋_GBK" w:cs="方正仿宋_GBK"/>
          <w:sz w:val="32"/>
          <w:szCs w:val="32"/>
          <w:lang w:val="zh-TW"/>
        </w:rPr>
        <w:t>破除制约</w:t>
      </w:r>
      <w:r>
        <w:rPr>
          <w:rFonts w:hint="eastAsia" w:ascii="方正仿宋_GBK" w:hAnsi="方正仿宋_GBK" w:eastAsia="方正仿宋_GBK" w:cs="方正仿宋_GBK"/>
          <w:sz w:val="32"/>
          <w:szCs w:val="32"/>
        </w:rPr>
        <w:t>服务业</w:t>
      </w:r>
      <w:r>
        <w:rPr>
          <w:rFonts w:hint="eastAsia" w:ascii="方正仿宋_GBK" w:hAnsi="方正仿宋_GBK" w:eastAsia="方正仿宋_GBK" w:cs="方正仿宋_GBK"/>
          <w:sz w:val="32"/>
          <w:szCs w:val="32"/>
          <w:lang w:val="zh-TW"/>
        </w:rPr>
        <w:t>高质量发展的体制机制障碍，</w:t>
      </w:r>
      <w:r>
        <w:rPr>
          <w:rFonts w:hint="eastAsia" w:ascii="方正仿宋_GBK" w:hAnsi="方正仿宋_GBK" w:eastAsia="方正仿宋_GBK" w:cs="方正仿宋_GBK"/>
          <w:sz w:val="32"/>
          <w:szCs w:val="32"/>
        </w:rPr>
        <w:t>深入推进服务业扩大开放综合试点，推动服务业在更大范围、更宽领域、更深层次参与国际国内分工合作，不断提升全球资源配置力，提升“渝北服务”市内外、国内外辐射力影响力。</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zh-TW"/>
        </w:rPr>
        <w:t>坚持</w:t>
      </w:r>
      <w:r>
        <w:rPr>
          <w:rFonts w:hint="eastAsia" w:ascii="方正仿宋_GBK" w:hAnsi="方正仿宋_GBK" w:eastAsia="方正仿宋_GBK" w:cs="方正仿宋_GBK"/>
          <w:sz w:val="32"/>
          <w:szCs w:val="32"/>
        </w:rPr>
        <w:t>协同发展</w:t>
      </w:r>
      <w:r>
        <w:rPr>
          <w:rFonts w:hint="eastAsia" w:ascii="方正仿宋_GBK" w:hAnsi="方正仿宋_GBK" w:eastAsia="方正仿宋_GBK" w:cs="方正仿宋_GBK"/>
          <w:sz w:val="32"/>
          <w:szCs w:val="32"/>
          <w:lang w:val="zh-TW"/>
        </w:rPr>
        <w:t>，突出</w:t>
      </w:r>
      <w:r>
        <w:rPr>
          <w:rFonts w:hint="eastAsia" w:ascii="方正仿宋_GBK" w:hAnsi="方正仿宋_GBK" w:eastAsia="方正仿宋_GBK" w:cs="方正仿宋_GBK"/>
          <w:sz w:val="32"/>
          <w:szCs w:val="32"/>
        </w:rPr>
        <w:t>要素集聚</w:t>
      </w:r>
      <w:r>
        <w:rPr>
          <w:rFonts w:hint="eastAsia" w:ascii="方正仿宋_GBK" w:hAnsi="方正仿宋_GBK" w:eastAsia="方正仿宋_GBK" w:cs="方正仿宋_GBK"/>
          <w:sz w:val="32"/>
          <w:szCs w:val="32"/>
          <w:lang w:val="zh-TW"/>
        </w:rPr>
        <w:t>。</w:t>
      </w:r>
      <w:r>
        <w:rPr>
          <w:rFonts w:hint="eastAsia" w:ascii="方正仿宋_GBK" w:hAnsi="方正仿宋_GBK" w:eastAsia="方正仿宋_GBK" w:cs="方正仿宋_GBK"/>
          <w:sz w:val="32"/>
          <w:szCs w:val="32"/>
        </w:rPr>
        <w:t>全面融入及服务国家、全市和全区战略建设，统筹全区服务业资源禀赋，因地制宜，优化布局，以产业聚集、企业集中、功能集成、要素集约为方向，打造现代服务业集聚区，引领带动服务业发展。</w:t>
      </w:r>
    </w:p>
    <w:p>
      <w:pPr>
        <w:spacing w:line="560" w:lineRule="exact"/>
        <w:ind w:firstLine="640" w:firstLineChars="200"/>
        <w:rPr>
          <w:rFonts w:ascii="方正仿宋_GBK" w:hAnsi="方正仿宋_GBK" w:eastAsia="方正仿宋_GBK" w:cs="方正仿宋_GBK"/>
          <w:sz w:val="32"/>
          <w:szCs w:val="32"/>
          <w:lang w:val="zh-TW"/>
        </w:rPr>
      </w:pPr>
      <w:r>
        <w:rPr>
          <w:rFonts w:hint="eastAsia" w:ascii="方正仿宋_GBK" w:hAnsi="方正仿宋_GBK" w:eastAsia="方正仿宋_GBK" w:cs="方正仿宋_GBK"/>
          <w:sz w:val="32"/>
          <w:szCs w:val="32"/>
        </w:rPr>
        <w:t>坚持生态优先，促进绿色发展。</w:t>
      </w:r>
      <w:r>
        <w:rPr>
          <w:rFonts w:hint="eastAsia" w:ascii="方正仿宋_GBK" w:hAnsi="方正仿宋_GBK" w:eastAsia="方正仿宋_GBK" w:cs="方正仿宋_GBK"/>
          <w:sz w:val="32"/>
          <w:szCs w:val="32"/>
          <w:lang w:val="zh-TW"/>
        </w:rPr>
        <w:t>深入践行绿水青山就是金山银山理念，</w:t>
      </w:r>
      <w:r>
        <w:rPr>
          <w:rFonts w:hint="eastAsia" w:ascii="方正仿宋_GBK" w:hAnsi="方正仿宋_GBK" w:eastAsia="方正仿宋_GBK" w:cs="方正仿宋_GBK"/>
          <w:sz w:val="32"/>
          <w:szCs w:val="32"/>
        </w:rPr>
        <w:t>落实“碳达峰”“碳中和”工作要求，将生态文明理念融入服务业发展全过程，</w:t>
      </w:r>
      <w:r>
        <w:rPr>
          <w:rFonts w:hint="eastAsia" w:ascii="方正仿宋_GBK" w:hAnsi="方正仿宋_GBK" w:eastAsia="方正仿宋_GBK" w:cs="方正仿宋_GBK"/>
          <w:sz w:val="32"/>
          <w:szCs w:val="32"/>
          <w:lang w:val="zh-TW"/>
        </w:rPr>
        <w:t>树立节约集约循环利用的资源观，</w:t>
      </w:r>
      <w:r>
        <w:rPr>
          <w:rFonts w:hint="eastAsia" w:ascii="方正仿宋_GBK" w:hAnsi="方正仿宋_GBK" w:eastAsia="方正仿宋_GBK" w:cs="方正仿宋_GBK"/>
          <w:sz w:val="32"/>
          <w:szCs w:val="32"/>
        </w:rPr>
        <w:t>全面提高服务业绿色发展水平</w:t>
      </w:r>
      <w:r>
        <w:rPr>
          <w:rFonts w:hint="eastAsia" w:ascii="方正仿宋_GBK" w:hAnsi="方正仿宋_GBK" w:eastAsia="方正仿宋_GBK" w:cs="方正仿宋_GBK"/>
          <w:sz w:val="32"/>
          <w:szCs w:val="32"/>
          <w:lang w:val="zh-TW"/>
        </w:rPr>
        <w:t>。</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zh-TW"/>
        </w:rPr>
        <w:t>坚持民生导向，</w:t>
      </w:r>
      <w:r>
        <w:rPr>
          <w:rFonts w:hint="eastAsia" w:ascii="方正仿宋_GBK" w:hAnsi="方正仿宋_GBK" w:eastAsia="方正仿宋_GBK" w:cs="方正仿宋_GBK"/>
          <w:sz w:val="32"/>
          <w:szCs w:val="32"/>
        </w:rPr>
        <w:t>推进多元发展。以更多更好满足人民多层次多样化服务需求为导向，优先补足基本公共服务短板，着力增强非基本公共服务市场化供给能力，增进民生福祉，增强人民群众的幸福感、获得感。</w:t>
      </w:r>
    </w:p>
    <w:bookmarkEnd w:id="44"/>
    <w:bookmarkEnd w:id="45"/>
    <w:bookmarkEnd w:id="46"/>
    <w:bookmarkEnd w:id="47"/>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48" w:name="_Toc4777"/>
      <w:r>
        <w:rPr>
          <w:rFonts w:hint="eastAsia" w:ascii="方正楷体_GBK" w:hAnsi="方正楷体_GBK" w:eastAsia="方正楷体_GBK" w:cs="方正楷体_GBK"/>
          <w:kern w:val="0"/>
          <w:sz w:val="32"/>
          <w:szCs w:val="32"/>
        </w:rPr>
        <w:t>第三节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“十四五”时期服务业发展主要目标</w:t>
      </w:r>
      <w:bookmarkEnd w:id="48"/>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全力打造渝北现代服务业发展“升级版”。到</w:t>
      </w:r>
      <w:r>
        <w:rPr>
          <w:rFonts w:ascii="方正仿宋_GBK" w:hAnsi="方正仿宋_GBK" w:eastAsia="方正仿宋_GBK" w:cs="方正仿宋_GBK"/>
          <w:sz w:val="32"/>
          <w:szCs w:val="32"/>
        </w:rPr>
        <w:t>2025</w:t>
      </w:r>
      <w:r>
        <w:rPr>
          <w:rFonts w:hint="eastAsia" w:ascii="方正仿宋_GBK" w:hAnsi="方正仿宋_GBK" w:eastAsia="方正仿宋_GBK" w:cs="方正仿宋_GBK"/>
          <w:sz w:val="32"/>
          <w:szCs w:val="32"/>
        </w:rPr>
        <w:t>年，市场主体不断壮大，产业结构明显优化、质量效益显著提高，“渝北服务”的</w:t>
      </w:r>
      <w:r>
        <w:rPr>
          <w:rFonts w:hint="eastAsia" w:ascii="方正仿宋_GBK" w:hAnsi="方正仿宋_GBK" w:eastAsia="方正仿宋_GBK" w:cs="方正仿宋_GBK"/>
          <w:sz w:val="32"/>
          <w:szCs w:val="32"/>
          <w:lang w:val="zh-TW"/>
        </w:rPr>
        <w:t>综合实力、发展活力、</w:t>
      </w:r>
      <w:r>
        <w:rPr>
          <w:rFonts w:hint="eastAsia" w:ascii="方正仿宋_GBK" w:hAnsi="方正仿宋_GBK" w:eastAsia="方正仿宋_GBK" w:cs="方正仿宋_GBK"/>
          <w:sz w:val="32"/>
          <w:szCs w:val="32"/>
        </w:rPr>
        <w:t>全市影响力和国际竞争力</w:t>
      </w:r>
      <w:r>
        <w:rPr>
          <w:rFonts w:hint="eastAsia" w:ascii="方正仿宋_GBK" w:hAnsi="方正仿宋_GBK" w:eastAsia="方正仿宋_GBK" w:cs="方正仿宋_GBK"/>
          <w:sz w:val="32"/>
          <w:szCs w:val="32"/>
          <w:lang w:val="zh-TW"/>
        </w:rPr>
        <w:t>显著提升，</w:t>
      </w:r>
      <w:r>
        <w:rPr>
          <w:rFonts w:hint="eastAsia" w:ascii="方正仿宋_GBK" w:hAnsi="方正仿宋_GBK" w:eastAsia="方正仿宋_GBK" w:cs="方正仿宋_GBK"/>
          <w:sz w:val="32"/>
          <w:szCs w:val="32"/>
        </w:rPr>
        <w:t>成为重庆建设国家级现代服务业经济中心的重要支撑、全市现代服务业高质量发展示范区、现代服务业开放发展先导区、现代服务业创新发展引领区。</w:t>
      </w:r>
    </w:p>
    <w:p>
      <w:pPr>
        <w:spacing w:line="560" w:lineRule="exact"/>
        <w:ind w:firstLine="640" w:firstLineChars="200"/>
        <w:rPr>
          <w:rFonts w:ascii="方正仿宋_GBK" w:hAnsi="方正仿宋_GBK" w:eastAsia="方正仿宋_GBK" w:cs="方正仿宋_GBK"/>
          <w:sz w:val="32"/>
          <w:szCs w:val="32"/>
        </w:rPr>
      </w:pPr>
      <w:r>
        <w:rPr>
          <w:rFonts w:ascii="方正仿宋_GBK" w:hAnsi="方正仿宋_GBK" w:eastAsia="方正仿宋_GBK" w:cs="方正仿宋_GBK"/>
          <w:sz w:val="32"/>
          <w:szCs w:val="32"/>
        </w:rPr>
        <w:t>——</w:t>
      </w:r>
      <w:r>
        <w:rPr>
          <w:rFonts w:hint="eastAsia" w:ascii="方正仿宋_GBK" w:hAnsi="方正仿宋_GBK" w:eastAsia="方正仿宋_GBK" w:cs="方正仿宋_GBK"/>
          <w:sz w:val="32"/>
          <w:szCs w:val="32"/>
        </w:rPr>
        <w:t>高质量发展成效显著提升。服务业提质增效成效明显，服务经济产业体系更加完善，主要指标持续位居全市前列，发展实力迈上更高台阶。到</w:t>
      </w:r>
      <w:r>
        <w:rPr>
          <w:rFonts w:ascii="方正仿宋_GBK" w:hAnsi="方正仿宋_GBK" w:eastAsia="方正仿宋_GBK" w:cs="方正仿宋_GBK"/>
          <w:sz w:val="32"/>
          <w:szCs w:val="32"/>
        </w:rPr>
        <w:t>2025</w:t>
      </w:r>
      <w:r>
        <w:rPr>
          <w:rFonts w:hint="eastAsia" w:ascii="方正仿宋_GBK" w:hAnsi="方正仿宋_GBK" w:eastAsia="方正仿宋_GBK" w:cs="方正仿宋_GBK"/>
          <w:sz w:val="32"/>
          <w:szCs w:val="32"/>
        </w:rPr>
        <w:t>年，服务业增加值总量达到</w:t>
      </w:r>
      <w:r>
        <w:rPr>
          <w:rFonts w:ascii="方正仿宋_GBK" w:hAnsi="方正仿宋_GBK" w:eastAsia="方正仿宋_GBK" w:cs="方正仿宋_GBK"/>
          <w:sz w:val="32"/>
          <w:szCs w:val="32"/>
        </w:rPr>
        <w:t>1760</w:t>
      </w:r>
      <w:r>
        <w:rPr>
          <w:rFonts w:hint="eastAsia" w:ascii="方正仿宋_GBK" w:hAnsi="方正仿宋_GBK" w:eastAsia="方正仿宋_GBK" w:cs="方正仿宋_GBK"/>
          <w:sz w:val="32"/>
          <w:szCs w:val="32"/>
        </w:rPr>
        <w:t>亿元，保持全市领先水平，占地区生产总值比重</w:t>
      </w:r>
      <w:r>
        <w:rPr>
          <w:rFonts w:ascii="方正仿宋_GBK" w:hAnsi="方正仿宋_GBK" w:eastAsia="方正仿宋_GBK" w:cs="方正仿宋_GBK"/>
          <w:sz w:val="32"/>
          <w:szCs w:val="32"/>
        </w:rPr>
        <w:t>66%</w:t>
      </w:r>
      <w:r>
        <w:rPr>
          <w:rFonts w:hint="eastAsia" w:ascii="方正仿宋_GBK" w:hAnsi="方正仿宋_GBK" w:eastAsia="方正仿宋_GBK" w:cs="方正仿宋_GBK"/>
          <w:sz w:val="32"/>
          <w:szCs w:val="32"/>
        </w:rPr>
        <w:t>，现代服务业增加值占服务业增加值比重</w:t>
      </w:r>
      <w:r>
        <w:rPr>
          <w:rFonts w:ascii="方正仿宋_GBK" w:hAnsi="方正仿宋_GBK" w:eastAsia="方正仿宋_GBK" w:cs="方正仿宋_GBK"/>
          <w:sz w:val="32"/>
          <w:szCs w:val="32"/>
        </w:rPr>
        <w:t>80%</w:t>
      </w:r>
      <w:r>
        <w:rPr>
          <w:rFonts w:hint="eastAsia" w:ascii="方正仿宋_GBK" w:hAnsi="方正仿宋_GBK" w:eastAsia="方正仿宋_GBK" w:cs="方正仿宋_GBK"/>
          <w:sz w:val="32"/>
          <w:szCs w:val="32"/>
        </w:rPr>
        <w:t>，数字经济发展走在全市前列，服务业高质量发展迈上新台阶。</w:t>
      </w:r>
    </w:p>
    <w:p>
      <w:pPr>
        <w:spacing w:line="560" w:lineRule="exact"/>
        <w:ind w:firstLine="640" w:firstLineChars="200"/>
        <w:rPr>
          <w:rFonts w:ascii="方正仿宋_GBK" w:hAnsi="方正仿宋_GBK" w:eastAsia="方正仿宋_GBK" w:cs="方正仿宋_GBK"/>
          <w:sz w:val="32"/>
          <w:szCs w:val="32"/>
        </w:rPr>
      </w:pPr>
      <w:r>
        <w:rPr>
          <w:rFonts w:ascii="方正仿宋_GBK" w:hAnsi="方正仿宋_GBK" w:eastAsia="方正仿宋_GBK" w:cs="方正仿宋_GBK"/>
          <w:sz w:val="32"/>
          <w:szCs w:val="32"/>
        </w:rPr>
        <w:t>——</w:t>
      </w:r>
      <w:r>
        <w:rPr>
          <w:rFonts w:hint="eastAsia" w:ascii="方正仿宋_GBK" w:hAnsi="方正仿宋_GBK" w:eastAsia="方正仿宋_GBK" w:cs="方正仿宋_GBK"/>
          <w:sz w:val="32"/>
          <w:szCs w:val="32"/>
        </w:rPr>
        <w:t>产业影响力显著增强。“</w:t>
      </w:r>
      <w:r>
        <w:rPr>
          <w:rFonts w:ascii="方正仿宋_GBK" w:hAnsi="方正仿宋_GBK" w:eastAsia="方正仿宋_GBK" w:cs="方正仿宋_GBK"/>
          <w:sz w:val="32"/>
          <w:szCs w:val="32"/>
        </w:rPr>
        <w:t>5+3+1</w:t>
      </w:r>
      <w:r>
        <w:rPr>
          <w:rFonts w:hint="eastAsia" w:ascii="方正仿宋_GBK" w:hAnsi="方正仿宋_GBK" w:eastAsia="方正仿宋_GBK" w:cs="方正仿宋_GBK"/>
          <w:sz w:val="32"/>
          <w:szCs w:val="32"/>
        </w:rPr>
        <w:t>”</w:t>
      </w:r>
      <w:r>
        <w:rPr>
          <w:rFonts w:ascii="方正仿宋_GBK" w:hAnsi="方正仿宋_GBK" w:eastAsia="方正仿宋_GBK" w:cs="方正仿宋_GBK"/>
          <w:sz w:val="32"/>
          <w:szCs w:val="32"/>
          <w:vertAlign w:val="superscript"/>
        </w:rPr>
        <w:t>[</w:t>
      </w:r>
      <w:r>
        <w:rPr>
          <w:rFonts w:ascii="方正仿宋_GBK" w:hAnsi="方正仿宋_GBK" w:eastAsia="方正仿宋_GBK" w:cs="方正仿宋_GBK"/>
          <w:sz w:val="32"/>
          <w:szCs w:val="32"/>
          <w:vertAlign w:val="superscript"/>
        </w:rPr>
        <w:footnoteReference w:id="0"/>
      </w:r>
      <w:r>
        <w:rPr>
          <w:rFonts w:ascii="方正仿宋_GBK" w:hAnsi="方正仿宋_GBK" w:eastAsia="方正仿宋_GBK" w:cs="方正仿宋_GBK"/>
          <w:sz w:val="32"/>
          <w:szCs w:val="32"/>
          <w:vertAlign w:val="superscript"/>
        </w:rPr>
        <w:t>]</w:t>
      </w:r>
      <w:r>
        <w:rPr>
          <w:rFonts w:hint="eastAsia" w:ascii="方正仿宋_GBK" w:hAnsi="方正仿宋_GBK" w:eastAsia="方正仿宋_GBK" w:cs="方正仿宋_GBK"/>
          <w:sz w:val="32"/>
          <w:szCs w:val="32"/>
        </w:rPr>
        <w:t>为主的现代服务业体系基本建成，拉动经济社会发展的引擎作用明显增强，建设成为内陆国际金融中心创新示范区、“一带一路”国际航空物流枢纽、国家数字经济创新发展试验区核心区、高能级策源科技创新引领区、国际消费中心城市的重要承载地、国际会展名城、重庆乃至中西部地区具有影响力的总部经济与现代商务集聚区，辐射带动能力显著增强。</w:t>
      </w:r>
    </w:p>
    <w:p>
      <w:pPr>
        <w:spacing w:line="560" w:lineRule="exact"/>
        <w:ind w:firstLine="640" w:firstLineChars="200"/>
        <w:rPr>
          <w:rFonts w:ascii="方正仿宋_GBK" w:hAnsi="方正仿宋_GBK" w:eastAsia="方正仿宋_GBK" w:cs="方正仿宋_GBK"/>
          <w:sz w:val="32"/>
          <w:szCs w:val="32"/>
        </w:rPr>
      </w:pPr>
      <w:r>
        <w:rPr>
          <w:rFonts w:ascii="方正仿宋_GBK" w:hAnsi="方正仿宋_GBK" w:eastAsia="方正仿宋_GBK" w:cs="方正仿宋_GBK"/>
          <w:sz w:val="32"/>
          <w:szCs w:val="32"/>
        </w:rPr>
        <w:t>——</w:t>
      </w:r>
      <w:r>
        <w:rPr>
          <w:rFonts w:hint="eastAsia" w:ascii="方正仿宋_GBK" w:hAnsi="方正仿宋_GBK" w:eastAsia="方正仿宋_GBK" w:cs="方正仿宋_GBK"/>
          <w:sz w:val="32"/>
          <w:szCs w:val="32"/>
        </w:rPr>
        <w:t>创新引领更加显著。新一代信息技术与服务经济深度融合，“双创”指标保持全市领先，研发经费投入强度提升到</w:t>
      </w:r>
      <w:r>
        <w:rPr>
          <w:rFonts w:ascii="方正仿宋_GBK" w:hAnsi="方正仿宋_GBK" w:eastAsia="方正仿宋_GBK" w:cs="方正仿宋_GBK"/>
          <w:sz w:val="32"/>
          <w:szCs w:val="32"/>
        </w:rPr>
        <w:t>4.3%</w:t>
      </w:r>
      <w:r>
        <w:rPr>
          <w:rFonts w:hint="eastAsia" w:ascii="方正仿宋_GBK" w:hAnsi="方正仿宋_GBK" w:eastAsia="方正仿宋_GBK" w:cs="方正仿宋_GBK"/>
          <w:sz w:val="32"/>
          <w:szCs w:val="32"/>
        </w:rPr>
        <w:t>，供应链管理、智慧医疗、文创旅游、软件信息等新兴服务业快速发展，产业跨界深度融合，产业链现代化水平明显提高。</w:t>
      </w:r>
    </w:p>
    <w:p>
      <w:pPr>
        <w:spacing w:line="560" w:lineRule="exact"/>
        <w:ind w:firstLine="640" w:firstLineChars="200"/>
        <w:rPr>
          <w:rFonts w:ascii="方正仿宋_GBK" w:hAnsi="方正仿宋_GBK" w:eastAsia="方正仿宋_GBK" w:cs="方正仿宋_GBK"/>
          <w:sz w:val="32"/>
          <w:szCs w:val="32"/>
        </w:rPr>
      </w:pPr>
      <w:r>
        <w:rPr>
          <w:rFonts w:ascii="方正仿宋_GBK" w:hAnsi="方正仿宋_GBK" w:eastAsia="方正仿宋_GBK" w:cs="方正仿宋_GBK"/>
          <w:sz w:val="32"/>
          <w:szCs w:val="32"/>
        </w:rPr>
        <w:t>——</w:t>
      </w:r>
      <w:r>
        <w:rPr>
          <w:rFonts w:hint="eastAsia" w:ascii="方正仿宋_GBK" w:hAnsi="方正仿宋_GBK" w:eastAsia="方正仿宋_GBK" w:cs="方正仿宋_GBK"/>
          <w:sz w:val="32"/>
          <w:szCs w:val="32"/>
        </w:rPr>
        <w:t>改革开放取得新突破。</w:t>
      </w:r>
      <w:r>
        <w:rPr>
          <w:rFonts w:hint="eastAsia" w:ascii="方正仿宋_GBK" w:hAnsi="方正仿宋_GBK" w:eastAsia="方正仿宋_GBK" w:cs="方正仿宋_GBK"/>
          <w:sz w:val="32"/>
          <w:szCs w:val="32"/>
          <w:lang w:val="zh-TW"/>
        </w:rPr>
        <w:t>服务业扩大开放综合试点</w:t>
      </w:r>
      <w:r>
        <w:rPr>
          <w:rFonts w:hint="eastAsia" w:ascii="方正仿宋_GBK" w:hAnsi="方正仿宋_GBK" w:eastAsia="方正仿宋_GBK" w:cs="方正仿宋_GBK"/>
          <w:sz w:val="32"/>
          <w:szCs w:val="32"/>
        </w:rPr>
        <w:t>全面有效推进</w:t>
      </w:r>
      <w:r>
        <w:rPr>
          <w:rFonts w:hint="eastAsia" w:ascii="方正仿宋_GBK" w:hAnsi="方正仿宋_GBK" w:eastAsia="方正仿宋_GBK" w:cs="方正仿宋_GBK"/>
          <w:sz w:val="32"/>
          <w:szCs w:val="32"/>
          <w:lang w:val="zh-TW"/>
        </w:rPr>
        <w:t>，</w:t>
      </w:r>
      <w:r>
        <w:rPr>
          <w:rFonts w:hint="eastAsia" w:ascii="方正仿宋_GBK" w:hAnsi="方正仿宋_GBK" w:eastAsia="方正仿宋_GBK" w:cs="方正仿宋_GBK"/>
          <w:sz w:val="32"/>
          <w:szCs w:val="32"/>
        </w:rPr>
        <w:t>市场准入进一步放宽，形成市场更加开放、制度更加规范、监管更加有效、环境更加优良的服务业扩大开放新格局，国家临空经济示范区要素集聚、资源配置、枢纽辐射功能进一步完善，高水平开放带动作用更加明显。</w:t>
      </w:r>
    </w:p>
    <w:p>
      <w:pPr>
        <w:spacing w:line="560" w:lineRule="exact"/>
        <w:ind w:firstLine="640" w:firstLineChars="200"/>
        <w:rPr>
          <w:rFonts w:ascii="方正仿宋_GBK" w:hAnsi="方正仿宋_GBK" w:eastAsia="方正仿宋_GBK" w:cs="方正仿宋_GBK"/>
          <w:sz w:val="32"/>
          <w:szCs w:val="32"/>
        </w:rPr>
      </w:pPr>
      <w:r>
        <w:rPr>
          <w:rFonts w:ascii="方正仿宋_GBK" w:hAnsi="方正仿宋_GBK" w:eastAsia="方正仿宋_GBK" w:cs="方正仿宋_GBK"/>
          <w:sz w:val="32"/>
          <w:szCs w:val="32"/>
        </w:rPr>
        <w:t>——</w:t>
      </w:r>
      <w:r>
        <w:rPr>
          <w:rFonts w:hint="eastAsia" w:ascii="方正仿宋_GBK" w:hAnsi="方正仿宋_GBK" w:eastAsia="方正仿宋_GBK" w:cs="方正仿宋_GBK"/>
          <w:sz w:val="32"/>
          <w:szCs w:val="32"/>
        </w:rPr>
        <w:t>高品质生活服务能力显著提升。教育、医疗、养老等基本公共服务供给更加优质均衡，文旅体融合深度发展，文化强区、体育强区迈出新步伐，文化产业增加值占地区生产总值比重达到</w:t>
      </w:r>
      <w:r>
        <w:rPr>
          <w:rFonts w:ascii="方正仿宋_GBK" w:hAnsi="方正仿宋_GBK" w:eastAsia="方正仿宋_GBK" w:cs="方正仿宋_GBK"/>
          <w:sz w:val="32"/>
          <w:szCs w:val="32"/>
        </w:rPr>
        <w:t>5%</w:t>
      </w:r>
      <w:r>
        <w:rPr>
          <w:rFonts w:hint="eastAsia" w:ascii="方正仿宋_GBK" w:hAnsi="方正仿宋_GBK" w:eastAsia="方正仿宋_GBK" w:cs="方正仿宋_GBK"/>
          <w:sz w:val="32"/>
          <w:szCs w:val="32"/>
        </w:rPr>
        <w:t>，宜居生活品质不断提升。</w:t>
      </w:r>
    </w:p>
    <w:p>
      <w:pPr>
        <w:spacing w:line="560" w:lineRule="exact"/>
        <w:ind w:firstLine="640" w:firstLineChars="200"/>
        <w:rPr>
          <w:rFonts w:ascii="方正仿宋_GBK" w:hAnsi="方正仿宋_GBK" w:eastAsia="方正仿宋_GBK" w:cs="方正仿宋_GBK"/>
          <w:sz w:val="32"/>
          <w:szCs w:val="32"/>
        </w:rPr>
      </w:pPr>
      <w:r>
        <w:rPr>
          <w:rFonts w:ascii="方正仿宋_GBK" w:hAnsi="方正仿宋_GBK" w:eastAsia="方正仿宋_GBK" w:cs="方正仿宋_GBK"/>
          <w:sz w:val="32"/>
          <w:szCs w:val="32"/>
        </w:rPr>
        <w:t>——</w:t>
      </w:r>
      <w:r>
        <w:rPr>
          <w:rFonts w:hint="eastAsia" w:ascii="方正仿宋_GBK" w:hAnsi="方正仿宋_GBK" w:eastAsia="方正仿宋_GBK" w:cs="方正仿宋_GBK"/>
          <w:sz w:val="32"/>
          <w:szCs w:val="32"/>
        </w:rPr>
        <w:t>企业主体竞争力显著提升。营商环境达到国际一流水平，集聚培育一批具有国际竞争力的企业主体，新增引育上市企业</w:t>
      </w:r>
      <w:r>
        <w:rPr>
          <w:rFonts w:ascii="方正仿宋_GBK" w:hAnsi="方正仿宋_GBK" w:eastAsia="方正仿宋_GBK" w:cs="方正仿宋_GBK"/>
          <w:sz w:val="32"/>
          <w:szCs w:val="32"/>
        </w:rPr>
        <w:t>10</w:t>
      </w:r>
      <w:r>
        <w:rPr>
          <w:rFonts w:hint="eastAsia" w:ascii="方正仿宋_GBK" w:hAnsi="方正仿宋_GBK" w:eastAsia="方正仿宋_GBK" w:cs="方正仿宋_GBK"/>
          <w:sz w:val="32"/>
          <w:szCs w:val="32"/>
        </w:rPr>
        <w:t>家以上，新增</w:t>
      </w:r>
      <w:r>
        <w:rPr>
          <w:rFonts w:hint="eastAsia" w:ascii="方正仿宋_GBK" w:hAnsi="方正仿宋_GBK" w:eastAsia="方正仿宋_GBK" w:cs="方正仿宋_GBK"/>
          <w:sz w:val="32"/>
          <w:szCs w:val="32"/>
          <w:lang w:val="zh-TW" w:eastAsia="zh-TW"/>
        </w:rPr>
        <w:t>中国服务业企业</w:t>
      </w:r>
      <w:r>
        <w:rPr>
          <w:rFonts w:ascii="方正仿宋_GBK" w:hAnsi="方正仿宋_GBK" w:eastAsia="方正仿宋_GBK" w:cs="方正仿宋_GBK"/>
          <w:sz w:val="32"/>
          <w:szCs w:val="32"/>
          <w:lang w:val="zh-TW" w:eastAsia="zh-TW"/>
        </w:rPr>
        <w:t>500</w:t>
      </w:r>
      <w:r>
        <w:rPr>
          <w:rFonts w:hint="eastAsia" w:ascii="方正仿宋_GBK" w:hAnsi="方正仿宋_GBK" w:eastAsia="方正仿宋_GBK" w:cs="方正仿宋_GBK"/>
          <w:sz w:val="32"/>
          <w:szCs w:val="32"/>
          <w:lang w:val="zh-TW" w:eastAsia="zh-TW"/>
        </w:rPr>
        <w:t>强</w:t>
      </w:r>
      <w:r>
        <w:rPr>
          <w:rFonts w:ascii="方正仿宋_GBK" w:hAnsi="方正仿宋_GBK" w:eastAsia="方正仿宋_GBK" w:cs="方正仿宋_GBK"/>
          <w:sz w:val="32"/>
          <w:szCs w:val="32"/>
        </w:rPr>
        <w:t>1-2</w:t>
      </w:r>
      <w:r>
        <w:rPr>
          <w:rFonts w:hint="eastAsia" w:ascii="方正仿宋_GBK" w:hAnsi="方正仿宋_GBK" w:eastAsia="方正仿宋_GBK" w:cs="方正仿宋_GBK"/>
          <w:sz w:val="32"/>
          <w:szCs w:val="32"/>
        </w:rPr>
        <w:t>家。</w:t>
      </w:r>
    </w:p>
    <w:p>
      <w:pPr>
        <w:widowControl/>
        <w:ind w:firstLine="320" w:firstLineChars="100"/>
        <w:jc w:val="center"/>
        <w:rPr>
          <w:rFonts w:ascii="方正黑体_GBK" w:hAnsi="方正黑体_GBK" w:eastAsia="方正黑体_GBK" w:cs="方正黑体_GBK"/>
          <w:smallCaps/>
          <w:kern w:val="0"/>
          <w:sz w:val="32"/>
          <w:szCs w:val="32"/>
        </w:rPr>
      </w:pPr>
      <w:r>
        <w:rPr>
          <w:rFonts w:hint="eastAsia" w:ascii="方正黑体_GBK" w:hAnsi="方正黑体_GBK" w:eastAsia="方正黑体_GBK" w:cs="方正黑体_GBK"/>
          <w:smallCaps/>
          <w:kern w:val="0"/>
          <w:sz w:val="32"/>
          <w:szCs w:val="32"/>
        </w:rPr>
        <w:t>专栏</w:t>
      </w:r>
      <w:r>
        <w:rPr>
          <w:rFonts w:ascii="方正黑体_GBK" w:hAnsi="方正黑体_GBK" w:eastAsia="方正黑体_GBK" w:cs="方正黑体_GBK"/>
          <w:smallCaps/>
          <w:kern w:val="0"/>
          <w:sz w:val="32"/>
          <w:szCs w:val="32"/>
        </w:rPr>
        <w:t xml:space="preserve">2 </w:t>
      </w:r>
      <w:r>
        <w:rPr>
          <w:rFonts w:hint="eastAsia" w:ascii="方正黑体_GBK" w:hAnsi="方正黑体_GBK" w:eastAsia="方正黑体_GBK" w:cs="方正黑体_GBK"/>
          <w:smallCaps/>
          <w:kern w:val="0"/>
          <w:sz w:val="32"/>
          <w:szCs w:val="32"/>
        </w:rPr>
        <w:t>“十四五”现代服务业发展主要目标表</w:t>
      </w:r>
    </w:p>
    <w:tbl>
      <w:tblPr>
        <w:tblStyle w:val="32"/>
        <w:tblW w:w="7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765"/>
        <w:gridCol w:w="4422"/>
        <w:gridCol w:w="1032"/>
        <w:gridCol w:w="1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46" w:type="dxa"/>
            <w:vAlign w:val="center"/>
          </w:tcPr>
          <w:p>
            <w:pPr>
              <w:widowControl/>
              <w:adjustRightInd w:val="0"/>
              <w:snapToGrid w:val="0"/>
              <w:jc w:val="center"/>
              <w:rPr>
                <w:rFonts w:ascii="方正黑体_GBK" w:hAnsi="方正黑体_GBK" w:eastAsia="方正黑体_GBK" w:cs="方正黑体_GBK"/>
                <w:kern w:val="0"/>
                <w:sz w:val="24"/>
                <w:szCs w:val="24"/>
              </w:rPr>
            </w:pPr>
            <w:r>
              <w:rPr>
                <w:rFonts w:hint="eastAsia" w:ascii="方正黑体_GBK" w:hAnsi="方正黑体_GBK" w:eastAsia="方正黑体_GBK" w:cs="方正黑体_GBK"/>
                <w:kern w:val="0"/>
                <w:sz w:val="24"/>
                <w:szCs w:val="24"/>
              </w:rPr>
              <w:t>序号</w:t>
            </w:r>
          </w:p>
        </w:tc>
        <w:tc>
          <w:tcPr>
            <w:tcW w:w="765" w:type="dxa"/>
            <w:vAlign w:val="center"/>
          </w:tcPr>
          <w:p>
            <w:pPr>
              <w:widowControl/>
              <w:adjustRightInd w:val="0"/>
              <w:snapToGrid w:val="0"/>
              <w:jc w:val="center"/>
              <w:rPr>
                <w:rFonts w:ascii="方正黑体_GBK" w:hAnsi="方正黑体_GBK" w:eastAsia="方正黑体_GBK" w:cs="方正黑体_GBK"/>
                <w:kern w:val="0"/>
                <w:sz w:val="24"/>
                <w:szCs w:val="24"/>
              </w:rPr>
            </w:pPr>
            <w:r>
              <w:rPr>
                <w:rFonts w:hint="eastAsia" w:ascii="方正黑体_GBK" w:hAnsi="方正黑体_GBK" w:eastAsia="方正黑体_GBK" w:cs="方正黑体_GBK"/>
                <w:kern w:val="0"/>
                <w:sz w:val="24"/>
                <w:szCs w:val="24"/>
              </w:rPr>
              <w:t>指标类别</w:t>
            </w:r>
          </w:p>
        </w:tc>
        <w:tc>
          <w:tcPr>
            <w:tcW w:w="4422" w:type="dxa"/>
            <w:vAlign w:val="center"/>
          </w:tcPr>
          <w:p>
            <w:pPr>
              <w:widowControl/>
              <w:adjustRightInd w:val="0"/>
              <w:snapToGrid w:val="0"/>
              <w:jc w:val="center"/>
              <w:rPr>
                <w:rFonts w:ascii="方正黑体_GBK" w:hAnsi="方正黑体_GBK" w:eastAsia="方正黑体_GBK" w:cs="方正黑体_GBK"/>
                <w:kern w:val="0"/>
                <w:sz w:val="24"/>
                <w:szCs w:val="24"/>
              </w:rPr>
            </w:pPr>
            <w:r>
              <w:rPr>
                <w:rFonts w:hint="eastAsia" w:ascii="方正黑体_GBK" w:hAnsi="方正黑体_GBK" w:eastAsia="方正黑体_GBK" w:cs="方正黑体_GBK"/>
                <w:kern w:val="0"/>
                <w:sz w:val="24"/>
                <w:szCs w:val="24"/>
              </w:rPr>
              <w:t>指标名称</w:t>
            </w:r>
          </w:p>
        </w:tc>
        <w:tc>
          <w:tcPr>
            <w:tcW w:w="1032" w:type="dxa"/>
            <w:vAlign w:val="center"/>
          </w:tcPr>
          <w:p>
            <w:pPr>
              <w:widowControl/>
              <w:adjustRightInd w:val="0"/>
              <w:snapToGrid w:val="0"/>
              <w:jc w:val="center"/>
              <w:rPr>
                <w:rFonts w:ascii="方正黑体_GBK" w:hAnsi="方正黑体_GBK" w:eastAsia="方正黑体_GBK" w:cs="方正黑体_GBK"/>
                <w:kern w:val="0"/>
                <w:sz w:val="24"/>
                <w:szCs w:val="24"/>
              </w:rPr>
            </w:pPr>
            <w:r>
              <w:rPr>
                <w:rFonts w:ascii="方正黑体_GBK" w:hAnsi="方正黑体_GBK" w:eastAsia="方正黑体_GBK" w:cs="方正黑体_GBK"/>
                <w:kern w:val="0"/>
                <w:sz w:val="24"/>
                <w:szCs w:val="24"/>
              </w:rPr>
              <w:t>2020</w:t>
            </w:r>
            <w:r>
              <w:rPr>
                <w:rFonts w:hint="eastAsia" w:ascii="方正黑体_GBK" w:hAnsi="方正黑体_GBK" w:eastAsia="方正黑体_GBK" w:cs="方正黑体_GBK"/>
                <w:kern w:val="0"/>
                <w:sz w:val="24"/>
                <w:szCs w:val="24"/>
              </w:rPr>
              <w:t>年基数</w:t>
            </w:r>
          </w:p>
        </w:tc>
        <w:tc>
          <w:tcPr>
            <w:tcW w:w="1027" w:type="dxa"/>
            <w:vAlign w:val="center"/>
          </w:tcPr>
          <w:p>
            <w:pPr>
              <w:widowControl/>
              <w:adjustRightInd w:val="0"/>
              <w:snapToGrid w:val="0"/>
              <w:jc w:val="center"/>
              <w:rPr>
                <w:rFonts w:ascii="方正黑体_GBK" w:hAnsi="方正黑体_GBK" w:eastAsia="方正黑体_GBK" w:cs="方正黑体_GBK"/>
                <w:kern w:val="0"/>
                <w:sz w:val="24"/>
                <w:szCs w:val="24"/>
              </w:rPr>
            </w:pPr>
            <w:r>
              <w:rPr>
                <w:rFonts w:ascii="方正黑体_GBK" w:hAnsi="方正黑体_GBK" w:eastAsia="方正黑体_GBK" w:cs="方正黑体_GBK"/>
                <w:kern w:val="0"/>
                <w:sz w:val="24"/>
                <w:szCs w:val="24"/>
              </w:rPr>
              <w:t>2025</w:t>
            </w:r>
            <w:r>
              <w:rPr>
                <w:rFonts w:hint="eastAsia" w:ascii="方正黑体_GBK" w:hAnsi="方正黑体_GBK" w:eastAsia="方正黑体_GBK" w:cs="方正黑体_GBK"/>
                <w:kern w:val="0"/>
                <w:sz w:val="24"/>
                <w:szCs w:val="24"/>
              </w:rPr>
              <w:t>年目标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46" w:type="dxa"/>
            <w:vAlign w:val="center"/>
          </w:tcPr>
          <w:p>
            <w:pPr>
              <w:widowControl/>
              <w:snapToGrid w:val="0"/>
              <w:jc w:val="center"/>
              <w:rPr>
                <w:rFonts w:ascii="宋体" w:cs="宋体"/>
                <w:kern w:val="0"/>
                <w:sz w:val="24"/>
                <w:szCs w:val="24"/>
              </w:rPr>
            </w:pPr>
            <w:r>
              <w:rPr>
                <w:rFonts w:ascii="宋体" w:hAnsi="宋体" w:cs="宋体"/>
                <w:kern w:val="0"/>
                <w:sz w:val="24"/>
                <w:szCs w:val="24"/>
              </w:rPr>
              <w:t>1</w:t>
            </w:r>
          </w:p>
        </w:tc>
        <w:tc>
          <w:tcPr>
            <w:tcW w:w="765" w:type="dxa"/>
            <w:vMerge w:val="restart"/>
            <w:vAlign w:val="center"/>
          </w:tcPr>
          <w:p>
            <w:pPr>
              <w:widowControl/>
              <w:snapToGrid w:val="0"/>
              <w:rPr>
                <w:rFonts w:ascii="宋体" w:cs="宋体"/>
                <w:kern w:val="0"/>
                <w:sz w:val="24"/>
                <w:szCs w:val="24"/>
              </w:rPr>
            </w:pPr>
            <w:r>
              <w:rPr>
                <w:rFonts w:hint="eastAsia" w:ascii="宋体" w:hAnsi="宋体" w:cs="宋体"/>
                <w:kern w:val="0"/>
                <w:sz w:val="24"/>
                <w:szCs w:val="24"/>
              </w:rPr>
              <w:t>规模总量</w:t>
            </w:r>
          </w:p>
        </w:tc>
        <w:tc>
          <w:tcPr>
            <w:tcW w:w="4422" w:type="dxa"/>
            <w:vAlign w:val="center"/>
          </w:tcPr>
          <w:p>
            <w:pPr>
              <w:widowControl/>
              <w:snapToGrid w:val="0"/>
              <w:rPr>
                <w:rFonts w:ascii="宋体" w:cs="宋体"/>
                <w:kern w:val="0"/>
                <w:sz w:val="24"/>
                <w:szCs w:val="24"/>
              </w:rPr>
            </w:pPr>
            <w:r>
              <w:rPr>
                <w:rFonts w:hint="eastAsia" w:ascii="宋体" w:hAnsi="宋体" w:cs="宋体"/>
                <w:kern w:val="0"/>
                <w:sz w:val="24"/>
                <w:szCs w:val="24"/>
              </w:rPr>
              <w:t>服务业增加值（亿元）</w:t>
            </w:r>
          </w:p>
        </w:tc>
        <w:tc>
          <w:tcPr>
            <w:tcW w:w="1032" w:type="dxa"/>
            <w:vAlign w:val="center"/>
          </w:tcPr>
          <w:p>
            <w:pPr>
              <w:widowControl/>
              <w:snapToGrid w:val="0"/>
              <w:jc w:val="center"/>
              <w:rPr>
                <w:rFonts w:ascii="宋体" w:cs="宋体"/>
                <w:kern w:val="0"/>
                <w:sz w:val="24"/>
                <w:szCs w:val="24"/>
              </w:rPr>
            </w:pPr>
            <w:r>
              <w:rPr>
                <w:rFonts w:ascii="宋体" w:hAnsi="宋体" w:cs="宋体"/>
                <w:kern w:val="0"/>
                <w:sz w:val="24"/>
                <w:szCs w:val="24"/>
              </w:rPr>
              <w:t>1326</w:t>
            </w:r>
          </w:p>
        </w:tc>
        <w:tc>
          <w:tcPr>
            <w:tcW w:w="1027" w:type="dxa"/>
            <w:vAlign w:val="center"/>
          </w:tcPr>
          <w:p>
            <w:pPr>
              <w:widowControl/>
              <w:snapToGrid w:val="0"/>
              <w:jc w:val="center"/>
              <w:rPr>
                <w:rFonts w:ascii="宋体" w:cs="宋体"/>
                <w:kern w:val="0"/>
                <w:sz w:val="24"/>
                <w:szCs w:val="24"/>
              </w:rPr>
            </w:pPr>
            <w:r>
              <w:rPr>
                <w:rFonts w:ascii="宋体" w:hAnsi="宋体" w:cs="宋体"/>
                <w:kern w:val="0"/>
                <w:sz w:val="24"/>
                <w:szCs w:val="24"/>
              </w:rPr>
              <w:t>1760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46" w:type="dxa"/>
            <w:vAlign w:val="center"/>
          </w:tcPr>
          <w:p>
            <w:pPr>
              <w:widowControl/>
              <w:snapToGrid w:val="0"/>
              <w:jc w:val="center"/>
              <w:rPr>
                <w:rFonts w:ascii="宋体" w:cs="宋体"/>
                <w:kern w:val="0"/>
                <w:sz w:val="24"/>
                <w:szCs w:val="24"/>
              </w:rPr>
            </w:pPr>
            <w:r>
              <w:rPr>
                <w:rFonts w:ascii="宋体" w:hAnsi="宋体" w:cs="宋体"/>
                <w:kern w:val="0"/>
                <w:sz w:val="24"/>
                <w:szCs w:val="24"/>
              </w:rPr>
              <w:t>2</w:t>
            </w:r>
          </w:p>
        </w:tc>
        <w:tc>
          <w:tcPr>
            <w:tcW w:w="765" w:type="dxa"/>
            <w:vMerge w:val="continue"/>
            <w:vAlign w:val="center"/>
          </w:tcPr>
          <w:p>
            <w:pPr>
              <w:widowControl/>
              <w:snapToGrid w:val="0"/>
              <w:rPr>
                <w:rFonts w:ascii="宋体" w:cs="宋体"/>
                <w:kern w:val="0"/>
                <w:sz w:val="24"/>
                <w:szCs w:val="24"/>
              </w:rPr>
            </w:pPr>
          </w:p>
        </w:tc>
        <w:tc>
          <w:tcPr>
            <w:tcW w:w="4422" w:type="dxa"/>
            <w:vAlign w:val="center"/>
          </w:tcPr>
          <w:p>
            <w:pPr>
              <w:widowControl/>
              <w:snapToGrid w:val="0"/>
              <w:rPr>
                <w:rFonts w:ascii="宋体" w:cs="宋体"/>
                <w:kern w:val="0"/>
                <w:sz w:val="24"/>
                <w:szCs w:val="24"/>
              </w:rPr>
            </w:pPr>
            <w:r>
              <w:rPr>
                <w:rFonts w:hint="eastAsia" w:ascii="宋体" w:hAnsi="宋体" w:cs="宋体"/>
                <w:kern w:val="0"/>
                <w:sz w:val="24"/>
                <w:szCs w:val="24"/>
              </w:rPr>
              <w:t>服务业增加值占地区生产总值比重（</w:t>
            </w:r>
            <w:r>
              <w:rPr>
                <w:rFonts w:ascii="宋体" w:hAnsi="宋体" w:cs="宋体"/>
                <w:kern w:val="0"/>
                <w:sz w:val="24"/>
                <w:szCs w:val="24"/>
              </w:rPr>
              <w:t>%</w:t>
            </w:r>
            <w:r>
              <w:rPr>
                <w:rFonts w:hint="eastAsia" w:ascii="宋体" w:hAnsi="宋体" w:cs="宋体"/>
                <w:kern w:val="0"/>
                <w:sz w:val="24"/>
                <w:szCs w:val="24"/>
              </w:rPr>
              <w:t>）</w:t>
            </w:r>
          </w:p>
        </w:tc>
        <w:tc>
          <w:tcPr>
            <w:tcW w:w="1032" w:type="dxa"/>
            <w:vAlign w:val="center"/>
          </w:tcPr>
          <w:p>
            <w:pPr>
              <w:widowControl/>
              <w:snapToGrid w:val="0"/>
              <w:jc w:val="center"/>
              <w:rPr>
                <w:rFonts w:ascii="宋体" w:cs="宋体"/>
                <w:kern w:val="0"/>
                <w:sz w:val="24"/>
                <w:szCs w:val="24"/>
              </w:rPr>
            </w:pPr>
            <w:r>
              <w:rPr>
                <w:rFonts w:ascii="宋体" w:hAnsi="宋体" w:cs="宋体"/>
                <w:kern w:val="0"/>
                <w:sz w:val="24"/>
                <w:szCs w:val="24"/>
              </w:rPr>
              <w:t>66</w:t>
            </w:r>
          </w:p>
        </w:tc>
        <w:tc>
          <w:tcPr>
            <w:tcW w:w="1027" w:type="dxa"/>
            <w:vAlign w:val="center"/>
          </w:tcPr>
          <w:p>
            <w:pPr>
              <w:widowControl/>
              <w:snapToGrid w:val="0"/>
              <w:jc w:val="center"/>
              <w:rPr>
                <w:rFonts w:ascii="宋体" w:cs="宋体"/>
                <w:kern w:val="0"/>
                <w:sz w:val="24"/>
                <w:szCs w:val="24"/>
              </w:rPr>
            </w:pPr>
            <w:r>
              <w:rPr>
                <w:rFonts w:ascii="宋体" w:hAnsi="宋体" w:cs="宋体"/>
                <w:kern w:val="0"/>
                <w:sz w:val="24"/>
                <w:szCs w:val="24"/>
              </w:rPr>
              <w:t>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46" w:type="dxa"/>
            <w:vAlign w:val="center"/>
          </w:tcPr>
          <w:p>
            <w:pPr>
              <w:widowControl/>
              <w:snapToGrid w:val="0"/>
              <w:jc w:val="center"/>
              <w:rPr>
                <w:rFonts w:ascii="宋体" w:cs="宋体"/>
                <w:kern w:val="0"/>
                <w:sz w:val="24"/>
                <w:szCs w:val="24"/>
              </w:rPr>
            </w:pPr>
            <w:r>
              <w:rPr>
                <w:rFonts w:ascii="宋体" w:hAnsi="宋体" w:cs="宋体"/>
                <w:kern w:val="0"/>
                <w:sz w:val="24"/>
                <w:szCs w:val="24"/>
              </w:rPr>
              <w:t>3</w:t>
            </w:r>
          </w:p>
        </w:tc>
        <w:tc>
          <w:tcPr>
            <w:tcW w:w="765" w:type="dxa"/>
            <w:vMerge w:val="continue"/>
            <w:vAlign w:val="center"/>
          </w:tcPr>
          <w:p>
            <w:pPr>
              <w:widowControl/>
              <w:snapToGrid w:val="0"/>
              <w:rPr>
                <w:rFonts w:ascii="宋体" w:cs="宋体"/>
                <w:kern w:val="0"/>
                <w:sz w:val="24"/>
                <w:szCs w:val="24"/>
              </w:rPr>
            </w:pPr>
          </w:p>
        </w:tc>
        <w:tc>
          <w:tcPr>
            <w:tcW w:w="4422" w:type="dxa"/>
            <w:vAlign w:val="center"/>
          </w:tcPr>
          <w:p>
            <w:pPr>
              <w:widowControl/>
              <w:snapToGrid w:val="0"/>
              <w:rPr>
                <w:rFonts w:ascii="宋体" w:cs="宋体"/>
                <w:kern w:val="0"/>
                <w:sz w:val="24"/>
                <w:szCs w:val="24"/>
              </w:rPr>
            </w:pPr>
            <w:r>
              <w:rPr>
                <w:rFonts w:hint="eastAsia" w:ascii="宋体" w:hAnsi="宋体" w:cs="宋体"/>
                <w:kern w:val="0"/>
                <w:sz w:val="24"/>
                <w:szCs w:val="24"/>
              </w:rPr>
              <w:t>现代服务业占服务业比重（</w:t>
            </w:r>
            <w:r>
              <w:rPr>
                <w:rFonts w:ascii="宋体" w:hAnsi="宋体" w:cs="宋体"/>
                <w:kern w:val="0"/>
                <w:sz w:val="24"/>
                <w:szCs w:val="24"/>
              </w:rPr>
              <w:t>%</w:t>
            </w:r>
            <w:r>
              <w:rPr>
                <w:rFonts w:hint="eastAsia" w:ascii="宋体" w:hAnsi="宋体" w:cs="宋体"/>
                <w:kern w:val="0"/>
                <w:sz w:val="24"/>
                <w:szCs w:val="24"/>
              </w:rPr>
              <w:t>）</w:t>
            </w:r>
          </w:p>
        </w:tc>
        <w:tc>
          <w:tcPr>
            <w:tcW w:w="1032" w:type="dxa"/>
            <w:vAlign w:val="center"/>
          </w:tcPr>
          <w:p>
            <w:pPr>
              <w:widowControl/>
              <w:snapToGrid w:val="0"/>
              <w:jc w:val="center"/>
              <w:rPr>
                <w:rFonts w:ascii="宋体" w:cs="宋体"/>
                <w:kern w:val="0"/>
                <w:sz w:val="24"/>
                <w:szCs w:val="24"/>
              </w:rPr>
            </w:pPr>
            <w:r>
              <w:rPr>
                <w:rFonts w:ascii="宋体" w:cs="宋体"/>
                <w:kern w:val="0"/>
                <w:sz w:val="24"/>
                <w:szCs w:val="24"/>
              </w:rPr>
              <w:t>-</w:t>
            </w:r>
          </w:p>
        </w:tc>
        <w:tc>
          <w:tcPr>
            <w:tcW w:w="1027" w:type="dxa"/>
            <w:vAlign w:val="center"/>
          </w:tcPr>
          <w:p>
            <w:pPr>
              <w:widowControl/>
              <w:snapToGrid w:val="0"/>
              <w:jc w:val="center"/>
              <w:rPr>
                <w:rFonts w:ascii="宋体" w:cs="宋体"/>
                <w:kern w:val="0"/>
                <w:sz w:val="24"/>
                <w:szCs w:val="24"/>
              </w:rPr>
            </w:pPr>
            <w:r>
              <w:rPr>
                <w:rFonts w:ascii="宋体" w:hAnsi="宋体" w:cs="宋体"/>
                <w:kern w:val="0"/>
                <w:sz w:val="24"/>
                <w:szCs w:val="24"/>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46" w:type="dxa"/>
            <w:vAlign w:val="center"/>
          </w:tcPr>
          <w:p>
            <w:pPr>
              <w:widowControl/>
              <w:snapToGrid w:val="0"/>
              <w:jc w:val="center"/>
              <w:rPr>
                <w:rFonts w:ascii="宋体" w:cs="宋体"/>
                <w:kern w:val="0"/>
                <w:sz w:val="24"/>
                <w:szCs w:val="24"/>
              </w:rPr>
            </w:pPr>
            <w:r>
              <w:rPr>
                <w:rFonts w:ascii="宋体" w:hAnsi="宋体" w:cs="宋体"/>
                <w:kern w:val="0"/>
                <w:sz w:val="24"/>
                <w:szCs w:val="24"/>
              </w:rPr>
              <w:t>4</w:t>
            </w:r>
          </w:p>
        </w:tc>
        <w:tc>
          <w:tcPr>
            <w:tcW w:w="765" w:type="dxa"/>
            <w:vMerge w:val="continue"/>
            <w:vAlign w:val="center"/>
          </w:tcPr>
          <w:p>
            <w:pPr>
              <w:widowControl/>
              <w:snapToGrid w:val="0"/>
              <w:rPr>
                <w:rFonts w:ascii="宋体" w:cs="宋体"/>
                <w:kern w:val="0"/>
                <w:sz w:val="24"/>
                <w:szCs w:val="24"/>
              </w:rPr>
            </w:pPr>
          </w:p>
        </w:tc>
        <w:tc>
          <w:tcPr>
            <w:tcW w:w="4422" w:type="dxa"/>
            <w:vAlign w:val="center"/>
          </w:tcPr>
          <w:p>
            <w:pPr>
              <w:widowControl/>
              <w:snapToGrid w:val="0"/>
              <w:rPr>
                <w:rFonts w:ascii="宋体" w:cs="宋体"/>
                <w:kern w:val="0"/>
                <w:sz w:val="24"/>
                <w:szCs w:val="24"/>
              </w:rPr>
            </w:pPr>
            <w:r>
              <w:rPr>
                <w:rFonts w:hint="eastAsia" w:ascii="宋体" w:hAnsi="宋体" w:cs="宋体"/>
                <w:kern w:val="0"/>
                <w:sz w:val="24"/>
                <w:szCs w:val="24"/>
              </w:rPr>
              <w:t>新增</w:t>
            </w:r>
            <w:r>
              <w:rPr>
                <w:rFonts w:hint="eastAsia" w:ascii="宋体" w:hAnsi="宋体" w:cs="宋体"/>
                <w:kern w:val="0"/>
                <w:sz w:val="24"/>
                <w:szCs w:val="24"/>
                <w:lang w:val="zh-TW" w:eastAsia="zh-TW"/>
              </w:rPr>
              <w:t>中国服务业企业</w:t>
            </w:r>
            <w:r>
              <w:rPr>
                <w:rFonts w:ascii="宋体" w:hAnsi="宋体" w:cs="宋体"/>
                <w:kern w:val="0"/>
                <w:sz w:val="24"/>
                <w:szCs w:val="24"/>
                <w:lang w:val="zh-TW" w:eastAsia="zh-TW"/>
              </w:rPr>
              <w:t>500</w:t>
            </w:r>
            <w:r>
              <w:rPr>
                <w:rFonts w:hint="eastAsia" w:ascii="宋体" w:hAnsi="宋体" w:cs="宋体"/>
                <w:kern w:val="0"/>
                <w:sz w:val="24"/>
                <w:szCs w:val="24"/>
                <w:lang w:val="zh-TW" w:eastAsia="zh-TW"/>
              </w:rPr>
              <w:t>强</w:t>
            </w:r>
            <w:r>
              <w:rPr>
                <w:rFonts w:hint="eastAsia" w:ascii="宋体" w:hAnsi="宋体" w:cs="宋体"/>
                <w:kern w:val="0"/>
                <w:sz w:val="24"/>
                <w:szCs w:val="24"/>
                <w:lang w:val="zh-TW"/>
              </w:rPr>
              <w:t>（</w:t>
            </w:r>
            <w:r>
              <w:rPr>
                <w:rFonts w:hint="eastAsia" w:ascii="宋体" w:hAnsi="宋体" w:cs="宋体"/>
                <w:kern w:val="0"/>
                <w:sz w:val="24"/>
                <w:szCs w:val="24"/>
              </w:rPr>
              <w:t>家）</w:t>
            </w:r>
          </w:p>
        </w:tc>
        <w:tc>
          <w:tcPr>
            <w:tcW w:w="1032" w:type="dxa"/>
            <w:vAlign w:val="center"/>
          </w:tcPr>
          <w:p>
            <w:pPr>
              <w:widowControl/>
              <w:snapToGrid w:val="0"/>
              <w:jc w:val="center"/>
              <w:rPr>
                <w:rFonts w:ascii="宋体" w:cs="宋体"/>
                <w:kern w:val="0"/>
                <w:sz w:val="24"/>
                <w:szCs w:val="24"/>
              </w:rPr>
            </w:pPr>
            <w:r>
              <w:rPr>
                <w:rFonts w:ascii="宋体" w:cs="宋体"/>
                <w:kern w:val="0"/>
                <w:sz w:val="24"/>
                <w:szCs w:val="24"/>
              </w:rPr>
              <w:t>-</w:t>
            </w:r>
          </w:p>
        </w:tc>
        <w:tc>
          <w:tcPr>
            <w:tcW w:w="1027" w:type="dxa"/>
            <w:vAlign w:val="center"/>
          </w:tcPr>
          <w:p>
            <w:pPr>
              <w:widowControl/>
              <w:snapToGrid w:val="0"/>
              <w:jc w:val="center"/>
              <w:rPr>
                <w:rFonts w:ascii="宋体" w:cs="宋体"/>
                <w:kern w:val="0"/>
                <w:sz w:val="24"/>
                <w:szCs w:val="24"/>
              </w:rPr>
            </w:pPr>
            <w:r>
              <w:rPr>
                <w:rFonts w:ascii="宋体" w:hAnsi="宋体" w:cs="宋体"/>
                <w:kern w:val="0"/>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46" w:type="dxa"/>
            <w:vAlign w:val="center"/>
          </w:tcPr>
          <w:p>
            <w:pPr>
              <w:widowControl/>
              <w:snapToGrid w:val="0"/>
              <w:jc w:val="center"/>
              <w:rPr>
                <w:rFonts w:ascii="宋体" w:cs="宋体"/>
                <w:kern w:val="0"/>
                <w:sz w:val="24"/>
                <w:szCs w:val="24"/>
              </w:rPr>
            </w:pPr>
            <w:r>
              <w:rPr>
                <w:rFonts w:ascii="宋体" w:hAnsi="宋体" w:cs="宋体"/>
                <w:kern w:val="0"/>
                <w:sz w:val="24"/>
                <w:szCs w:val="24"/>
              </w:rPr>
              <w:t>5</w:t>
            </w:r>
          </w:p>
        </w:tc>
        <w:tc>
          <w:tcPr>
            <w:tcW w:w="765" w:type="dxa"/>
            <w:vMerge w:val="restart"/>
            <w:vAlign w:val="center"/>
          </w:tcPr>
          <w:p>
            <w:pPr>
              <w:widowControl/>
              <w:snapToGrid w:val="0"/>
              <w:rPr>
                <w:rFonts w:ascii="宋体" w:cs="宋体"/>
                <w:kern w:val="0"/>
                <w:sz w:val="24"/>
                <w:szCs w:val="24"/>
              </w:rPr>
            </w:pPr>
            <w:r>
              <w:rPr>
                <w:rFonts w:hint="eastAsia" w:ascii="宋体" w:hAnsi="宋体" w:cs="宋体"/>
                <w:kern w:val="0"/>
                <w:sz w:val="24"/>
                <w:szCs w:val="24"/>
              </w:rPr>
              <w:t>高质量发展</w:t>
            </w:r>
          </w:p>
        </w:tc>
        <w:tc>
          <w:tcPr>
            <w:tcW w:w="4422" w:type="dxa"/>
            <w:vAlign w:val="center"/>
          </w:tcPr>
          <w:p>
            <w:pPr>
              <w:widowControl/>
              <w:snapToGrid w:val="0"/>
              <w:rPr>
                <w:rFonts w:ascii="宋体" w:cs="宋体"/>
                <w:kern w:val="0"/>
                <w:sz w:val="24"/>
                <w:szCs w:val="24"/>
              </w:rPr>
            </w:pPr>
            <w:r>
              <w:rPr>
                <w:rFonts w:hint="eastAsia" w:ascii="宋体" w:hAnsi="宋体" w:cs="宋体"/>
                <w:kern w:val="0"/>
                <w:sz w:val="24"/>
                <w:szCs w:val="24"/>
              </w:rPr>
              <w:t>规模以上服务业营业收入（亿元）</w:t>
            </w:r>
          </w:p>
        </w:tc>
        <w:tc>
          <w:tcPr>
            <w:tcW w:w="1032" w:type="dxa"/>
            <w:vAlign w:val="center"/>
          </w:tcPr>
          <w:p>
            <w:pPr>
              <w:widowControl/>
              <w:snapToGrid w:val="0"/>
              <w:jc w:val="center"/>
              <w:rPr>
                <w:rFonts w:ascii="宋体" w:cs="宋体"/>
                <w:kern w:val="0"/>
                <w:sz w:val="24"/>
                <w:szCs w:val="24"/>
              </w:rPr>
            </w:pPr>
            <w:r>
              <w:rPr>
                <w:rFonts w:ascii="宋体" w:hAnsi="宋体" w:cs="宋体"/>
                <w:kern w:val="0"/>
                <w:sz w:val="24"/>
                <w:szCs w:val="24"/>
              </w:rPr>
              <w:t>1251</w:t>
            </w:r>
          </w:p>
        </w:tc>
        <w:tc>
          <w:tcPr>
            <w:tcW w:w="1027" w:type="dxa"/>
            <w:vAlign w:val="center"/>
          </w:tcPr>
          <w:p>
            <w:pPr>
              <w:widowControl/>
              <w:snapToGrid w:val="0"/>
              <w:jc w:val="center"/>
              <w:rPr>
                <w:rFonts w:ascii="宋体" w:cs="宋体"/>
                <w:kern w:val="0"/>
                <w:sz w:val="24"/>
                <w:szCs w:val="24"/>
              </w:rPr>
            </w:pPr>
            <w:r>
              <w:rPr>
                <w:rFonts w:ascii="宋体" w:hAnsi="宋体" w:cs="宋体"/>
                <w:kern w:val="0"/>
                <w:sz w:val="24"/>
                <w:szCs w:val="24"/>
              </w:rPr>
              <w:t>1650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46" w:type="dxa"/>
            <w:vAlign w:val="center"/>
          </w:tcPr>
          <w:p>
            <w:pPr>
              <w:widowControl/>
              <w:snapToGrid w:val="0"/>
              <w:jc w:val="center"/>
              <w:rPr>
                <w:rFonts w:ascii="宋体" w:cs="宋体"/>
                <w:kern w:val="0"/>
                <w:sz w:val="24"/>
                <w:szCs w:val="24"/>
              </w:rPr>
            </w:pPr>
            <w:r>
              <w:rPr>
                <w:rFonts w:ascii="宋体" w:hAnsi="宋体" w:cs="宋体"/>
                <w:kern w:val="0"/>
                <w:sz w:val="24"/>
                <w:szCs w:val="24"/>
              </w:rPr>
              <w:t>6</w:t>
            </w:r>
          </w:p>
        </w:tc>
        <w:tc>
          <w:tcPr>
            <w:tcW w:w="765" w:type="dxa"/>
            <w:vMerge w:val="continue"/>
            <w:vAlign w:val="center"/>
          </w:tcPr>
          <w:p>
            <w:pPr>
              <w:widowControl/>
              <w:snapToGrid w:val="0"/>
              <w:rPr>
                <w:rFonts w:ascii="宋体" w:cs="宋体"/>
                <w:kern w:val="0"/>
                <w:sz w:val="24"/>
                <w:szCs w:val="24"/>
              </w:rPr>
            </w:pPr>
          </w:p>
        </w:tc>
        <w:tc>
          <w:tcPr>
            <w:tcW w:w="4422" w:type="dxa"/>
            <w:vAlign w:val="center"/>
          </w:tcPr>
          <w:p>
            <w:pPr>
              <w:widowControl/>
              <w:snapToGrid w:val="0"/>
              <w:rPr>
                <w:rFonts w:ascii="宋体" w:cs="宋体"/>
                <w:kern w:val="0"/>
                <w:sz w:val="24"/>
                <w:szCs w:val="24"/>
              </w:rPr>
            </w:pPr>
            <w:r>
              <w:rPr>
                <w:rFonts w:hint="eastAsia" w:ascii="宋体" w:hAnsi="宋体" w:cs="宋体"/>
                <w:kern w:val="0"/>
                <w:sz w:val="24"/>
                <w:szCs w:val="24"/>
              </w:rPr>
              <w:t>社会消费品零售总额（亿元）</w:t>
            </w:r>
          </w:p>
        </w:tc>
        <w:tc>
          <w:tcPr>
            <w:tcW w:w="1032" w:type="dxa"/>
            <w:vAlign w:val="center"/>
          </w:tcPr>
          <w:p>
            <w:pPr>
              <w:widowControl/>
              <w:snapToGrid w:val="0"/>
              <w:jc w:val="center"/>
              <w:rPr>
                <w:rFonts w:ascii="宋体" w:cs="宋体"/>
                <w:kern w:val="0"/>
                <w:sz w:val="24"/>
                <w:szCs w:val="24"/>
              </w:rPr>
            </w:pPr>
            <w:r>
              <w:rPr>
                <w:rFonts w:ascii="宋体" w:hAnsi="宋体" w:cs="宋体"/>
                <w:kern w:val="0"/>
                <w:sz w:val="24"/>
                <w:szCs w:val="24"/>
              </w:rPr>
              <w:t>947</w:t>
            </w:r>
          </w:p>
        </w:tc>
        <w:tc>
          <w:tcPr>
            <w:tcW w:w="1027" w:type="dxa"/>
            <w:vAlign w:val="center"/>
          </w:tcPr>
          <w:p>
            <w:pPr>
              <w:widowControl/>
              <w:snapToGrid w:val="0"/>
              <w:jc w:val="center"/>
              <w:rPr>
                <w:rFonts w:ascii="宋体" w:cs="宋体"/>
                <w:kern w:val="0"/>
                <w:sz w:val="24"/>
                <w:szCs w:val="24"/>
              </w:rPr>
            </w:pPr>
            <w:r>
              <w:rPr>
                <w:rFonts w:ascii="宋体" w:hAnsi="宋体" w:cs="宋体"/>
                <w:kern w:val="0"/>
                <w:sz w:val="24"/>
                <w:szCs w:val="24"/>
              </w:rPr>
              <w:t>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46" w:type="dxa"/>
            <w:vAlign w:val="center"/>
          </w:tcPr>
          <w:p>
            <w:pPr>
              <w:widowControl/>
              <w:snapToGrid w:val="0"/>
              <w:jc w:val="center"/>
              <w:rPr>
                <w:rFonts w:ascii="宋体" w:cs="宋体"/>
                <w:kern w:val="0"/>
                <w:sz w:val="24"/>
                <w:szCs w:val="24"/>
              </w:rPr>
            </w:pPr>
            <w:r>
              <w:rPr>
                <w:rFonts w:ascii="宋体" w:hAnsi="宋体" w:cs="宋体"/>
                <w:kern w:val="0"/>
                <w:sz w:val="24"/>
                <w:szCs w:val="24"/>
              </w:rPr>
              <w:t>7</w:t>
            </w:r>
          </w:p>
        </w:tc>
        <w:tc>
          <w:tcPr>
            <w:tcW w:w="765" w:type="dxa"/>
            <w:vMerge w:val="continue"/>
            <w:vAlign w:val="center"/>
          </w:tcPr>
          <w:p>
            <w:pPr>
              <w:widowControl/>
              <w:snapToGrid w:val="0"/>
              <w:rPr>
                <w:rFonts w:ascii="宋体" w:cs="宋体"/>
                <w:kern w:val="0"/>
                <w:sz w:val="24"/>
                <w:szCs w:val="24"/>
              </w:rPr>
            </w:pPr>
          </w:p>
        </w:tc>
        <w:tc>
          <w:tcPr>
            <w:tcW w:w="4422" w:type="dxa"/>
            <w:vAlign w:val="center"/>
          </w:tcPr>
          <w:p>
            <w:pPr>
              <w:widowControl/>
              <w:snapToGrid w:val="0"/>
              <w:rPr>
                <w:rFonts w:ascii="宋体" w:cs="宋体"/>
                <w:kern w:val="0"/>
                <w:sz w:val="24"/>
                <w:szCs w:val="24"/>
              </w:rPr>
            </w:pPr>
            <w:r>
              <w:rPr>
                <w:rFonts w:hint="eastAsia" w:ascii="宋体" w:hAnsi="宋体" w:cs="宋体"/>
                <w:kern w:val="0"/>
                <w:sz w:val="24"/>
                <w:szCs w:val="24"/>
              </w:rPr>
              <w:t>金融业增加值（亿元）</w:t>
            </w:r>
          </w:p>
        </w:tc>
        <w:tc>
          <w:tcPr>
            <w:tcW w:w="1032" w:type="dxa"/>
            <w:vAlign w:val="center"/>
          </w:tcPr>
          <w:p>
            <w:pPr>
              <w:widowControl/>
              <w:snapToGrid w:val="0"/>
              <w:jc w:val="center"/>
              <w:rPr>
                <w:rFonts w:ascii="宋体" w:cs="宋体"/>
                <w:kern w:val="0"/>
                <w:sz w:val="24"/>
                <w:szCs w:val="24"/>
              </w:rPr>
            </w:pPr>
            <w:r>
              <w:rPr>
                <w:rFonts w:ascii="宋体" w:hAnsi="宋体" w:cs="宋体"/>
                <w:kern w:val="0"/>
                <w:sz w:val="24"/>
                <w:szCs w:val="24"/>
              </w:rPr>
              <w:t>290</w:t>
            </w:r>
          </w:p>
        </w:tc>
        <w:tc>
          <w:tcPr>
            <w:tcW w:w="1027" w:type="dxa"/>
            <w:vAlign w:val="center"/>
          </w:tcPr>
          <w:p>
            <w:pPr>
              <w:widowControl/>
              <w:snapToGrid w:val="0"/>
              <w:jc w:val="center"/>
              <w:rPr>
                <w:rFonts w:ascii="宋体" w:cs="宋体"/>
                <w:kern w:val="0"/>
                <w:sz w:val="24"/>
                <w:szCs w:val="24"/>
              </w:rPr>
            </w:pPr>
            <w:r>
              <w:rPr>
                <w:rFonts w:ascii="宋体" w:hAnsi="宋体" w:cs="宋体"/>
                <w:kern w:val="0"/>
                <w:sz w:val="24"/>
                <w:szCs w:val="24"/>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46" w:type="dxa"/>
            <w:vAlign w:val="center"/>
          </w:tcPr>
          <w:p>
            <w:pPr>
              <w:widowControl/>
              <w:snapToGrid w:val="0"/>
              <w:jc w:val="center"/>
              <w:rPr>
                <w:rFonts w:ascii="宋体" w:cs="宋体"/>
                <w:kern w:val="0"/>
                <w:sz w:val="24"/>
                <w:szCs w:val="24"/>
              </w:rPr>
            </w:pPr>
            <w:r>
              <w:rPr>
                <w:rFonts w:ascii="宋体" w:hAnsi="宋体" w:cs="宋体"/>
                <w:kern w:val="0"/>
                <w:sz w:val="24"/>
                <w:szCs w:val="24"/>
              </w:rPr>
              <w:t>8</w:t>
            </w:r>
          </w:p>
        </w:tc>
        <w:tc>
          <w:tcPr>
            <w:tcW w:w="765" w:type="dxa"/>
            <w:vMerge w:val="continue"/>
            <w:vAlign w:val="center"/>
          </w:tcPr>
          <w:p>
            <w:pPr>
              <w:widowControl/>
              <w:snapToGrid w:val="0"/>
              <w:rPr>
                <w:rFonts w:ascii="宋体" w:cs="宋体"/>
                <w:kern w:val="0"/>
                <w:sz w:val="24"/>
                <w:szCs w:val="24"/>
              </w:rPr>
            </w:pPr>
          </w:p>
        </w:tc>
        <w:tc>
          <w:tcPr>
            <w:tcW w:w="4422" w:type="dxa"/>
            <w:vAlign w:val="center"/>
          </w:tcPr>
          <w:p>
            <w:pPr>
              <w:widowControl/>
              <w:snapToGrid w:val="0"/>
              <w:rPr>
                <w:rFonts w:ascii="宋体" w:cs="宋体"/>
                <w:kern w:val="0"/>
                <w:sz w:val="24"/>
                <w:szCs w:val="24"/>
              </w:rPr>
            </w:pPr>
            <w:r>
              <w:rPr>
                <w:rFonts w:hint="eastAsia" w:ascii="宋体" w:hAnsi="宋体" w:cs="宋体"/>
                <w:kern w:val="0"/>
                <w:sz w:val="24"/>
                <w:szCs w:val="24"/>
              </w:rPr>
              <w:t>新增引育上市企业数量（家）</w:t>
            </w:r>
          </w:p>
        </w:tc>
        <w:tc>
          <w:tcPr>
            <w:tcW w:w="1032" w:type="dxa"/>
            <w:vAlign w:val="center"/>
          </w:tcPr>
          <w:p>
            <w:pPr>
              <w:widowControl/>
              <w:snapToGrid w:val="0"/>
              <w:jc w:val="center"/>
              <w:rPr>
                <w:rFonts w:ascii="宋体" w:cs="宋体"/>
                <w:kern w:val="0"/>
                <w:sz w:val="24"/>
                <w:szCs w:val="24"/>
              </w:rPr>
            </w:pPr>
            <w:r>
              <w:rPr>
                <w:rFonts w:ascii="宋体" w:cs="宋体"/>
                <w:kern w:val="0"/>
                <w:sz w:val="24"/>
                <w:szCs w:val="24"/>
              </w:rPr>
              <w:t>-</w:t>
            </w:r>
          </w:p>
        </w:tc>
        <w:tc>
          <w:tcPr>
            <w:tcW w:w="1027" w:type="dxa"/>
            <w:vAlign w:val="center"/>
          </w:tcPr>
          <w:p>
            <w:pPr>
              <w:widowControl/>
              <w:snapToGrid w:val="0"/>
              <w:jc w:val="center"/>
              <w:rPr>
                <w:rFonts w:ascii="宋体" w:cs="宋体"/>
                <w:kern w:val="0"/>
                <w:sz w:val="24"/>
                <w:szCs w:val="24"/>
              </w:rPr>
            </w:pPr>
            <w:r>
              <w:rPr>
                <w:rFonts w:ascii="宋体" w:hAnsi="宋体" w:cs="宋体"/>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46" w:type="dxa"/>
            <w:vAlign w:val="center"/>
          </w:tcPr>
          <w:p>
            <w:pPr>
              <w:widowControl/>
              <w:snapToGrid w:val="0"/>
              <w:jc w:val="center"/>
              <w:rPr>
                <w:rFonts w:ascii="宋体" w:cs="宋体"/>
                <w:kern w:val="0"/>
                <w:sz w:val="24"/>
                <w:szCs w:val="24"/>
              </w:rPr>
            </w:pPr>
            <w:r>
              <w:rPr>
                <w:rFonts w:ascii="宋体" w:hAnsi="宋体" w:cs="宋体"/>
                <w:kern w:val="0"/>
                <w:sz w:val="24"/>
                <w:szCs w:val="24"/>
              </w:rPr>
              <w:t>9</w:t>
            </w:r>
          </w:p>
        </w:tc>
        <w:tc>
          <w:tcPr>
            <w:tcW w:w="765" w:type="dxa"/>
            <w:vMerge w:val="restart"/>
            <w:vAlign w:val="center"/>
          </w:tcPr>
          <w:p>
            <w:pPr>
              <w:widowControl/>
              <w:snapToGrid w:val="0"/>
              <w:rPr>
                <w:rFonts w:ascii="宋体" w:cs="宋体"/>
                <w:kern w:val="0"/>
                <w:sz w:val="24"/>
                <w:szCs w:val="24"/>
              </w:rPr>
            </w:pPr>
            <w:r>
              <w:rPr>
                <w:rFonts w:hint="eastAsia" w:ascii="宋体" w:hAnsi="宋体" w:cs="宋体"/>
                <w:kern w:val="0"/>
                <w:sz w:val="24"/>
                <w:szCs w:val="24"/>
              </w:rPr>
              <w:t>创新与开放</w:t>
            </w:r>
          </w:p>
        </w:tc>
        <w:tc>
          <w:tcPr>
            <w:tcW w:w="4422" w:type="dxa"/>
            <w:vAlign w:val="center"/>
          </w:tcPr>
          <w:p>
            <w:pPr>
              <w:widowControl/>
              <w:snapToGrid w:val="0"/>
              <w:rPr>
                <w:rFonts w:ascii="宋体" w:cs="宋体"/>
                <w:kern w:val="0"/>
                <w:sz w:val="24"/>
                <w:szCs w:val="24"/>
              </w:rPr>
            </w:pPr>
            <w:r>
              <w:rPr>
                <w:rFonts w:hint="eastAsia" w:ascii="宋体" w:hAnsi="宋体" w:cs="宋体"/>
                <w:kern w:val="0"/>
                <w:sz w:val="24"/>
                <w:szCs w:val="24"/>
              </w:rPr>
              <w:t>研发经费投入强度（</w:t>
            </w:r>
            <w:r>
              <w:rPr>
                <w:rFonts w:ascii="宋体" w:hAnsi="宋体" w:cs="宋体"/>
                <w:kern w:val="0"/>
                <w:sz w:val="24"/>
                <w:szCs w:val="24"/>
              </w:rPr>
              <w:t>%</w:t>
            </w:r>
            <w:r>
              <w:rPr>
                <w:rFonts w:hint="eastAsia" w:ascii="宋体" w:hAnsi="宋体" w:cs="宋体"/>
                <w:kern w:val="0"/>
                <w:sz w:val="24"/>
                <w:szCs w:val="24"/>
              </w:rPr>
              <w:t>）</w:t>
            </w:r>
          </w:p>
        </w:tc>
        <w:tc>
          <w:tcPr>
            <w:tcW w:w="1032" w:type="dxa"/>
            <w:vAlign w:val="center"/>
          </w:tcPr>
          <w:p>
            <w:pPr>
              <w:widowControl/>
              <w:snapToGrid w:val="0"/>
              <w:jc w:val="center"/>
              <w:rPr>
                <w:rFonts w:ascii="宋体" w:cs="宋体"/>
                <w:kern w:val="0"/>
                <w:sz w:val="24"/>
                <w:szCs w:val="24"/>
              </w:rPr>
            </w:pPr>
            <w:r>
              <w:rPr>
                <w:rFonts w:ascii="宋体" w:hAnsi="宋体" w:cs="宋体"/>
                <w:kern w:val="0"/>
                <w:sz w:val="24"/>
                <w:szCs w:val="24"/>
              </w:rPr>
              <w:t>4.08</w:t>
            </w:r>
          </w:p>
        </w:tc>
        <w:tc>
          <w:tcPr>
            <w:tcW w:w="1027" w:type="dxa"/>
            <w:vAlign w:val="center"/>
          </w:tcPr>
          <w:p>
            <w:pPr>
              <w:widowControl/>
              <w:snapToGrid w:val="0"/>
              <w:jc w:val="center"/>
              <w:rPr>
                <w:rFonts w:ascii="宋体" w:cs="宋体"/>
                <w:kern w:val="0"/>
                <w:sz w:val="24"/>
                <w:szCs w:val="24"/>
              </w:rPr>
            </w:pPr>
            <w:r>
              <w:rPr>
                <w:rFonts w:ascii="宋体" w:hAnsi="宋体" w:cs="宋体"/>
                <w:kern w:val="0"/>
                <w:sz w:val="24"/>
                <w:szCs w:val="24"/>
              </w:rPr>
              <w:t>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46" w:type="dxa"/>
            <w:vAlign w:val="center"/>
          </w:tcPr>
          <w:p>
            <w:pPr>
              <w:widowControl/>
              <w:snapToGrid w:val="0"/>
              <w:jc w:val="center"/>
              <w:rPr>
                <w:rFonts w:ascii="宋体" w:cs="宋体"/>
                <w:kern w:val="0"/>
                <w:sz w:val="24"/>
                <w:szCs w:val="24"/>
              </w:rPr>
            </w:pPr>
            <w:r>
              <w:rPr>
                <w:rFonts w:ascii="宋体" w:hAnsi="宋体" w:cs="宋体"/>
                <w:kern w:val="0"/>
                <w:sz w:val="24"/>
                <w:szCs w:val="24"/>
              </w:rPr>
              <w:t>10</w:t>
            </w:r>
          </w:p>
        </w:tc>
        <w:tc>
          <w:tcPr>
            <w:tcW w:w="765" w:type="dxa"/>
            <w:vMerge w:val="continue"/>
            <w:vAlign w:val="center"/>
          </w:tcPr>
          <w:p>
            <w:pPr>
              <w:widowControl/>
              <w:snapToGrid w:val="0"/>
              <w:rPr>
                <w:rFonts w:ascii="宋体" w:cs="宋体"/>
                <w:kern w:val="0"/>
                <w:sz w:val="24"/>
                <w:szCs w:val="24"/>
              </w:rPr>
            </w:pPr>
          </w:p>
        </w:tc>
        <w:tc>
          <w:tcPr>
            <w:tcW w:w="4422" w:type="dxa"/>
            <w:vAlign w:val="center"/>
          </w:tcPr>
          <w:p>
            <w:pPr>
              <w:widowControl/>
              <w:snapToGrid w:val="0"/>
              <w:rPr>
                <w:rFonts w:ascii="宋体" w:cs="宋体"/>
                <w:kern w:val="0"/>
                <w:sz w:val="24"/>
                <w:szCs w:val="24"/>
              </w:rPr>
            </w:pPr>
            <w:r>
              <w:rPr>
                <w:rFonts w:hint="eastAsia" w:ascii="宋体" w:hAnsi="宋体" w:cs="宋体"/>
                <w:kern w:val="0"/>
                <w:sz w:val="24"/>
                <w:szCs w:val="24"/>
              </w:rPr>
              <w:t>数字经济增加值占地区生产总值比重（</w:t>
            </w:r>
            <w:r>
              <w:rPr>
                <w:rFonts w:ascii="宋体" w:hAnsi="宋体" w:cs="宋体"/>
                <w:kern w:val="0"/>
                <w:sz w:val="24"/>
                <w:szCs w:val="24"/>
              </w:rPr>
              <w:t>%</w:t>
            </w:r>
            <w:r>
              <w:rPr>
                <w:rFonts w:hint="eastAsia" w:ascii="宋体" w:hAnsi="宋体" w:cs="宋体"/>
                <w:kern w:val="0"/>
                <w:sz w:val="24"/>
                <w:szCs w:val="24"/>
              </w:rPr>
              <w:t>）</w:t>
            </w:r>
          </w:p>
        </w:tc>
        <w:tc>
          <w:tcPr>
            <w:tcW w:w="1032" w:type="dxa"/>
            <w:vAlign w:val="center"/>
          </w:tcPr>
          <w:p>
            <w:pPr>
              <w:widowControl/>
              <w:snapToGrid w:val="0"/>
              <w:jc w:val="center"/>
              <w:rPr>
                <w:rFonts w:ascii="宋体" w:cs="宋体"/>
                <w:kern w:val="0"/>
                <w:sz w:val="24"/>
                <w:szCs w:val="24"/>
              </w:rPr>
            </w:pPr>
            <w:r>
              <w:rPr>
                <w:rFonts w:ascii="宋体" w:hAnsi="宋体" w:cs="宋体"/>
                <w:kern w:val="0"/>
                <w:sz w:val="24"/>
                <w:szCs w:val="24"/>
              </w:rPr>
              <w:t>25</w:t>
            </w:r>
          </w:p>
        </w:tc>
        <w:tc>
          <w:tcPr>
            <w:tcW w:w="1027" w:type="dxa"/>
            <w:vAlign w:val="center"/>
          </w:tcPr>
          <w:p>
            <w:pPr>
              <w:widowControl/>
              <w:snapToGrid w:val="0"/>
              <w:jc w:val="center"/>
              <w:rPr>
                <w:rFonts w:ascii="宋体" w:cs="宋体"/>
                <w:kern w:val="0"/>
                <w:sz w:val="24"/>
                <w:szCs w:val="24"/>
              </w:rPr>
            </w:pPr>
            <w:r>
              <w:rPr>
                <w:rFonts w:ascii="宋体" w:hAnsi="宋体" w:cs="宋体"/>
                <w:kern w:val="0"/>
                <w:sz w:val="24"/>
                <w:szCs w:val="24"/>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46" w:type="dxa"/>
            <w:vAlign w:val="center"/>
          </w:tcPr>
          <w:p>
            <w:pPr>
              <w:widowControl/>
              <w:snapToGrid w:val="0"/>
              <w:jc w:val="center"/>
              <w:rPr>
                <w:rFonts w:ascii="宋体" w:cs="宋体"/>
                <w:kern w:val="0"/>
                <w:sz w:val="24"/>
                <w:szCs w:val="24"/>
              </w:rPr>
            </w:pPr>
            <w:r>
              <w:rPr>
                <w:rFonts w:ascii="宋体" w:hAnsi="宋体" w:cs="宋体"/>
                <w:kern w:val="0"/>
                <w:sz w:val="24"/>
                <w:szCs w:val="24"/>
              </w:rPr>
              <w:t>11</w:t>
            </w:r>
          </w:p>
        </w:tc>
        <w:tc>
          <w:tcPr>
            <w:tcW w:w="765" w:type="dxa"/>
            <w:vMerge w:val="continue"/>
            <w:vAlign w:val="center"/>
          </w:tcPr>
          <w:p>
            <w:pPr>
              <w:widowControl/>
              <w:snapToGrid w:val="0"/>
              <w:rPr>
                <w:rFonts w:ascii="宋体" w:cs="宋体"/>
                <w:kern w:val="0"/>
                <w:sz w:val="24"/>
                <w:szCs w:val="24"/>
              </w:rPr>
            </w:pPr>
          </w:p>
        </w:tc>
        <w:tc>
          <w:tcPr>
            <w:tcW w:w="4422" w:type="dxa"/>
            <w:vAlign w:val="center"/>
          </w:tcPr>
          <w:p>
            <w:pPr>
              <w:widowControl/>
              <w:snapToGrid w:val="0"/>
              <w:rPr>
                <w:rFonts w:ascii="宋体" w:cs="宋体"/>
                <w:kern w:val="0"/>
                <w:sz w:val="24"/>
                <w:szCs w:val="24"/>
              </w:rPr>
            </w:pPr>
            <w:r>
              <w:rPr>
                <w:rFonts w:hint="eastAsia" w:ascii="宋体" w:hAnsi="宋体" w:cs="宋体"/>
                <w:kern w:val="0"/>
                <w:sz w:val="24"/>
                <w:szCs w:val="24"/>
              </w:rPr>
              <w:t>服务贸易进出口总额（亿美元）</w:t>
            </w:r>
          </w:p>
        </w:tc>
        <w:tc>
          <w:tcPr>
            <w:tcW w:w="1032" w:type="dxa"/>
            <w:vAlign w:val="center"/>
          </w:tcPr>
          <w:p>
            <w:pPr>
              <w:widowControl/>
              <w:snapToGrid w:val="0"/>
              <w:jc w:val="center"/>
              <w:rPr>
                <w:rFonts w:ascii="宋体" w:cs="宋体"/>
                <w:kern w:val="0"/>
                <w:sz w:val="24"/>
                <w:szCs w:val="24"/>
              </w:rPr>
            </w:pPr>
            <w:r>
              <w:rPr>
                <w:rFonts w:ascii="宋体" w:hAnsi="宋体" w:cs="宋体"/>
                <w:kern w:val="0"/>
                <w:sz w:val="24"/>
                <w:szCs w:val="24"/>
              </w:rPr>
              <w:t>54.4</w:t>
            </w:r>
          </w:p>
        </w:tc>
        <w:tc>
          <w:tcPr>
            <w:tcW w:w="1027" w:type="dxa"/>
            <w:vAlign w:val="center"/>
          </w:tcPr>
          <w:p>
            <w:pPr>
              <w:widowControl/>
              <w:snapToGrid w:val="0"/>
              <w:jc w:val="center"/>
              <w:rPr>
                <w:rFonts w:ascii="宋体" w:cs="宋体"/>
                <w:kern w:val="0"/>
                <w:sz w:val="24"/>
                <w:szCs w:val="24"/>
              </w:rPr>
            </w:pPr>
            <w:r>
              <w:rPr>
                <w:rFonts w:ascii="宋体" w:hAnsi="宋体" w:cs="宋体"/>
                <w:kern w:val="0"/>
                <w:sz w:val="24"/>
                <w:szCs w:val="24"/>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46" w:type="dxa"/>
            <w:vAlign w:val="center"/>
          </w:tcPr>
          <w:p>
            <w:pPr>
              <w:widowControl/>
              <w:snapToGrid w:val="0"/>
              <w:jc w:val="center"/>
              <w:rPr>
                <w:rFonts w:ascii="宋体" w:cs="宋体"/>
                <w:kern w:val="0"/>
                <w:sz w:val="24"/>
                <w:szCs w:val="24"/>
              </w:rPr>
            </w:pPr>
            <w:r>
              <w:rPr>
                <w:rFonts w:ascii="宋体" w:hAnsi="宋体" w:cs="宋体"/>
                <w:kern w:val="0"/>
                <w:sz w:val="24"/>
                <w:szCs w:val="24"/>
              </w:rPr>
              <w:t>12</w:t>
            </w:r>
          </w:p>
        </w:tc>
        <w:tc>
          <w:tcPr>
            <w:tcW w:w="765" w:type="dxa"/>
            <w:vMerge w:val="restart"/>
            <w:vAlign w:val="center"/>
          </w:tcPr>
          <w:p>
            <w:pPr>
              <w:widowControl/>
              <w:snapToGrid w:val="0"/>
              <w:rPr>
                <w:rFonts w:ascii="宋体" w:cs="宋体"/>
                <w:kern w:val="0"/>
                <w:sz w:val="24"/>
                <w:szCs w:val="24"/>
              </w:rPr>
            </w:pPr>
            <w:r>
              <w:rPr>
                <w:rFonts w:hint="eastAsia" w:ascii="宋体" w:hAnsi="宋体" w:cs="宋体"/>
                <w:kern w:val="0"/>
                <w:sz w:val="24"/>
                <w:szCs w:val="24"/>
              </w:rPr>
              <w:t>高品质生活</w:t>
            </w:r>
          </w:p>
        </w:tc>
        <w:tc>
          <w:tcPr>
            <w:tcW w:w="4422" w:type="dxa"/>
            <w:vAlign w:val="center"/>
          </w:tcPr>
          <w:p>
            <w:pPr>
              <w:widowControl/>
              <w:snapToGrid w:val="0"/>
              <w:rPr>
                <w:rFonts w:ascii="宋体" w:cs="宋体"/>
                <w:kern w:val="0"/>
                <w:sz w:val="24"/>
                <w:szCs w:val="24"/>
              </w:rPr>
            </w:pPr>
            <w:r>
              <w:rPr>
                <w:rFonts w:hint="eastAsia" w:ascii="宋体" w:hAnsi="宋体" w:cs="宋体"/>
                <w:kern w:val="0"/>
                <w:sz w:val="24"/>
                <w:szCs w:val="24"/>
              </w:rPr>
              <w:t>文化产业增加值占地区生产总值比重（</w:t>
            </w:r>
            <w:r>
              <w:rPr>
                <w:rFonts w:ascii="宋体" w:hAnsi="宋体" w:cs="宋体"/>
                <w:kern w:val="0"/>
                <w:sz w:val="24"/>
                <w:szCs w:val="24"/>
              </w:rPr>
              <w:t>%</w:t>
            </w:r>
            <w:r>
              <w:rPr>
                <w:rFonts w:hint="eastAsia" w:ascii="宋体" w:hAnsi="宋体" w:cs="宋体"/>
                <w:kern w:val="0"/>
                <w:sz w:val="24"/>
                <w:szCs w:val="24"/>
              </w:rPr>
              <w:t>）</w:t>
            </w:r>
          </w:p>
        </w:tc>
        <w:tc>
          <w:tcPr>
            <w:tcW w:w="1032" w:type="dxa"/>
            <w:vAlign w:val="center"/>
          </w:tcPr>
          <w:p>
            <w:pPr>
              <w:widowControl/>
              <w:snapToGrid w:val="0"/>
              <w:jc w:val="center"/>
              <w:rPr>
                <w:rFonts w:ascii="宋体" w:cs="宋体"/>
                <w:kern w:val="0"/>
                <w:sz w:val="24"/>
                <w:szCs w:val="24"/>
              </w:rPr>
            </w:pPr>
            <w:r>
              <w:rPr>
                <w:rFonts w:ascii="宋体" w:hAnsi="宋体" w:cs="宋体"/>
                <w:kern w:val="0"/>
                <w:sz w:val="24"/>
                <w:szCs w:val="24"/>
              </w:rPr>
              <w:t>4.1</w:t>
            </w:r>
          </w:p>
        </w:tc>
        <w:tc>
          <w:tcPr>
            <w:tcW w:w="1027" w:type="dxa"/>
            <w:vAlign w:val="center"/>
          </w:tcPr>
          <w:p>
            <w:pPr>
              <w:widowControl/>
              <w:snapToGrid w:val="0"/>
              <w:jc w:val="center"/>
              <w:rPr>
                <w:rFonts w:ascii="宋体" w:cs="宋体"/>
                <w:kern w:val="0"/>
                <w:sz w:val="24"/>
                <w:szCs w:val="24"/>
              </w:rPr>
            </w:pPr>
            <w:r>
              <w:rPr>
                <w:rFonts w:ascii="宋体" w:hAnsi="宋体" w:cs="宋体"/>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46" w:type="dxa"/>
            <w:vAlign w:val="center"/>
          </w:tcPr>
          <w:p>
            <w:pPr>
              <w:widowControl/>
              <w:snapToGrid w:val="0"/>
              <w:jc w:val="center"/>
              <w:rPr>
                <w:rFonts w:ascii="宋体" w:cs="宋体"/>
                <w:kern w:val="0"/>
                <w:sz w:val="24"/>
                <w:szCs w:val="24"/>
              </w:rPr>
            </w:pPr>
            <w:r>
              <w:rPr>
                <w:rFonts w:ascii="宋体" w:hAnsi="宋体" w:cs="宋体"/>
                <w:kern w:val="0"/>
                <w:sz w:val="24"/>
                <w:szCs w:val="24"/>
              </w:rPr>
              <w:t>13</w:t>
            </w:r>
          </w:p>
        </w:tc>
        <w:tc>
          <w:tcPr>
            <w:tcW w:w="765" w:type="dxa"/>
            <w:vMerge w:val="continue"/>
            <w:vAlign w:val="center"/>
          </w:tcPr>
          <w:p>
            <w:pPr>
              <w:widowControl/>
              <w:snapToGrid w:val="0"/>
              <w:rPr>
                <w:rFonts w:ascii="宋体" w:cs="宋体"/>
                <w:kern w:val="0"/>
                <w:sz w:val="24"/>
                <w:szCs w:val="24"/>
              </w:rPr>
            </w:pPr>
          </w:p>
        </w:tc>
        <w:tc>
          <w:tcPr>
            <w:tcW w:w="4422" w:type="dxa"/>
            <w:vAlign w:val="center"/>
          </w:tcPr>
          <w:p>
            <w:pPr>
              <w:widowControl/>
              <w:snapToGrid w:val="0"/>
              <w:rPr>
                <w:rFonts w:ascii="宋体" w:cs="宋体"/>
                <w:kern w:val="0"/>
                <w:sz w:val="24"/>
                <w:szCs w:val="24"/>
              </w:rPr>
            </w:pPr>
            <w:r>
              <w:rPr>
                <w:rFonts w:hint="eastAsia" w:ascii="宋体" w:hAnsi="宋体" w:cs="宋体"/>
                <w:kern w:val="0"/>
                <w:sz w:val="24"/>
                <w:szCs w:val="24"/>
              </w:rPr>
              <w:t>社会化养老服务床位运营比例（护理型床位比例）</w:t>
            </w:r>
          </w:p>
        </w:tc>
        <w:tc>
          <w:tcPr>
            <w:tcW w:w="1032" w:type="dxa"/>
            <w:vAlign w:val="center"/>
          </w:tcPr>
          <w:p>
            <w:pPr>
              <w:widowControl/>
              <w:snapToGrid w:val="0"/>
              <w:jc w:val="center"/>
              <w:rPr>
                <w:rFonts w:ascii="宋体" w:cs="宋体"/>
                <w:kern w:val="0"/>
                <w:sz w:val="24"/>
                <w:szCs w:val="24"/>
              </w:rPr>
            </w:pPr>
            <w:r>
              <w:rPr>
                <w:rFonts w:ascii="宋体" w:cs="宋体"/>
                <w:kern w:val="0"/>
                <w:sz w:val="24"/>
                <w:szCs w:val="24"/>
              </w:rPr>
              <w:t>-</w:t>
            </w:r>
          </w:p>
        </w:tc>
        <w:tc>
          <w:tcPr>
            <w:tcW w:w="1027" w:type="dxa"/>
            <w:vAlign w:val="center"/>
          </w:tcPr>
          <w:p>
            <w:pPr>
              <w:widowControl/>
              <w:snapToGrid w:val="0"/>
              <w:jc w:val="center"/>
              <w:rPr>
                <w:rFonts w:ascii="宋体" w:cs="宋体"/>
                <w:kern w:val="0"/>
                <w:sz w:val="24"/>
                <w:szCs w:val="24"/>
              </w:rPr>
            </w:pPr>
            <w:r>
              <w:rPr>
                <w:rFonts w:ascii="宋体" w:hAnsi="宋体" w:cs="宋体"/>
                <w:kern w:val="0"/>
                <w:sz w:val="24"/>
                <w:szCs w:val="24"/>
              </w:rPr>
              <w:t>&gt;60%</w:t>
            </w:r>
          </w:p>
          <w:p>
            <w:pPr>
              <w:widowControl/>
              <w:snapToGrid w:val="0"/>
              <w:jc w:val="center"/>
              <w:rPr>
                <w:rFonts w:ascii="宋体" w:cs="宋体"/>
                <w:kern w:val="0"/>
                <w:sz w:val="24"/>
                <w:szCs w:val="24"/>
              </w:rPr>
            </w:pPr>
            <w:r>
              <w:rPr>
                <w:rFonts w:ascii="宋体" w:hAnsi="宋体" w:cs="宋体"/>
                <w:kern w:val="0"/>
                <w:sz w:val="24"/>
                <w:szCs w:val="24"/>
              </w:rPr>
              <w:t>(50%)</w:t>
            </w:r>
          </w:p>
        </w:tc>
      </w:tr>
    </w:tbl>
    <w:p>
      <w:pPr>
        <w:pStyle w:val="11"/>
        <w:rPr>
          <w:rFonts w:ascii="宋体" w:cs="宋体"/>
          <w:smallCaps/>
          <w:kern w:val="0"/>
          <w:sz w:val="32"/>
          <w:szCs w:val="32"/>
        </w:rPr>
      </w:pPr>
      <w:r>
        <w:rPr>
          <w:rFonts w:hint="eastAsia" w:ascii="宋体" w:hAnsi="宋体" w:cs="宋体"/>
          <w:sz w:val="24"/>
          <w:szCs w:val="24"/>
        </w:rPr>
        <w:t>注：所有指标均为预期性指标</w:t>
      </w: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49" w:name="_Toc17120"/>
      <w:bookmarkStart w:id="50" w:name="_Toc45016333"/>
      <w:r>
        <w:rPr>
          <w:rFonts w:hint="eastAsia" w:ascii="方正楷体_GBK" w:hAnsi="方正楷体_GBK" w:eastAsia="方正楷体_GBK" w:cs="方正楷体_GBK"/>
          <w:kern w:val="0"/>
          <w:sz w:val="32"/>
          <w:szCs w:val="32"/>
        </w:rPr>
        <w:t>第四节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到二〇三五年远景目标</w:t>
      </w:r>
      <w:bookmarkEnd w:id="49"/>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展望二〇三五年，我区服务业发展实力更强、能级更高、质效更好，服务业发展由规模领先走向质量效益领先，制造业与服务业深度融合，服务全球的供应链企业发挥重要作用，形成全面融入全球的开放型经济体系，科技强区、文化强区、教育强区、人才强区、体育强区和健康渝北基本建成，国际消费中心城市重要承载地作用充分彰显，人民生活更加幸福，现代化服务业体系全面建成，服务业综合实力迈上国内领先水平。</w:t>
      </w:r>
    </w:p>
    <w:p>
      <w:pPr>
        <w:pStyle w:val="3"/>
        <w:spacing w:beforeLines="150" w:afterLines="150" w:line="560" w:lineRule="exact"/>
        <w:contextualSpacing/>
        <w:jc w:val="center"/>
        <w:rPr>
          <w:rFonts w:ascii="方正黑体_GBK" w:hAnsi="方正黑体_GBK" w:eastAsia="方正黑体_GBK" w:cs="方正黑体_GBK"/>
          <w:kern w:val="0"/>
          <w:sz w:val="36"/>
          <w:szCs w:val="36"/>
        </w:rPr>
      </w:pPr>
      <w:bookmarkStart w:id="51" w:name="_Toc29905"/>
      <w:r>
        <w:rPr>
          <w:rFonts w:hint="eastAsia" w:ascii="方正黑体_GBK" w:hAnsi="方正黑体_GBK" w:eastAsia="方正黑体_GBK" w:cs="方正黑体_GBK"/>
          <w:kern w:val="0"/>
          <w:sz w:val="36"/>
          <w:szCs w:val="36"/>
        </w:rPr>
        <w:t>第二篇</w:t>
      </w:r>
      <w:r>
        <w:rPr>
          <w:rFonts w:ascii="方正黑体_GBK" w:hAnsi="方正黑体_GBK" w:eastAsia="方正黑体_GBK" w:cs="方正黑体_GBK"/>
          <w:kern w:val="0"/>
          <w:sz w:val="36"/>
          <w:szCs w:val="36"/>
        </w:rPr>
        <w:t xml:space="preserve">  </w:t>
      </w:r>
      <w:r>
        <w:rPr>
          <w:rFonts w:hint="eastAsia" w:ascii="方正黑体_GBK" w:hAnsi="方正黑体_GBK" w:eastAsia="方正黑体_GBK" w:cs="方正黑体_GBK"/>
          <w:kern w:val="0"/>
          <w:sz w:val="36"/>
          <w:szCs w:val="36"/>
        </w:rPr>
        <w:t>重点发展方向</w:t>
      </w:r>
      <w:bookmarkEnd w:id="51"/>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着力构建现代服务业产业体系，推动生产性服务业向专业化和价值链高端延伸、生活性服务业向高品质和多样化升级，加快发展新业态新模式，努力实现总量规模持续壮大、产业结构持续优化、服务功能显著提升、支撑作用明显增强，提高服务经济质量效益和核心竞争力。</w:t>
      </w:r>
    </w:p>
    <w:p>
      <w:pPr>
        <w:pStyle w:val="125"/>
        <w:overflowPunct w:val="0"/>
        <w:adjustRightInd w:val="0"/>
        <w:snapToGrid w:val="0"/>
        <w:spacing w:beforeLines="150" w:afterLines="50" w:line="560" w:lineRule="exact"/>
        <w:ind w:firstLine="0"/>
        <w:jc w:val="center"/>
        <w:outlineLvl w:val="1"/>
        <w:rPr>
          <w:rFonts w:ascii="方正黑体_GBK" w:hAnsi="方正黑体_GBK" w:eastAsia="方正黑体_GBK" w:cs="方正黑体_GBK"/>
          <w:kern w:val="0"/>
          <w:sz w:val="32"/>
          <w:szCs w:val="32"/>
        </w:rPr>
      </w:pPr>
      <w:bookmarkStart w:id="52" w:name="_Toc17775"/>
      <w:r>
        <w:rPr>
          <w:rFonts w:hint="eastAsia" w:ascii="方正黑体_GBK" w:hAnsi="方正黑体_GBK" w:eastAsia="方正黑体_GBK" w:cs="方正黑体_GBK"/>
          <w:kern w:val="0"/>
          <w:sz w:val="32"/>
          <w:szCs w:val="32"/>
        </w:rPr>
        <w:t>第三章</w:t>
      </w:r>
      <w:r>
        <w:rPr>
          <w:rFonts w:ascii="方正黑体_GBK" w:hAnsi="方正黑体_GBK" w:eastAsia="方正黑体_GBK" w:cs="方正黑体_GBK"/>
          <w:kern w:val="0"/>
          <w:sz w:val="32"/>
          <w:szCs w:val="32"/>
        </w:rPr>
        <w:t xml:space="preserve"> </w:t>
      </w:r>
      <w:bookmarkEnd w:id="50"/>
      <w:bookmarkStart w:id="53" w:name="_Toc45016334"/>
      <w:r>
        <w:rPr>
          <w:rFonts w:hint="eastAsia" w:ascii="方正黑体_GBK" w:hAnsi="方正黑体_GBK" w:eastAsia="方正黑体_GBK" w:cs="方正黑体_GBK"/>
          <w:kern w:val="0"/>
          <w:sz w:val="32"/>
          <w:szCs w:val="32"/>
        </w:rPr>
        <w:t>做大做强生产性服务业</w:t>
      </w:r>
      <w:bookmarkEnd w:id="52"/>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加快发展壮大创新金融业、现代物流业、软件和信息服务业、专业服务业、商务会展业五大生产性服务业，促进先进制造业和现代服务业融合发展，增强经济高质量发展新动能。</w:t>
      </w: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54" w:name="_Toc21945"/>
      <w:r>
        <w:rPr>
          <w:rFonts w:hint="eastAsia" w:ascii="方正楷体_GBK" w:hAnsi="方正楷体_GBK" w:eastAsia="方正楷体_GBK" w:cs="方正楷体_GBK"/>
          <w:kern w:val="0"/>
          <w:sz w:val="32"/>
          <w:szCs w:val="32"/>
        </w:rPr>
        <w:t>第一节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做强创新金融业</w:t>
      </w:r>
      <w:bookmarkEnd w:id="54"/>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围绕重庆建设西部金融中心目标，优化金融发展环境，大力培育金融市场主体，推动金融模式和产品服务创新，增强金融资源配置能力、辐射能力和带动能力，建设创新金融示范区。到</w:t>
      </w:r>
      <w:r>
        <w:rPr>
          <w:rFonts w:ascii="方正仿宋_GBK" w:hAnsi="方正仿宋_GBK" w:eastAsia="方正仿宋_GBK" w:cs="方正仿宋_GBK"/>
          <w:sz w:val="32"/>
          <w:szCs w:val="32"/>
        </w:rPr>
        <w:t>2025</w:t>
      </w:r>
      <w:r>
        <w:rPr>
          <w:rFonts w:hint="eastAsia" w:ascii="方正仿宋_GBK" w:hAnsi="方正仿宋_GBK" w:eastAsia="方正仿宋_GBK" w:cs="方正仿宋_GBK"/>
          <w:sz w:val="32"/>
          <w:szCs w:val="32"/>
        </w:rPr>
        <w:t>年，金融机构数量达到</w:t>
      </w:r>
      <w:r>
        <w:rPr>
          <w:rFonts w:ascii="方正仿宋_GBK" w:hAnsi="方正仿宋_GBK" w:eastAsia="方正仿宋_GBK" w:cs="方正仿宋_GBK"/>
          <w:sz w:val="32"/>
          <w:szCs w:val="32"/>
        </w:rPr>
        <w:t>300</w:t>
      </w:r>
      <w:r>
        <w:rPr>
          <w:rFonts w:hint="eastAsia" w:ascii="方正仿宋_GBK" w:hAnsi="方正仿宋_GBK" w:eastAsia="方正仿宋_GBK" w:cs="方正仿宋_GBK"/>
          <w:sz w:val="32"/>
          <w:szCs w:val="32"/>
        </w:rPr>
        <w:t>家，存贷款余额达到</w:t>
      </w:r>
      <w:r>
        <w:rPr>
          <w:rFonts w:ascii="方正仿宋_GBK" w:hAnsi="方正仿宋_GBK" w:eastAsia="方正仿宋_GBK" w:cs="方正仿宋_GBK"/>
          <w:sz w:val="32"/>
          <w:szCs w:val="32"/>
        </w:rPr>
        <w:t>1.7</w:t>
      </w:r>
      <w:r>
        <w:rPr>
          <w:rFonts w:hint="eastAsia" w:ascii="方正仿宋_GBK" w:hAnsi="方正仿宋_GBK" w:eastAsia="方正仿宋_GBK" w:cs="方正仿宋_GBK"/>
          <w:sz w:val="32"/>
          <w:szCs w:val="32"/>
        </w:rPr>
        <w:t>万亿元，实现金融业增加值</w:t>
      </w:r>
      <w:r>
        <w:rPr>
          <w:rFonts w:ascii="方正仿宋_GBK" w:hAnsi="方正仿宋_GBK" w:eastAsia="方正仿宋_GBK" w:cs="方正仿宋_GBK"/>
          <w:sz w:val="32"/>
          <w:szCs w:val="32"/>
        </w:rPr>
        <w:t>400</w:t>
      </w:r>
      <w:r>
        <w:rPr>
          <w:rFonts w:hint="eastAsia" w:ascii="方正仿宋_GBK" w:hAnsi="方正仿宋_GBK" w:eastAsia="方正仿宋_GBK" w:cs="方正仿宋_GBK"/>
          <w:sz w:val="32"/>
          <w:szCs w:val="32"/>
        </w:rPr>
        <w:t>亿元</w:t>
      </w:r>
      <w:r>
        <w:rPr>
          <w:rFonts w:hint="eastAsia" w:ascii="方正仿宋_GBK" w:hAnsi="方正仿宋_GBK" w:eastAsia="方正仿宋_GBK" w:cs="方正仿宋_GBK"/>
          <w:sz w:val="32"/>
          <w:szCs w:val="32"/>
          <w:lang w:val="zh-CN"/>
        </w:rPr>
        <w:t>，</w:t>
      </w:r>
      <w:r>
        <w:rPr>
          <w:rFonts w:hint="eastAsia" w:ascii="方正仿宋_GBK" w:hAnsi="方正仿宋_GBK" w:eastAsia="方正仿宋_GBK" w:cs="方正仿宋_GBK"/>
          <w:sz w:val="32"/>
          <w:szCs w:val="32"/>
        </w:rPr>
        <w:t>形成门类齐全、结构合理、功能完善、高效安全的现代金融产业体系。</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加强创新金融功能布局。</w:t>
      </w:r>
      <w:r>
        <w:rPr>
          <w:rFonts w:hint="eastAsia" w:ascii="方正仿宋_GBK" w:hAnsi="方正仿宋_GBK" w:eastAsia="方正仿宋_GBK" w:cs="方正仿宋_GBK"/>
          <w:sz w:val="32"/>
          <w:szCs w:val="32"/>
          <w:lang w:val="zh-CN"/>
        </w:rPr>
        <w:t>深化银政企合作，</w:t>
      </w:r>
      <w:r>
        <w:rPr>
          <w:rFonts w:hint="eastAsia" w:ascii="方正仿宋_GBK" w:hAnsi="方正仿宋_GBK" w:eastAsia="方正仿宋_GBK" w:cs="方正仿宋_GBK"/>
          <w:sz w:val="32"/>
          <w:szCs w:val="32"/>
        </w:rPr>
        <w:t>巩固提升银行、证券、保险、</w:t>
      </w:r>
      <w:r>
        <w:rPr>
          <w:rFonts w:hint="eastAsia" w:ascii="方正仿宋_GBK" w:hAnsi="方正仿宋_GBK" w:eastAsia="方正仿宋_GBK" w:cs="方正仿宋_GBK"/>
          <w:sz w:val="32"/>
          <w:szCs w:val="32"/>
          <w:lang w:val="zh-CN"/>
        </w:rPr>
        <w:t>信托</w:t>
      </w:r>
      <w:r>
        <w:rPr>
          <w:rFonts w:hint="eastAsia" w:ascii="方正仿宋_GBK" w:hAnsi="方正仿宋_GBK" w:eastAsia="方正仿宋_GBK" w:cs="方正仿宋_GBK"/>
          <w:sz w:val="32"/>
          <w:szCs w:val="32"/>
        </w:rPr>
        <w:t>，积极培育、引进各类金融机构和要素市场，争取市级重大金融项目在渝北布局。提质金融集聚区建设，重点引进</w:t>
      </w:r>
      <w:r>
        <w:rPr>
          <w:rFonts w:hint="eastAsia" w:ascii="方正仿宋_GBK" w:hAnsi="方正仿宋_GBK" w:eastAsia="方正仿宋_GBK" w:cs="方正仿宋_GBK"/>
          <w:sz w:val="32"/>
          <w:szCs w:val="32"/>
          <w:lang w:val="zh-CN"/>
        </w:rPr>
        <w:t>资产管理、私募股权、风险投资、创业投资</w:t>
      </w:r>
      <w:r>
        <w:rPr>
          <w:rFonts w:hint="eastAsia" w:ascii="方正仿宋_GBK" w:hAnsi="方正仿宋_GBK" w:eastAsia="方正仿宋_GBK" w:cs="方正仿宋_GBK"/>
          <w:sz w:val="32"/>
          <w:szCs w:val="32"/>
        </w:rPr>
        <w:t>类企业，加快培育发展本土化的全牌照金融机构，积极争取成渝地区私募股权交易市场和风险投资中心、科技创投母基金、航空物流金融中心、供应链金融中心等布局建设。</w:t>
      </w:r>
      <w:r>
        <w:rPr>
          <w:rFonts w:hint="eastAsia" w:eastAsia="方正仿宋_GBK"/>
          <w:sz w:val="32"/>
          <w:szCs w:val="32"/>
          <w:lang w:val="zh-CN"/>
        </w:rPr>
        <w:t>加大资本招商力度，完善政务服务、融资服务、风险防控等“柔性服务”体系，推动高水平的科技创新和资本要素共同发展，打造“西部股权投资中心”。</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推进创新金融业态发展。</w:t>
      </w:r>
      <w:r>
        <w:rPr>
          <w:rFonts w:hint="eastAsia" w:ascii="方正仿宋_GBK" w:hAnsi="方正仿宋_GBK" w:eastAsia="方正仿宋_GBK" w:cs="方正仿宋_GBK"/>
          <w:sz w:val="32"/>
          <w:szCs w:val="32"/>
          <w:lang w:val="zh-CN"/>
        </w:rPr>
        <w:t>大力发展科技金融、</w:t>
      </w:r>
      <w:r>
        <w:rPr>
          <w:rFonts w:hint="eastAsia" w:ascii="方正仿宋_GBK" w:hAnsi="方正仿宋_GBK" w:eastAsia="方正仿宋_GBK" w:cs="方正仿宋_GBK"/>
          <w:sz w:val="32"/>
          <w:szCs w:val="32"/>
        </w:rPr>
        <w:t>普惠金融、绿色金融、</w:t>
      </w:r>
      <w:r>
        <w:rPr>
          <w:rFonts w:hint="eastAsia" w:ascii="方正仿宋_GBK" w:hAnsi="方正仿宋_GBK" w:eastAsia="方正仿宋_GBK" w:cs="方正仿宋_GBK"/>
          <w:sz w:val="32"/>
          <w:szCs w:val="32"/>
          <w:lang w:val="zh-CN"/>
        </w:rPr>
        <w:t>供应链金融、</w:t>
      </w:r>
      <w:r>
        <w:rPr>
          <w:rFonts w:hint="eastAsia" w:ascii="方正仿宋_GBK" w:hAnsi="方正仿宋_GBK" w:eastAsia="方正仿宋_GBK" w:cs="方正仿宋_GBK"/>
          <w:sz w:val="32"/>
          <w:szCs w:val="32"/>
        </w:rPr>
        <w:t>数字金融</w:t>
      </w:r>
      <w:r>
        <w:rPr>
          <w:rFonts w:hint="eastAsia" w:ascii="方正仿宋_GBK" w:hAnsi="方正仿宋_GBK" w:eastAsia="方正仿宋_GBK" w:cs="方正仿宋_GBK"/>
          <w:sz w:val="32"/>
          <w:szCs w:val="32"/>
          <w:lang w:val="zh-CN"/>
        </w:rPr>
        <w:t>等新兴金融业态</w:t>
      </w:r>
      <w:r>
        <w:rPr>
          <w:rFonts w:hint="eastAsia" w:ascii="方正仿宋_GBK" w:hAnsi="方正仿宋_GBK" w:eastAsia="方正仿宋_GBK" w:cs="方正仿宋_GBK"/>
          <w:sz w:val="32"/>
          <w:szCs w:val="32"/>
        </w:rPr>
        <w:t>。推动金融机构数字化转型，探索区块链等金融新技术研究应用。充分利用自贸区、中新合作金融开放创新政策，引导高水平金融开放，支持在自贸区设立各类金融机构，积极推动跨境投融资便利化，大力发展在岸、离岸金融结算和跨境人民币结算业务，探索开展跨境绿色信贷资产证券化、绿色债券、绿色股权投融资业务，鼓励本土企业到新加坡上市发债，引进区域性结算总部，打造创新金融合作示范基地。</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增强金融服务实体经济能力。加大企业直接融资比例，降低融资成本。引入资产票据金融、应收账款融资、超短贷金融等新创产品，着力解决中小微企业融资难、融资贵、融资慢等问题。增量提质“升级贷”“科信贷”“商业价值信用贷”“上市贷”。打好防范化解金融领域重大风险攻坚战，守住不发生区域性风险、不引发系统性风险的底线。</w:t>
      </w:r>
    </w:p>
    <w:p>
      <w:pPr>
        <w:jc w:val="center"/>
        <w:rPr>
          <w:rFonts w:ascii="方正黑体_GBK" w:hAnsi="方正黑体_GBK" w:eastAsia="方正黑体_GBK" w:cs="方正黑体_GBK"/>
          <w:smallCaps/>
          <w:kern w:val="0"/>
          <w:sz w:val="32"/>
          <w:szCs w:val="32"/>
        </w:rPr>
      </w:pPr>
      <w:r>
        <w:rPr>
          <w:rFonts w:hint="eastAsia" w:ascii="方正黑体_GBK" w:hAnsi="方正黑体_GBK" w:eastAsia="方正黑体_GBK" w:cs="方正黑体_GBK"/>
          <w:smallCaps/>
          <w:kern w:val="0"/>
          <w:sz w:val="32"/>
          <w:szCs w:val="32"/>
        </w:rPr>
        <w:t>专栏</w:t>
      </w:r>
      <w:r>
        <w:rPr>
          <w:rFonts w:ascii="方正黑体_GBK" w:hAnsi="方正黑体_GBK" w:eastAsia="方正黑体_GBK" w:cs="方正黑体_GBK"/>
          <w:smallCaps/>
          <w:kern w:val="0"/>
          <w:sz w:val="32"/>
          <w:szCs w:val="32"/>
        </w:rPr>
        <w:t xml:space="preserve">3  </w:t>
      </w:r>
      <w:r>
        <w:rPr>
          <w:rFonts w:hint="eastAsia" w:ascii="方正黑体_GBK" w:hAnsi="方正黑体_GBK" w:eastAsia="方正黑体_GBK" w:cs="方正黑体_GBK"/>
          <w:smallCaps/>
          <w:kern w:val="0"/>
          <w:sz w:val="32"/>
          <w:szCs w:val="32"/>
        </w:rPr>
        <w:t>创新金融业发展重点</w:t>
      </w:r>
    </w:p>
    <w:tbl>
      <w:tblPr>
        <w:tblStyle w:val="32"/>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5" w:type="dxa"/>
          </w:tcPr>
          <w:p>
            <w:pPr>
              <w:widowControl/>
              <w:snapToGrid w:val="0"/>
              <w:spacing w:line="420" w:lineRule="exact"/>
              <w:rPr>
                <w:rFonts w:ascii="方正黑体_GBK" w:hAnsi="方正黑体_GBK" w:eastAsia="方正黑体_GBK" w:cs="方正黑体_GBK"/>
                <w:sz w:val="24"/>
                <w:szCs w:val="24"/>
              </w:rPr>
            </w:pPr>
            <w:bookmarkStart w:id="55" w:name="_Toc23144"/>
            <w:r>
              <w:rPr>
                <w:rFonts w:ascii="方正黑体_GBK" w:hAnsi="方正黑体_GBK" w:eastAsia="方正黑体_GBK" w:cs="方正黑体_GBK"/>
                <w:sz w:val="24"/>
                <w:szCs w:val="24"/>
              </w:rPr>
              <w:t>1.</w:t>
            </w:r>
            <w:r>
              <w:rPr>
                <w:rFonts w:hint="eastAsia" w:ascii="方正黑体_GBK" w:hAnsi="方正黑体_GBK" w:eastAsia="方正黑体_GBK" w:cs="方正黑体_GBK"/>
                <w:sz w:val="24"/>
                <w:szCs w:val="24"/>
              </w:rPr>
              <w:t>加强创新金融集聚区建设</w:t>
            </w:r>
          </w:p>
          <w:p>
            <w:pPr>
              <w:widowControl/>
              <w:snapToGrid w:val="0"/>
              <w:spacing w:line="420" w:lineRule="exact"/>
              <w:ind w:firstLine="480" w:firstLineChars="200"/>
              <w:rPr>
                <w:rFonts w:ascii="宋体" w:cs="宋体"/>
                <w:sz w:val="24"/>
                <w:szCs w:val="24"/>
              </w:rPr>
            </w:pPr>
            <w:r>
              <w:rPr>
                <w:rFonts w:hint="eastAsia" w:ascii="方正黑体_GBK" w:hAnsi="方正黑体_GBK" w:eastAsia="方正黑体_GBK" w:cs="方正黑体_GBK"/>
                <w:sz w:val="24"/>
                <w:szCs w:val="24"/>
              </w:rPr>
              <w:t>加快建设临空金融总部基地。</w:t>
            </w:r>
            <w:r>
              <w:rPr>
                <w:rFonts w:hint="eastAsia" w:ascii="宋体" w:hAnsi="宋体" w:cs="宋体"/>
                <w:sz w:val="24"/>
                <w:szCs w:val="24"/>
              </w:rPr>
              <w:t>依托两江国际商务中心金融总部大厦、仙桃数据谷金融大厦，承载临空高端商务产业链，引进供应链金融、商业保理、融资租赁等金融业态，发展区域性金融总部，建设西部临空金融中心。</w:t>
            </w:r>
            <w:r>
              <w:rPr>
                <w:rFonts w:hint="eastAsia" w:ascii="方正黑体_GBK" w:hAnsi="方正黑体_GBK" w:eastAsia="方正黑体_GBK" w:cs="方正黑体_GBK"/>
                <w:sz w:val="24"/>
                <w:szCs w:val="24"/>
              </w:rPr>
              <w:t>做优做强新牌坊金融服务示范区。</w:t>
            </w:r>
            <w:r>
              <w:rPr>
                <w:rFonts w:hint="eastAsia" w:ascii="宋体" w:hAnsi="宋体" w:cs="宋体"/>
                <w:sz w:val="24"/>
                <w:szCs w:val="24"/>
              </w:rPr>
              <w:t>引导银证保信托等金融机构创新产品和服务，大力培育消费金融、供应链金融、财富管理、总部结算等新型金融业态。</w:t>
            </w:r>
            <w:r>
              <w:rPr>
                <w:rFonts w:hint="eastAsia" w:ascii="方正黑体_GBK" w:hAnsi="方正黑体_GBK" w:eastAsia="方正黑体_GBK" w:cs="方正黑体_GBK"/>
                <w:sz w:val="24"/>
                <w:szCs w:val="24"/>
              </w:rPr>
              <w:t>提质打造重庆基金园。</w:t>
            </w:r>
            <w:r>
              <w:rPr>
                <w:rFonts w:hint="eastAsia" w:ascii="宋体" w:hAnsi="宋体" w:cs="宋体"/>
                <w:sz w:val="24"/>
                <w:szCs w:val="24"/>
              </w:rPr>
              <w:t>利用西部科技金融路演中心，引导私募股权、创业投资机构集聚发展。</w:t>
            </w:r>
            <w:r>
              <w:rPr>
                <w:rFonts w:hint="eastAsia" w:ascii="方正黑体_GBK" w:hAnsi="方正黑体_GBK" w:eastAsia="方正黑体_GBK" w:cs="方正黑体_GBK"/>
                <w:sz w:val="24"/>
                <w:szCs w:val="24"/>
              </w:rPr>
              <w:t>加快打造西部股权投资</w:t>
            </w:r>
            <w:r>
              <w:rPr>
                <w:rFonts w:hint="eastAsia" w:ascii="方正黑体_GBK" w:hAnsi="方正黑体_GBK" w:eastAsia="方正黑体_GBK" w:cs="方正黑体_GBK"/>
                <w:sz w:val="24"/>
                <w:szCs w:val="24"/>
                <w:lang w:val="zh-CN"/>
              </w:rPr>
              <w:t>中心</w:t>
            </w:r>
            <w:r>
              <w:rPr>
                <w:rFonts w:hint="eastAsia" w:ascii="方正黑体_GBK" w:hAnsi="方正黑体_GBK" w:eastAsia="方正黑体_GBK" w:cs="方正黑体_GBK"/>
                <w:sz w:val="24"/>
                <w:szCs w:val="24"/>
              </w:rPr>
              <w:t>。</w:t>
            </w:r>
            <w:r>
              <w:rPr>
                <w:rFonts w:hint="eastAsia" w:ascii="宋体" w:hAnsi="宋体" w:cs="宋体"/>
                <w:sz w:val="24"/>
                <w:szCs w:val="24"/>
              </w:rPr>
              <w:t>依托北城国际，引进国内外知名股权投资机构和创新孵化中心，打造私募股权交易市场，培育形成创新资本集聚高地。</w:t>
            </w:r>
          </w:p>
          <w:p>
            <w:pPr>
              <w:widowControl/>
              <w:snapToGrid w:val="0"/>
              <w:spacing w:line="42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2.</w:t>
            </w:r>
            <w:r>
              <w:rPr>
                <w:rFonts w:hint="eastAsia" w:ascii="方正黑体_GBK" w:hAnsi="方正黑体_GBK" w:eastAsia="方正黑体_GBK" w:cs="方正黑体_GBK"/>
                <w:sz w:val="24"/>
                <w:szCs w:val="24"/>
              </w:rPr>
              <w:t>引育重点企业培育新业态</w:t>
            </w:r>
          </w:p>
          <w:p>
            <w:pPr>
              <w:widowControl/>
              <w:snapToGrid w:val="0"/>
              <w:spacing w:line="420" w:lineRule="exact"/>
              <w:ind w:firstLine="480" w:firstLineChars="200"/>
              <w:rPr>
                <w:rFonts w:ascii="宋体" w:cs="宋体"/>
                <w:sz w:val="24"/>
                <w:szCs w:val="24"/>
              </w:rPr>
            </w:pPr>
            <w:r>
              <w:rPr>
                <w:rFonts w:hint="eastAsia" w:ascii="宋体" w:hAnsi="宋体" w:cs="宋体"/>
                <w:sz w:val="24"/>
                <w:szCs w:val="24"/>
              </w:rPr>
              <w:t>引导</w:t>
            </w:r>
            <w:r>
              <w:rPr>
                <w:rFonts w:ascii="宋体" w:hAnsi="宋体" w:cs="宋体"/>
                <w:sz w:val="24"/>
                <w:szCs w:val="24"/>
              </w:rPr>
              <w:t>OPPO</w:t>
            </w:r>
            <w:r>
              <w:rPr>
                <w:rFonts w:hint="eastAsia" w:ascii="宋体" w:hAnsi="宋体" w:cs="宋体"/>
                <w:sz w:val="24"/>
                <w:szCs w:val="24"/>
              </w:rPr>
              <w:t>、传音等争取融资担保、商业保理牌照，发展供应链金融；引进培育高瓴投资、腾讯投资、中金资本、</w:t>
            </w:r>
            <w:r>
              <w:rPr>
                <w:rFonts w:ascii="宋体" w:hAnsi="宋体" w:cs="宋体"/>
                <w:sz w:val="24"/>
                <w:szCs w:val="24"/>
              </w:rPr>
              <w:t>CPE</w:t>
            </w:r>
            <w:r>
              <w:rPr>
                <w:rFonts w:hint="eastAsia" w:ascii="宋体" w:hAnsi="宋体" w:cs="宋体"/>
                <w:sz w:val="24"/>
                <w:szCs w:val="24"/>
              </w:rPr>
              <w:t>源峰、招银国际资本等，发展股权投资；加快建设人民金服旗下“人民普惠保险云园区”，探索进出口保险、会展保险、再保险等发展。</w:t>
            </w:r>
          </w:p>
          <w:p>
            <w:pPr>
              <w:widowControl/>
              <w:snapToGrid w:val="0"/>
              <w:spacing w:line="42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3.</w:t>
            </w:r>
            <w:r>
              <w:rPr>
                <w:rFonts w:hint="eastAsia" w:ascii="方正黑体_GBK" w:hAnsi="方正黑体_GBK" w:eastAsia="方正黑体_GBK" w:cs="方正黑体_GBK"/>
                <w:sz w:val="24"/>
                <w:szCs w:val="24"/>
              </w:rPr>
              <w:t>推动企业挂牌上市融资</w:t>
            </w:r>
          </w:p>
          <w:p>
            <w:pPr>
              <w:widowControl/>
              <w:snapToGrid w:val="0"/>
              <w:spacing w:line="420" w:lineRule="exact"/>
              <w:ind w:firstLine="480" w:firstLineChars="200"/>
              <w:rPr>
                <w:rFonts w:eastAsia="方正仿宋_GBK"/>
              </w:rPr>
            </w:pPr>
            <w:r>
              <w:rPr>
                <w:rFonts w:hint="eastAsia" w:ascii="宋体" w:hAnsi="宋体" w:cs="宋体"/>
                <w:sz w:val="24"/>
                <w:szCs w:val="24"/>
              </w:rPr>
              <w:t>实施上市企业储备计划，抓好宣传引导、资源储备、培育辅导和政策扶持，扶持拟上市挂牌重点企业，推动境内外上市、</w:t>
            </w:r>
            <w:r>
              <w:rPr>
                <w:rFonts w:ascii="宋体" w:hAnsi="宋体" w:cs="宋体"/>
                <w:sz w:val="24"/>
                <w:szCs w:val="24"/>
              </w:rPr>
              <w:t>OTC</w:t>
            </w:r>
            <w:r>
              <w:rPr>
                <w:rFonts w:hint="eastAsia" w:ascii="宋体" w:hAnsi="宋体" w:cs="宋体"/>
                <w:sz w:val="24"/>
                <w:szCs w:val="24"/>
              </w:rPr>
              <w:t>、新三板挂牌，到</w:t>
            </w:r>
            <w:r>
              <w:rPr>
                <w:rFonts w:ascii="宋体" w:hAnsi="宋体" w:cs="宋体"/>
                <w:sz w:val="24"/>
                <w:szCs w:val="24"/>
              </w:rPr>
              <w:t>2025</w:t>
            </w:r>
            <w:r>
              <w:rPr>
                <w:rFonts w:hint="eastAsia" w:ascii="宋体" w:hAnsi="宋体" w:cs="宋体"/>
                <w:sz w:val="24"/>
                <w:szCs w:val="24"/>
              </w:rPr>
              <w:t>年，新增引育上市企业</w:t>
            </w:r>
            <w:r>
              <w:rPr>
                <w:rFonts w:ascii="宋体" w:hAnsi="宋体" w:cs="宋体"/>
                <w:sz w:val="24"/>
                <w:szCs w:val="24"/>
              </w:rPr>
              <w:t>10</w:t>
            </w:r>
            <w:r>
              <w:rPr>
                <w:rFonts w:hint="eastAsia" w:ascii="宋体" w:hAnsi="宋体" w:cs="宋体"/>
                <w:sz w:val="24"/>
                <w:szCs w:val="24"/>
              </w:rPr>
              <w:t>家以上，</w:t>
            </w:r>
            <w:r>
              <w:rPr>
                <w:rFonts w:hint="eastAsia" w:ascii="宋体" w:hAnsi="宋体" w:cs="宋体"/>
                <w:sz w:val="24"/>
                <w:szCs w:val="24"/>
                <w:lang w:val="zh-CN"/>
              </w:rPr>
              <w:t>再融资额达到</w:t>
            </w:r>
            <w:r>
              <w:rPr>
                <w:rFonts w:ascii="宋体" w:hAnsi="宋体" w:cs="宋体"/>
                <w:sz w:val="24"/>
                <w:szCs w:val="24"/>
              </w:rPr>
              <w:t>45</w:t>
            </w:r>
            <w:r>
              <w:rPr>
                <w:rFonts w:ascii="宋体" w:cs="宋体"/>
                <w:sz w:val="24"/>
                <w:szCs w:val="24"/>
                <w:lang w:val="zh-CN"/>
              </w:rPr>
              <w:t>0</w:t>
            </w:r>
            <w:r>
              <w:rPr>
                <w:rFonts w:hint="eastAsia" w:ascii="宋体" w:hAnsi="宋体" w:cs="宋体"/>
                <w:sz w:val="24"/>
                <w:szCs w:val="24"/>
                <w:lang w:val="zh-CN"/>
              </w:rPr>
              <w:t>亿元以上。</w:t>
            </w:r>
          </w:p>
        </w:tc>
      </w:tr>
    </w:tbl>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56" w:name="_Toc15902"/>
      <w:r>
        <w:rPr>
          <w:rFonts w:hint="eastAsia" w:ascii="方正楷体_GBK" w:hAnsi="方正楷体_GBK" w:eastAsia="方正楷体_GBK" w:cs="方正楷体_GBK"/>
          <w:kern w:val="0"/>
          <w:sz w:val="32"/>
          <w:szCs w:val="32"/>
        </w:rPr>
        <w:t>第二节</w:t>
      </w:r>
      <w:r>
        <w:rPr>
          <w:rFonts w:ascii="方正楷体_GBK" w:hAnsi="方正楷体_GBK" w:eastAsia="方正楷体_GBK" w:cs="方正楷体_GBK"/>
          <w:kern w:val="0"/>
          <w:sz w:val="32"/>
          <w:szCs w:val="32"/>
        </w:rPr>
        <w:t xml:space="preserve"> </w:t>
      </w:r>
      <w:bookmarkStart w:id="57" w:name="_Toc8398"/>
      <w:r>
        <w:rPr>
          <w:rFonts w:hint="eastAsia" w:ascii="方正楷体_GBK" w:hAnsi="方正楷体_GBK" w:eastAsia="方正楷体_GBK" w:cs="方正楷体_GBK"/>
          <w:kern w:val="0"/>
          <w:sz w:val="32"/>
          <w:szCs w:val="32"/>
        </w:rPr>
        <w:t>做大现代物流</w:t>
      </w:r>
      <w:bookmarkEnd w:id="56"/>
      <w:bookmarkEnd w:id="57"/>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完善布局物流枢纽，构建内畅外联、安全高效的现代物流体系，全面提升国际货运承载力，充分发挥航空枢纽和“空铁公水”多式联运优势，加大平台联动、资源整合，增强</w:t>
      </w:r>
      <w:r>
        <w:rPr>
          <w:rFonts w:hint="eastAsia" w:ascii="方正仿宋_GBK" w:hAnsi="方正仿宋_GBK" w:eastAsia="方正仿宋_GBK" w:cs="方正仿宋_GBK"/>
          <w:sz w:val="32"/>
          <w:szCs w:val="32"/>
          <w:lang w:val="zh-CN"/>
        </w:rPr>
        <w:t>航空物流带动辐射作用</w:t>
      </w:r>
      <w:r>
        <w:rPr>
          <w:rFonts w:hint="eastAsia" w:ascii="方正仿宋_GBK" w:hAnsi="方正仿宋_GBK" w:eastAsia="方正仿宋_GBK" w:cs="方正仿宋_GBK"/>
          <w:sz w:val="32"/>
          <w:szCs w:val="32"/>
        </w:rPr>
        <w:t>。到</w:t>
      </w:r>
      <w:r>
        <w:rPr>
          <w:rFonts w:ascii="方正仿宋_GBK" w:hAnsi="方正仿宋_GBK" w:eastAsia="方正仿宋_GBK" w:cs="方正仿宋_GBK"/>
          <w:sz w:val="32"/>
          <w:szCs w:val="32"/>
        </w:rPr>
        <w:t>2025</w:t>
      </w:r>
      <w:r>
        <w:rPr>
          <w:rFonts w:hint="eastAsia" w:ascii="方正仿宋_GBK" w:hAnsi="方正仿宋_GBK" w:eastAsia="方正仿宋_GBK" w:cs="方正仿宋_GBK"/>
          <w:sz w:val="32"/>
          <w:szCs w:val="32"/>
        </w:rPr>
        <w:t>年，</w:t>
      </w:r>
      <w:r>
        <w:rPr>
          <w:rFonts w:hint="eastAsia" w:ascii="方正仿宋_GBK" w:hAnsi="方正仿宋_GBK" w:eastAsia="方正仿宋_GBK" w:cs="方正仿宋_GBK"/>
          <w:sz w:val="32"/>
          <w:szCs w:val="32"/>
          <w:lang w:val="zh-CN"/>
        </w:rPr>
        <w:t>空港型国家物流枢纽基本建成，</w:t>
      </w:r>
      <w:r>
        <w:rPr>
          <w:rFonts w:hint="eastAsia" w:ascii="方正仿宋_GBK" w:hAnsi="方正仿宋_GBK" w:eastAsia="方正仿宋_GBK" w:cs="方正仿宋_GBK"/>
          <w:sz w:val="32"/>
          <w:szCs w:val="32"/>
        </w:rPr>
        <w:t>现代物流综合营收达到</w:t>
      </w:r>
      <w:r>
        <w:rPr>
          <w:rFonts w:ascii="方正仿宋_GBK" w:hAnsi="方正仿宋_GBK" w:eastAsia="方正仿宋_GBK" w:cs="方正仿宋_GBK"/>
          <w:sz w:val="32"/>
          <w:szCs w:val="32"/>
        </w:rPr>
        <w:t>400</w:t>
      </w:r>
      <w:r>
        <w:rPr>
          <w:rFonts w:hint="eastAsia" w:ascii="方正仿宋_GBK" w:hAnsi="方正仿宋_GBK" w:eastAsia="方正仿宋_GBK" w:cs="方正仿宋_GBK"/>
          <w:sz w:val="32"/>
          <w:szCs w:val="32"/>
        </w:rPr>
        <w:t>亿元，航空货邮吞吐量达到</w:t>
      </w:r>
      <w:r>
        <w:rPr>
          <w:rFonts w:ascii="方正仿宋_GBK" w:hAnsi="方正仿宋_GBK" w:eastAsia="方正仿宋_GBK" w:cs="方正仿宋_GBK"/>
          <w:sz w:val="32"/>
          <w:szCs w:val="32"/>
        </w:rPr>
        <w:t>60</w:t>
      </w:r>
      <w:r>
        <w:rPr>
          <w:rFonts w:hint="eastAsia" w:ascii="方正仿宋_GBK" w:hAnsi="方正仿宋_GBK" w:eastAsia="方正仿宋_GBK" w:cs="方正仿宋_GBK"/>
          <w:sz w:val="32"/>
          <w:szCs w:val="32"/>
        </w:rPr>
        <w:t>万吨。</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建设空港型国家物流枢纽。全力支持江北国际机场打造国际航空枢纽，</w:t>
      </w:r>
      <w:bookmarkStart w:id="58" w:name="_Toc8811"/>
      <w:r>
        <w:rPr>
          <w:rFonts w:hint="eastAsia" w:ascii="方正仿宋_GBK" w:hAnsi="方正仿宋_GBK" w:eastAsia="方正仿宋_GBK" w:cs="方正仿宋_GBK"/>
          <w:sz w:val="32"/>
          <w:szCs w:val="32"/>
        </w:rPr>
        <w:t>加快融入国家“全球</w:t>
      </w:r>
      <w:r>
        <w:rPr>
          <w:rFonts w:ascii="方正仿宋_GBK" w:hAnsi="方正仿宋_GBK" w:eastAsia="方正仿宋_GBK" w:cs="方正仿宋_GBK"/>
          <w:sz w:val="32"/>
          <w:szCs w:val="32"/>
        </w:rPr>
        <w:t>123</w:t>
      </w:r>
      <w:r>
        <w:rPr>
          <w:rFonts w:hint="eastAsia" w:ascii="方正仿宋_GBK" w:hAnsi="方正仿宋_GBK" w:eastAsia="方正仿宋_GBK" w:cs="方正仿宋_GBK"/>
          <w:sz w:val="32"/>
          <w:szCs w:val="32"/>
        </w:rPr>
        <w:t>快货物流圈”</w:t>
      </w:r>
      <w:r>
        <w:rPr>
          <w:rFonts w:ascii="方正仿宋_GBK" w:hAnsi="方正仿宋_GBK" w:eastAsia="方正仿宋_GBK" w:cs="方正仿宋_GBK"/>
          <w:sz w:val="32"/>
          <w:szCs w:val="32"/>
          <w:vertAlign w:val="superscript"/>
        </w:rPr>
        <w:t>[</w:t>
      </w:r>
      <w:r>
        <w:rPr>
          <w:rFonts w:ascii="方正仿宋_GBK" w:hAnsi="方正仿宋_GBK" w:eastAsia="方正仿宋_GBK" w:cs="方正仿宋_GBK"/>
          <w:sz w:val="32"/>
          <w:szCs w:val="32"/>
          <w:vertAlign w:val="superscript"/>
        </w:rPr>
        <w:footnoteReference w:id="1"/>
      </w:r>
      <w:r>
        <w:rPr>
          <w:rFonts w:ascii="方正仿宋_GBK" w:hAnsi="方正仿宋_GBK" w:eastAsia="方正仿宋_GBK" w:cs="方正仿宋_GBK"/>
          <w:sz w:val="32"/>
          <w:szCs w:val="32"/>
          <w:vertAlign w:val="superscript"/>
        </w:rPr>
        <w:t>]</w:t>
      </w:r>
      <w:r>
        <w:rPr>
          <w:rFonts w:hint="eastAsia" w:ascii="方正仿宋_GBK" w:hAnsi="方正仿宋_GBK" w:eastAsia="方正仿宋_GBK" w:cs="方正仿宋_GBK"/>
          <w:sz w:val="32"/>
          <w:szCs w:val="32"/>
        </w:rPr>
        <w:t>，提升航空货运枢纽</w:t>
      </w:r>
      <w:bookmarkEnd w:id="58"/>
      <w:r>
        <w:rPr>
          <w:rFonts w:hint="eastAsia" w:ascii="方正仿宋_GBK" w:hAnsi="方正仿宋_GBK" w:eastAsia="方正仿宋_GBK" w:cs="方正仿宋_GBK"/>
          <w:sz w:val="32"/>
          <w:szCs w:val="32"/>
        </w:rPr>
        <w:t>能级。</w:t>
      </w:r>
      <w:r>
        <w:rPr>
          <w:rFonts w:hint="eastAsia" w:ascii="方正仿宋_GBK" w:hAnsi="方正仿宋_GBK" w:eastAsia="方正仿宋_GBK" w:cs="方正仿宋_GBK"/>
          <w:sz w:val="32"/>
          <w:szCs w:val="32"/>
          <w:lang w:val="zh-CN"/>
        </w:rPr>
        <w:t>加快铁路枢纽东环线古路站货运专用通道、洛碛港货运口岸、机场支线等项目建设，</w:t>
      </w:r>
      <w:r>
        <w:rPr>
          <w:rFonts w:hint="eastAsia" w:ascii="方正仿宋_GBK" w:hAnsi="方正仿宋_GBK" w:eastAsia="方正仿宋_GBK" w:cs="方正仿宋_GBK"/>
          <w:sz w:val="32"/>
          <w:szCs w:val="32"/>
        </w:rPr>
        <w:t>加强与果园港的协同，促进空铁公水“四网”深度融合与多式联运体系的建立。</w:t>
      </w:r>
      <w:r>
        <w:rPr>
          <w:rFonts w:hint="eastAsia" w:ascii="方正仿宋_GBK" w:hAnsi="方正仿宋_GBK" w:eastAsia="方正仿宋_GBK" w:cs="方正仿宋_GBK"/>
          <w:sz w:val="32"/>
          <w:szCs w:val="32"/>
          <w:lang w:val="zh-CN"/>
        </w:rPr>
        <w:t>支持建设卡车航班转运中心和航空异地货站，</w:t>
      </w:r>
      <w:r>
        <w:rPr>
          <w:rFonts w:hint="eastAsia" w:ascii="方正仿宋_GBK" w:hAnsi="方正仿宋_GBK" w:eastAsia="方正仿宋_GBK" w:cs="方正仿宋_GBK"/>
          <w:sz w:val="32"/>
          <w:szCs w:val="32"/>
        </w:rPr>
        <w:t>发展“卡车航班”“空空中转”“陆空联运”模式，打造国际航空中转集结中心，构建高价值商品的快捷物流服务网络。拓展“中欧班列</w:t>
      </w:r>
      <w:r>
        <w:rPr>
          <w:rFonts w:ascii="方正仿宋_GBK" w:hAnsi="方正仿宋_GBK" w:eastAsia="方正仿宋_GBK" w:cs="方正仿宋_GBK"/>
          <w:sz w:val="32"/>
          <w:szCs w:val="32"/>
        </w:rPr>
        <w:t>+</w:t>
      </w:r>
      <w:r>
        <w:rPr>
          <w:rFonts w:hint="eastAsia" w:ascii="方正仿宋_GBK" w:hAnsi="方正仿宋_GBK" w:eastAsia="方正仿宋_GBK" w:cs="方正仿宋_GBK"/>
          <w:sz w:val="32"/>
          <w:szCs w:val="32"/>
        </w:rPr>
        <w:t>四小时航空”等多式联运产品，</w:t>
      </w:r>
      <w:r>
        <w:rPr>
          <w:rFonts w:hint="eastAsia" w:ascii="方正仿宋_GBK" w:hAnsi="方正仿宋_GBK" w:eastAsia="方正仿宋_GBK" w:cs="方正仿宋_GBK"/>
          <w:sz w:val="32"/>
          <w:szCs w:val="32"/>
          <w:lang w:val="zh-CN"/>
        </w:rPr>
        <w:t>实现与中欧班列、西部陆海贸易新通道、长江黄金水道等对外贸易大通道的无缝衔接</w:t>
      </w:r>
      <w:r>
        <w:rPr>
          <w:rFonts w:hint="eastAsia" w:ascii="方正仿宋_GBK" w:hAnsi="方正仿宋_GBK" w:eastAsia="方正仿宋_GBK" w:cs="方正仿宋_GBK"/>
          <w:sz w:val="32"/>
          <w:szCs w:val="32"/>
        </w:rPr>
        <w:t>。加快聚集航空基地公司总部、</w:t>
      </w:r>
      <w:r>
        <w:rPr>
          <w:rFonts w:hint="eastAsia" w:ascii="方正仿宋_GBK" w:hAnsi="方正仿宋_GBK" w:eastAsia="方正仿宋_GBK" w:cs="方正仿宋_GBK"/>
          <w:sz w:val="32"/>
          <w:szCs w:val="32"/>
          <w:lang w:val="zh-CN"/>
        </w:rPr>
        <w:t>全球知名快递公司基地运营中心，引进落户一批以航空快件快运、冷链物流、保税物流、</w:t>
      </w:r>
      <w:r>
        <w:rPr>
          <w:rFonts w:hint="eastAsia" w:ascii="方正仿宋_GBK" w:hAnsi="方正仿宋_GBK" w:eastAsia="方正仿宋_GBK" w:cs="方正仿宋_GBK"/>
          <w:sz w:val="32"/>
          <w:szCs w:val="32"/>
        </w:rPr>
        <w:t>跨境电商物流</w:t>
      </w:r>
      <w:r>
        <w:rPr>
          <w:rFonts w:hint="eastAsia" w:ascii="方正仿宋_GBK" w:hAnsi="方正仿宋_GBK" w:eastAsia="方正仿宋_GBK" w:cs="方正仿宋_GBK"/>
          <w:sz w:val="32"/>
          <w:szCs w:val="32"/>
          <w:lang w:val="zh-CN"/>
        </w:rPr>
        <w:t>等为重点的现代物流项目，</w:t>
      </w:r>
      <w:r>
        <w:rPr>
          <w:rFonts w:hint="eastAsia" w:ascii="方正仿宋_GBK" w:hAnsi="方正仿宋_GBK" w:eastAsia="方正仿宋_GBK" w:cs="方正仿宋_GBK"/>
          <w:sz w:val="32"/>
          <w:szCs w:val="32"/>
        </w:rPr>
        <w:t>加快国际快件集散中心、国际工业品采集中心等重点项目建设，</w:t>
      </w:r>
      <w:r>
        <w:rPr>
          <w:rFonts w:hint="eastAsia" w:ascii="方正仿宋_GBK" w:hAnsi="方正仿宋_GBK" w:eastAsia="方正仿宋_GBK" w:cs="方正仿宋_GBK"/>
          <w:sz w:val="32"/>
          <w:szCs w:val="32"/>
          <w:lang w:val="zh-CN"/>
        </w:rPr>
        <w:t>争取航空快件国际中转集拼试点。</w:t>
      </w:r>
      <w:r>
        <w:rPr>
          <w:rFonts w:hint="eastAsia" w:ascii="方正仿宋_GBK" w:hAnsi="方正仿宋_GBK" w:eastAsia="方正仿宋_GBK" w:cs="方正仿宋_GBK"/>
          <w:sz w:val="32"/>
          <w:szCs w:val="32"/>
        </w:rPr>
        <w:t>引导高端制造、生物医药、生鲜食品等航空需求型产业集聚，实现国际物流高度集聚，着力构建以航空运输为基础、航空关联产业为支撑的航空物流经济集聚区，逐步发展成为立足重庆、服务西部、面向世界的国际航空物流枢纽。</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发展高端</w:t>
      </w:r>
      <w:r>
        <w:rPr>
          <w:rFonts w:hint="eastAsia" w:ascii="方正仿宋_GBK" w:hAnsi="方正仿宋_GBK" w:eastAsia="方正仿宋_GBK" w:cs="方正仿宋_GBK"/>
          <w:sz w:val="32"/>
          <w:szCs w:val="32"/>
          <w:lang w:val="zh-CN"/>
        </w:rPr>
        <w:t>物流业态。培育发展专业化、精细化的第三方物流，积极发展第四方物流，</w:t>
      </w:r>
      <w:r>
        <w:rPr>
          <w:rFonts w:hint="eastAsia" w:ascii="方正仿宋_GBK" w:hAnsi="方正仿宋_GBK" w:eastAsia="方正仿宋_GBK" w:cs="方正仿宋_GBK"/>
          <w:sz w:val="32"/>
          <w:szCs w:val="32"/>
        </w:rPr>
        <w:t>鼓励发展仓储物流、航空货运、快件集散、智能配送、供应链管理等多种业态。发挥自贸试验区、综合保税区政策优势，以“国际贸易</w:t>
      </w:r>
      <w:r>
        <w:rPr>
          <w:rFonts w:ascii="方正仿宋_GBK" w:hAnsi="方正仿宋_GBK" w:eastAsia="方正仿宋_GBK" w:cs="方正仿宋_GBK"/>
          <w:sz w:val="32"/>
          <w:szCs w:val="32"/>
        </w:rPr>
        <w:t>+</w:t>
      </w:r>
      <w:r>
        <w:rPr>
          <w:rFonts w:hint="eastAsia" w:ascii="方正仿宋_GBK" w:hAnsi="方正仿宋_GBK" w:eastAsia="方正仿宋_GBK" w:cs="方正仿宋_GBK"/>
          <w:sz w:val="32"/>
          <w:szCs w:val="32"/>
        </w:rPr>
        <w:t>国际物流”模式，推动国际贸易供应链企业聚集，依托东方嘉盛、复星国药等项目，拓展物流金融、咨询、大数据服务等商务服务延伸业态，推动进口商品展销、总部贸易、交易结算等总部业态集聚发展，提升物流业价值链。</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完善城乡配送物流体系。推进城乡配送服务标准化，打通城乡之间农产品双向流动“绿色快速通道”，推动冷链物流全链条发展，完善冷链设施层级和网络布局，满足城市居民</w:t>
      </w:r>
      <w:r>
        <w:rPr>
          <w:rFonts w:ascii="方正仿宋_GBK" w:hAnsi="方正仿宋_GBK" w:eastAsia="方正仿宋_GBK" w:cs="方正仿宋_GBK"/>
          <w:sz w:val="32"/>
          <w:szCs w:val="32"/>
        </w:rPr>
        <w:t>2</w:t>
      </w:r>
      <w:r>
        <w:rPr>
          <w:rFonts w:hint="eastAsia" w:ascii="方正仿宋_GBK" w:hAnsi="方正仿宋_GBK" w:eastAsia="方正仿宋_GBK" w:cs="方正仿宋_GBK"/>
          <w:sz w:val="32"/>
          <w:szCs w:val="32"/>
        </w:rPr>
        <w:t>公里以内、农村居民</w:t>
      </w:r>
      <w:r>
        <w:rPr>
          <w:rFonts w:ascii="方正仿宋_GBK" w:hAnsi="方正仿宋_GBK" w:eastAsia="方正仿宋_GBK" w:cs="方正仿宋_GBK"/>
          <w:sz w:val="32"/>
          <w:szCs w:val="32"/>
        </w:rPr>
        <w:t>5</w:t>
      </w:r>
      <w:r>
        <w:rPr>
          <w:rFonts w:hint="eastAsia" w:ascii="方正仿宋_GBK" w:hAnsi="方正仿宋_GBK" w:eastAsia="方正仿宋_GBK" w:cs="方正仿宋_GBK"/>
          <w:sz w:val="32"/>
          <w:szCs w:val="32"/>
        </w:rPr>
        <w:t>公里以内采购冷鲜食品商品需求。</w:t>
      </w:r>
    </w:p>
    <w:p>
      <w:pPr>
        <w:widowControl/>
        <w:ind w:firstLine="320" w:firstLineChars="100"/>
        <w:jc w:val="center"/>
        <w:rPr>
          <w:rFonts w:ascii="方正黑体_GBK" w:hAnsi="方正黑体_GBK" w:eastAsia="方正黑体_GBK" w:cs="方正黑体_GBK"/>
          <w:smallCaps/>
          <w:kern w:val="0"/>
          <w:sz w:val="32"/>
          <w:szCs w:val="32"/>
        </w:rPr>
      </w:pPr>
      <w:r>
        <w:rPr>
          <w:rFonts w:hint="eastAsia" w:ascii="方正黑体_GBK" w:hAnsi="方正黑体_GBK" w:eastAsia="方正黑体_GBK" w:cs="方正黑体_GBK"/>
          <w:smallCaps/>
          <w:kern w:val="0"/>
          <w:sz w:val="32"/>
          <w:szCs w:val="32"/>
        </w:rPr>
        <w:t>专栏</w:t>
      </w:r>
      <w:r>
        <w:rPr>
          <w:rFonts w:ascii="方正黑体_GBK" w:hAnsi="方正黑体_GBK" w:eastAsia="方正黑体_GBK" w:cs="方正黑体_GBK"/>
          <w:smallCaps/>
          <w:kern w:val="0"/>
          <w:sz w:val="32"/>
          <w:szCs w:val="32"/>
        </w:rPr>
        <w:t xml:space="preserve">4  </w:t>
      </w:r>
      <w:r>
        <w:rPr>
          <w:rFonts w:hint="eastAsia" w:ascii="方正黑体_GBK" w:hAnsi="方正黑体_GBK" w:eastAsia="方正黑体_GBK" w:cs="方正黑体_GBK"/>
          <w:smallCaps/>
          <w:kern w:val="0"/>
          <w:sz w:val="32"/>
          <w:szCs w:val="32"/>
        </w:rPr>
        <w:t>现代物流业发展重点</w:t>
      </w:r>
    </w:p>
    <w:tbl>
      <w:tblPr>
        <w:tblStyle w:val="32"/>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5" w:type="dxa"/>
          </w:tcPr>
          <w:p>
            <w:pPr>
              <w:widowControl/>
              <w:snapToGrid w:val="0"/>
              <w:spacing w:line="42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1</w:t>
            </w:r>
            <w:r>
              <w:rPr>
                <w:rFonts w:hint="eastAsia" w:ascii="方正黑体_GBK" w:hAnsi="方正黑体_GBK" w:eastAsia="方正黑体_GBK" w:cs="方正黑体_GBK"/>
                <w:sz w:val="24"/>
                <w:szCs w:val="24"/>
                <w:lang w:val="zh-CN"/>
              </w:rPr>
              <w:t>，</w:t>
            </w:r>
            <w:r>
              <w:rPr>
                <w:rFonts w:hint="eastAsia" w:ascii="方正黑体_GBK" w:hAnsi="方正黑体_GBK" w:eastAsia="方正黑体_GBK" w:cs="方正黑体_GBK"/>
                <w:sz w:val="24"/>
                <w:szCs w:val="24"/>
              </w:rPr>
              <w:t>推动国际航空物流园建设</w:t>
            </w:r>
          </w:p>
          <w:p>
            <w:pPr>
              <w:widowControl/>
              <w:snapToGrid w:val="0"/>
              <w:spacing w:line="420" w:lineRule="exact"/>
              <w:ind w:firstLine="480" w:firstLineChars="200"/>
              <w:rPr>
                <w:rFonts w:ascii="宋体" w:cs="宋体"/>
                <w:sz w:val="24"/>
                <w:szCs w:val="24"/>
              </w:rPr>
            </w:pPr>
            <w:r>
              <w:rPr>
                <w:rFonts w:hint="eastAsia" w:ascii="方正黑体_GBK" w:hAnsi="方正黑体_GBK" w:eastAsia="方正黑体_GBK" w:cs="方正黑体_GBK"/>
                <w:sz w:val="24"/>
                <w:szCs w:val="24"/>
              </w:rPr>
              <w:t>推进</w:t>
            </w:r>
            <w:r>
              <w:rPr>
                <w:rFonts w:hint="eastAsia" w:ascii="方正黑体_GBK" w:hAnsi="方正黑体_GBK" w:eastAsia="方正黑体_GBK" w:cs="方正黑体_GBK"/>
                <w:sz w:val="24"/>
                <w:szCs w:val="24"/>
                <w:lang w:val="zh-CN"/>
              </w:rPr>
              <w:t>四大功能平台</w:t>
            </w:r>
            <w:r>
              <w:rPr>
                <w:rFonts w:hint="eastAsia" w:ascii="方正黑体_GBK" w:hAnsi="方正黑体_GBK" w:eastAsia="方正黑体_GBK" w:cs="方正黑体_GBK"/>
                <w:sz w:val="24"/>
                <w:szCs w:val="24"/>
              </w:rPr>
              <w:t>建设。加快</w:t>
            </w:r>
            <w:r>
              <w:rPr>
                <w:rFonts w:hint="eastAsia" w:ascii="方正黑体_GBK" w:hAnsi="方正黑体_GBK" w:eastAsia="方正黑体_GBK" w:cs="方正黑体_GBK"/>
                <w:sz w:val="24"/>
                <w:szCs w:val="24"/>
                <w:lang w:val="zh-CN"/>
              </w:rPr>
              <w:t>机场航空物流园</w:t>
            </w:r>
            <w:r>
              <w:rPr>
                <w:rFonts w:hint="eastAsia" w:ascii="方正黑体_GBK" w:hAnsi="方正黑体_GBK" w:eastAsia="方正黑体_GBK" w:cs="方正黑体_GBK"/>
                <w:sz w:val="24"/>
                <w:szCs w:val="24"/>
              </w:rPr>
              <w:t>建设。</w:t>
            </w:r>
            <w:r>
              <w:rPr>
                <w:rFonts w:hint="eastAsia" w:ascii="宋体" w:hAnsi="宋体" w:cs="宋体"/>
                <w:sz w:val="24"/>
                <w:szCs w:val="24"/>
              </w:rPr>
              <w:t>引进基地航空公司，引入专业化航空物流企业设立基地，加快中国国际货运航空公司、顺丰速运等项目建设，推进航空物流分拨中心建设，提升航空货运中转集散能力。</w:t>
            </w:r>
            <w:r>
              <w:rPr>
                <w:rFonts w:hint="eastAsia" w:ascii="方正黑体_GBK" w:hAnsi="方正黑体_GBK" w:eastAsia="方正黑体_GBK" w:cs="方正黑体_GBK"/>
                <w:sz w:val="24"/>
                <w:szCs w:val="24"/>
                <w:lang w:val="zh-CN"/>
              </w:rPr>
              <w:t>高标准打造中新航空产业园。</w:t>
            </w:r>
            <w:r>
              <w:rPr>
                <w:rFonts w:hint="eastAsia" w:ascii="宋体" w:hAnsi="宋体" w:cs="宋体"/>
                <w:sz w:val="24"/>
                <w:szCs w:val="24"/>
              </w:rPr>
              <w:t>支持新加坡航空公司与国内航空公司合资设立基地公司，加快推动第三方飞机维修中心建设，引入新加坡实里达航空产业园参与运营管理。</w:t>
            </w:r>
            <w:r>
              <w:rPr>
                <w:rFonts w:hint="eastAsia" w:ascii="方正黑体_GBK" w:hAnsi="方正黑体_GBK" w:eastAsia="方正黑体_GBK" w:cs="方正黑体_GBK"/>
                <w:sz w:val="24"/>
                <w:szCs w:val="24"/>
              </w:rPr>
              <w:t>加速建设</w:t>
            </w:r>
            <w:r>
              <w:rPr>
                <w:rFonts w:hint="eastAsia" w:ascii="方正黑体_GBK" w:hAnsi="方正黑体_GBK" w:eastAsia="方正黑体_GBK" w:cs="方正黑体_GBK"/>
                <w:sz w:val="24"/>
                <w:szCs w:val="24"/>
                <w:lang w:val="zh-CN"/>
              </w:rPr>
              <w:t>木耳物流园。</w:t>
            </w:r>
            <w:r>
              <w:rPr>
                <w:rFonts w:hint="eastAsia" w:ascii="宋体" w:hAnsi="宋体" w:cs="宋体"/>
                <w:sz w:val="24"/>
                <w:szCs w:val="24"/>
              </w:rPr>
              <w:t>集聚发展航空货运、快件快递、智能配送等</w:t>
            </w:r>
            <w:r>
              <w:rPr>
                <w:rFonts w:hint="eastAsia" w:ascii="宋体" w:hAnsi="宋体" w:cs="宋体"/>
                <w:sz w:val="24"/>
                <w:szCs w:val="24"/>
                <w:lang w:val="zh-CN"/>
              </w:rPr>
              <w:t>。</w:t>
            </w:r>
            <w:r>
              <w:rPr>
                <w:rFonts w:hint="eastAsia" w:ascii="宋体" w:hAnsi="宋体" w:cs="宋体"/>
                <w:sz w:val="24"/>
                <w:szCs w:val="24"/>
              </w:rPr>
              <w:t>重点发展铁空公多式联运、区域分拨、城市配送、冷链配送、快货运输等物流功能。</w:t>
            </w:r>
            <w:r>
              <w:rPr>
                <w:rFonts w:hint="eastAsia" w:ascii="方正黑体_GBK" w:hAnsi="方正黑体_GBK" w:eastAsia="方正黑体_GBK" w:cs="方正黑体_GBK"/>
                <w:sz w:val="24"/>
                <w:szCs w:val="24"/>
              </w:rPr>
              <w:t>做强</w:t>
            </w:r>
            <w:r>
              <w:rPr>
                <w:rFonts w:hint="eastAsia" w:ascii="方正黑体_GBK" w:hAnsi="方正黑体_GBK" w:eastAsia="方正黑体_GBK" w:cs="方正黑体_GBK"/>
                <w:sz w:val="24"/>
                <w:szCs w:val="24"/>
                <w:lang w:val="zh-CN"/>
              </w:rPr>
              <w:t>保税港区商贸物流园。</w:t>
            </w:r>
            <w:r>
              <w:rPr>
                <w:rFonts w:hint="eastAsia" w:ascii="宋体" w:hAnsi="宋体" w:cs="宋体"/>
                <w:sz w:val="24"/>
                <w:szCs w:val="24"/>
              </w:rPr>
              <w:t>提升</w:t>
            </w:r>
            <w:r>
              <w:rPr>
                <w:rFonts w:hint="eastAsia" w:ascii="宋体" w:hAnsi="宋体" w:cs="宋体"/>
                <w:sz w:val="24"/>
                <w:szCs w:val="24"/>
                <w:lang w:val="zh-CN"/>
              </w:rPr>
              <w:t>跨境物流、保税物流、国际货代物流等，探索基于跨境电商物流服务网络的全球供应链一体化业务，</w:t>
            </w:r>
            <w:r>
              <w:rPr>
                <w:rFonts w:hint="eastAsia" w:ascii="宋体" w:hAnsi="宋体" w:cs="宋体"/>
                <w:sz w:val="24"/>
                <w:szCs w:val="24"/>
              </w:rPr>
              <w:t>推进航空航材供应链、进口医药和器材供应链、跨境电商、物流分拨、快件分拣、城市配送等。</w:t>
            </w:r>
          </w:p>
          <w:p>
            <w:pPr>
              <w:widowControl/>
              <w:snapToGrid w:val="0"/>
              <w:spacing w:line="420" w:lineRule="exact"/>
              <w:rPr>
                <w:rFonts w:ascii="宋体" w:cs="宋体"/>
                <w:sz w:val="24"/>
                <w:szCs w:val="24"/>
              </w:rPr>
            </w:pPr>
            <w:r>
              <w:rPr>
                <w:rFonts w:ascii="方正黑体_GBK" w:hAnsi="方正黑体_GBK" w:eastAsia="方正黑体_GBK" w:cs="方正黑体_GBK"/>
                <w:sz w:val="24"/>
                <w:szCs w:val="24"/>
              </w:rPr>
              <w:t>2.</w:t>
            </w:r>
            <w:r>
              <w:rPr>
                <w:rFonts w:hint="eastAsia" w:ascii="方正黑体_GBK" w:hAnsi="方正黑体_GBK" w:eastAsia="方正黑体_GBK" w:cs="方正黑体_GBK"/>
                <w:sz w:val="24"/>
                <w:szCs w:val="24"/>
              </w:rPr>
              <w:t>加强物流供应链运营管理</w:t>
            </w:r>
          </w:p>
          <w:p>
            <w:pPr>
              <w:widowControl/>
              <w:snapToGrid w:val="0"/>
              <w:spacing w:line="420" w:lineRule="exact"/>
              <w:ind w:firstLine="480" w:firstLineChars="200"/>
              <w:rPr>
                <w:rFonts w:ascii="宋体" w:cs="宋体"/>
                <w:sz w:val="24"/>
                <w:szCs w:val="24"/>
              </w:rPr>
            </w:pPr>
            <w:r>
              <w:rPr>
                <w:rFonts w:hint="eastAsia" w:ascii="宋体" w:hAnsi="宋体" w:cs="宋体"/>
                <w:sz w:val="24"/>
                <w:szCs w:val="24"/>
              </w:rPr>
              <w:t>整合航空物流资源，组建跨区域通道运营平台公司，建立集物流信息共享、在线运输服务、结算等于一体的航空物流综合服务平台。支持物流企业与制造企业、商贸企业协同共建供应链，培育一批具有全球竞争力的物流供应链创新企业，增强国际中转、国际采购、国际配送、转口贸易等功能。</w:t>
            </w:r>
          </w:p>
          <w:p>
            <w:pPr>
              <w:widowControl/>
              <w:snapToGrid w:val="0"/>
              <w:spacing w:line="42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3.</w:t>
            </w:r>
            <w:r>
              <w:rPr>
                <w:rFonts w:hint="eastAsia" w:ascii="方正黑体_GBK" w:hAnsi="方正黑体_GBK" w:eastAsia="方正黑体_GBK" w:cs="方正黑体_GBK"/>
                <w:sz w:val="24"/>
                <w:szCs w:val="24"/>
              </w:rPr>
              <w:t>加快发展智慧物流</w:t>
            </w:r>
          </w:p>
          <w:p>
            <w:pPr>
              <w:widowControl/>
              <w:snapToGrid w:val="0"/>
              <w:spacing w:line="420" w:lineRule="exact"/>
              <w:ind w:firstLine="480" w:firstLineChars="200"/>
              <w:rPr>
                <w:rFonts w:ascii="宋体" w:cs="宋体"/>
                <w:sz w:val="24"/>
                <w:szCs w:val="24"/>
              </w:rPr>
            </w:pPr>
            <w:r>
              <w:rPr>
                <w:rFonts w:hint="eastAsia" w:ascii="宋体" w:hAnsi="宋体" w:cs="宋体"/>
                <w:sz w:val="24"/>
                <w:szCs w:val="24"/>
              </w:rPr>
              <w:t>推进物流产业信息化、智能化改造，加强信息技术的运用，建设一批物流公共信息平台，</w:t>
            </w:r>
            <w:r>
              <w:rPr>
                <w:rFonts w:hint="eastAsia" w:ascii="宋体" w:hAnsi="宋体" w:cs="宋体"/>
                <w:sz w:val="24"/>
                <w:szCs w:val="24"/>
                <w:lang w:val="zh-CN"/>
              </w:rPr>
              <w:t>逐步推进既有仓储等物流设施智能化和“无人化”改造，拟建航空智能分拨中心，</w:t>
            </w:r>
            <w:r>
              <w:rPr>
                <w:rFonts w:hint="eastAsia" w:ascii="宋体" w:hAnsi="宋体" w:cs="宋体"/>
                <w:sz w:val="24"/>
                <w:szCs w:val="24"/>
              </w:rPr>
              <w:t>聚焦智能仓储、物流集成服务等领域，重点打造能满足小件、高频次、精细化、时效强的国际快件和电商物流等需求的智慧物流体系，提高物流效率。</w:t>
            </w:r>
          </w:p>
          <w:p>
            <w:pPr>
              <w:widowControl/>
              <w:snapToGrid w:val="0"/>
              <w:spacing w:line="42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4.</w:t>
            </w:r>
            <w:r>
              <w:rPr>
                <w:rFonts w:hint="eastAsia" w:ascii="方正黑体_GBK" w:hAnsi="方正黑体_GBK" w:eastAsia="方正黑体_GBK" w:cs="方正黑体_GBK"/>
                <w:sz w:val="24"/>
                <w:szCs w:val="24"/>
              </w:rPr>
              <w:t>加强全球领先物流企业布局发展</w:t>
            </w:r>
          </w:p>
          <w:p>
            <w:pPr>
              <w:widowControl/>
              <w:snapToGrid w:val="0"/>
              <w:spacing w:line="420" w:lineRule="exact"/>
              <w:ind w:firstLine="480" w:firstLineChars="200"/>
            </w:pPr>
            <w:r>
              <w:rPr>
                <w:rFonts w:hint="eastAsia" w:ascii="宋体" w:hAnsi="宋体" w:cs="宋体"/>
                <w:sz w:val="24"/>
                <w:szCs w:val="24"/>
              </w:rPr>
              <w:t>推进重庆市快件集散中心项目、复星国药西南医药温控枢纽项目、圆通速递西南管理区（重庆）总部基地项目、中远海运空运重庆物流项目、中通智慧电商物流园项目、重庆东方嘉盛一带一路供应链协同平台等重点物流项目建设，加快布局发展联合包裹（</w:t>
            </w:r>
            <w:r>
              <w:rPr>
                <w:rFonts w:ascii="宋体" w:hAnsi="宋体" w:cs="宋体"/>
                <w:sz w:val="24"/>
                <w:szCs w:val="24"/>
              </w:rPr>
              <w:t>UPS</w:t>
            </w:r>
            <w:r>
              <w:rPr>
                <w:rFonts w:hint="eastAsia" w:ascii="宋体" w:hAnsi="宋体" w:cs="宋体"/>
                <w:sz w:val="24"/>
                <w:szCs w:val="24"/>
              </w:rPr>
              <w:t>）、联邦快递（</w:t>
            </w:r>
            <w:r>
              <w:rPr>
                <w:rFonts w:ascii="宋体" w:hAnsi="宋体" w:cs="宋体"/>
                <w:sz w:val="24"/>
                <w:szCs w:val="24"/>
              </w:rPr>
              <w:t>FedEx</w:t>
            </w:r>
            <w:r>
              <w:rPr>
                <w:rFonts w:hint="eastAsia" w:ascii="宋体" w:hAnsi="宋体" w:cs="宋体"/>
                <w:sz w:val="24"/>
                <w:szCs w:val="24"/>
              </w:rPr>
              <w:t>）等航空快件快运企业；英特集团、希杰荣庆冷链等冷链物流；华夏航空全产业链飞机维修、保税航材仓储分拨中心等临空航材项目；日本日通物流、美国莱德物流等保税物流项目。</w:t>
            </w:r>
          </w:p>
        </w:tc>
      </w:tr>
    </w:tbl>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59" w:name="_Toc6676"/>
      <w:r>
        <w:rPr>
          <w:rFonts w:hint="eastAsia" w:ascii="方正楷体_GBK" w:hAnsi="方正楷体_GBK" w:eastAsia="方正楷体_GBK" w:cs="方正楷体_GBK"/>
          <w:kern w:val="0"/>
          <w:sz w:val="32"/>
          <w:szCs w:val="32"/>
        </w:rPr>
        <w:t>第三节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做优软件和信息服务业</w:t>
      </w:r>
      <w:bookmarkEnd w:id="55"/>
      <w:bookmarkEnd w:id="59"/>
      <w:bookmarkStart w:id="60" w:name="_Toc12011"/>
    </w:p>
    <w:p>
      <w:pPr>
        <w:spacing w:line="560" w:lineRule="exact"/>
        <w:ind w:firstLine="640" w:firstLineChars="200"/>
        <w:rPr>
          <w:rFonts w:eastAsia="方正仿宋_GBK"/>
          <w:sz w:val="32"/>
          <w:szCs w:val="32"/>
        </w:rPr>
      </w:pPr>
      <w:r>
        <w:rPr>
          <w:rFonts w:hint="eastAsia" w:eastAsia="方正仿宋_GBK"/>
          <w:sz w:val="32"/>
          <w:szCs w:val="32"/>
        </w:rPr>
        <w:t>围绕全市建设国家数字经济创新发展试验区和“智慧名城”、创建中国软件名城契机，加强数字技术创新与融合应用，完善“龙头企业</w:t>
      </w:r>
      <w:r>
        <w:rPr>
          <w:rFonts w:eastAsia="方正仿宋_GBK"/>
          <w:sz w:val="32"/>
          <w:szCs w:val="32"/>
        </w:rPr>
        <w:t>+</w:t>
      </w:r>
      <w:r>
        <w:rPr>
          <w:rFonts w:hint="eastAsia" w:eastAsia="方正仿宋_GBK"/>
          <w:sz w:val="32"/>
          <w:szCs w:val="32"/>
        </w:rPr>
        <w:t>公共平台</w:t>
      </w:r>
      <w:r>
        <w:rPr>
          <w:rFonts w:eastAsia="方正仿宋_GBK"/>
          <w:sz w:val="32"/>
          <w:szCs w:val="32"/>
        </w:rPr>
        <w:t>+</w:t>
      </w:r>
      <w:r>
        <w:rPr>
          <w:rFonts w:hint="eastAsia" w:eastAsia="方正仿宋_GBK"/>
          <w:sz w:val="32"/>
          <w:szCs w:val="32"/>
        </w:rPr>
        <w:t>产业应用</w:t>
      </w:r>
      <w:r>
        <w:rPr>
          <w:rFonts w:eastAsia="方正仿宋_GBK"/>
          <w:sz w:val="32"/>
          <w:szCs w:val="32"/>
        </w:rPr>
        <w:t>+</w:t>
      </w:r>
      <w:r>
        <w:rPr>
          <w:rFonts w:hint="eastAsia" w:eastAsia="方正仿宋_GBK"/>
          <w:sz w:val="32"/>
          <w:szCs w:val="32"/>
        </w:rPr>
        <w:t>人才培养</w:t>
      </w:r>
      <w:r>
        <w:rPr>
          <w:rFonts w:eastAsia="方正仿宋_GBK"/>
          <w:sz w:val="32"/>
          <w:szCs w:val="32"/>
        </w:rPr>
        <w:t>+</w:t>
      </w:r>
      <w:r>
        <w:rPr>
          <w:rFonts w:hint="eastAsia" w:eastAsia="方正仿宋_GBK"/>
          <w:sz w:val="32"/>
          <w:szCs w:val="32"/>
        </w:rPr>
        <w:t>创新孵化”的软件产业生态，培育龙头型、成长型、创新型软件企业，加快建设软件名区和软件名园。到</w:t>
      </w:r>
      <w:r>
        <w:rPr>
          <w:rFonts w:eastAsia="方正仿宋_GBK"/>
          <w:sz w:val="32"/>
          <w:szCs w:val="32"/>
        </w:rPr>
        <w:t>2025</w:t>
      </w:r>
      <w:r>
        <w:rPr>
          <w:rFonts w:hint="eastAsia" w:eastAsia="方正仿宋_GBK"/>
          <w:sz w:val="32"/>
          <w:szCs w:val="32"/>
        </w:rPr>
        <w:t>年，</w:t>
      </w:r>
      <w:bookmarkStart w:id="61" w:name="_Hlk15608206"/>
      <w:r>
        <w:rPr>
          <w:rFonts w:hint="eastAsia" w:eastAsia="方正仿宋_GBK"/>
          <w:sz w:val="32"/>
          <w:szCs w:val="32"/>
        </w:rPr>
        <w:t>培育</w:t>
      </w:r>
      <w:r>
        <w:rPr>
          <w:rFonts w:eastAsia="方正仿宋_GBK"/>
          <w:sz w:val="32"/>
          <w:szCs w:val="32"/>
        </w:rPr>
        <w:t>10</w:t>
      </w:r>
      <w:r>
        <w:rPr>
          <w:rFonts w:hint="eastAsia" w:eastAsia="方正仿宋_GBK"/>
          <w:sz w:val="32"/>
          <w:szCs w:val="32"/>
        </w:rPr>
        <w:t>亿级企业</w:t>
      </w:r>
      <w:r>
        <w:rPr>
          <w:rFonts w:eastAsia="方正仿宋_GBK"/>
          <w:sz w:val="32"/>
          <w:szCs w:val="32"/>
        </w:rPr>
        <w:t>10</w:t>
      </w:r>
      <w:r>
        <w:rPr>
          <w:rFonts w:hint="eastAsia" w:eastAsia="方正仿宋_GBK"/>
          <w:sz w:val="32"/>
          <w:szCs w:val="32"/>
        </w:rPr>
        <w:t>家，</w:t>
      </w:r>
      <w:r>
        <w:rPr>
          <w:rFonts w:eastAsia="方正仿宋_GBK"/>
          <w:sz w:val="32"/>
          <w:szCs w:val="32"/>
        </w:rPr>
        <w:t>50</w:t>
      </w:r>
      <w:r>
        <w:rPr>
          <w:rFonts w:hint="eastAsia" w:eastAsia="方正仿宋_GBK"/>
          <w:sz w:val="32"/>
          <w:szCs w:val="32"/>
        </w:rPr>
        <w:t>亿级企业</w:t>
      </w:r>
      <w:r>
        <w:rPr>
          <w:rFonts w:eastAsia="方正仿宋_GBK"/>
          <w:sz w:val="32"/>
          <w:szCs w:val="32"/>
        </w:rPr>
        <w:t>5</w:t>
      </w:r>
      <w:r>
        <w:rPr>
          <w:rFonts w:hint="eastAsia" w:eastAsia="方正仿宋_GBK"/>
          <w:sz w:val="32"/>
          <w:szCs w:val="32"/>
        </w:rPr>
        <w:t>家，</w:t>
      </w:r>
      <w:r>
        <w:rPr>
          <w:rFonts w:eastAsia="方正仿宋_GBK"/>
          <w:sz w:val="32"/>
          <w:szCs w:val="32"/>
        </w:rPr>
        <w:t>100</w:t>
      </w:r>
      <w:r>
        <w:rPr>
          <w:rFonts w:hint="eastAsia" w:eastAsia="方正仿宋_GBK"/>
          <w:sz w:val="32"/>
          <w:szCs w:val="32"/>
        </w:rPr>
        <w:t>亿级企业</w:t>
      </w:r>
      <w:r>
        <w:rPr>
          <w:rFonts w:eastAsia="方正仿宋_GBK"/>
          <w:sz w:val="32"/>
          <w:szCs w:val="32"/>
        </w:rPr>
        <w:t>1</w:t>
      </w:r>
      <w:r>
        <w:rPr>
          <w:rFonts w:hint="eastAsia" w:eastAsia="方正仿宋_GBK"/>
          <w:sz w:val="32"/>
          <w:szCs w:val="32"/>
        </w:rPr>
        <w:t>家，全区软件和信息服务业营业收入达到</w:t>
      </w:r>
      <w:r>
        <w:rPr>
          <w:rFonts w:eastAsia="方正仿宋_GBK"/>
          <w:sz w:val="32"/>
          <w:szCs w:val="32"/>
        </w:rPr>
        <w:t>500</w:t>
      </w:r>
      <w:r>
        <w:rPr>
          <w:rFonts w:hint="eastAsia" w:eastAsia="方正仿宋_GBK"/>
          <w:sz w:val="32"/>
          <w:szCs w:val="32"/>
        </w:rPr>
        <w:t>亿</w:t>
      </w:r>
      <w:bookmarkEnd w:id="61"/>
      <w:r>
        <w:rPr>
          <w:rFonts w:hint="eastAsia" w:eastAsia="方正仿宋_GBK"/>
          <w:sz w:val="32"/>
          <w:szCs w:val="32"/>
        </w:rPr>
        <w:t>元，建成国家数字经济创新发展试验区核心区、西部乃至全国的数字经济创新发展引领区。</w:t>
      </w:r>
    </w:p>
    <w:p>
      <w:pPr>
        <w:spacing w:line="560" w:lineRule="exact"/>
        <w:ind w:firstLine="640" w:firstLineChars="200"/>
        <w:rPr>
          <w:rFonts w:eastAsia="方正仿宋_GBK"/>
          <w:sz w:val="32"/>
          <w:szCs w:val="32"/>
        </w:rPr>
      </w:pPr>
      <w:r>
        <w:rPr>
          <w:rFonts w:hint="eastAsia" w:eastAsia="方正仿宋_GBK"/>
          <w:sz w:val="32"/>
          <w:szCs w:val="32"/>
        </w:rPr>
        <w:t>完善软件和信息服务创新体系。围绕工业软件、信息安全软件、基础软件、行业应用软件、新兴技术软件、信息技术服务等重点方向，壮大产业规模。加快核心技术研发，聚集“芯屏器核网”全产业链价值提升，围绕新能源、新材料、汽车、电子信息等重点领域，壮大工业软件产业，发展集成电路设计、新型显示模组、智能终端应用、物联网应用等平台软件、行业应用软件和嵌入式软件。聚焦“云联数算用”智慧名城建设，面向教育医疗、交通物流等领域，加强智能化软件技术的融合应用。加快发展信息技术服务，培育面向电子商务、金融科技等领域的服务平台和解决方案。</w:t>
      </w:r>
    </w:p>
    <w:p>
      <w:pPr>
        <w:spacing w:line="560" w:lineRule="exact"/>
        <w:ind w:firstLine="640" w:firstLineChars="200"/>
        <w:rPr>
          <w:rFonts w:eastAsia="方正仿宋_GBK"/>
          <w:sz w:val="32"/>
          <w:szCs w:val="32"/>
        </w:rPr>
      </w:pPr>
      <w:r>
        <w:rPr>
          <w:rFonts w:hint="eastAsia" w:eastAsia="方正仿宋_GBK"/>
          <w:sz w:val="32"/>
          <w:szCs w:val="32"/>
        </w:rPr>
        <w:t>培育信息服务新业态。依托前沿科技城，加快发展物联网产业。以物联网终端、操作系统和云平台一体化为突破口，整合产业链上下游，加快建设硬件制造、系统集成、运营服务“三位一体”的物联网产业链条。加快区块链等新兴技术研发和应用，大力发展</w:t>
      </w:r>
      <w:r>
        <w:rPr>
          <w:rFonts w:eastAsia="方正仿宋_GBK"/>
          <w:sz w:val="32"/>
          <w:szCs w:val="32"/>
        </w:rPr>
        <w:t>BaaS</w:t>
      </w:r>
      <w:r>
        <w:rPr>
          <w:rFonts w:hint="eastAsia" w:eastAsia="方正仿宋_GBK"/>
          <w:sz w:val="32"/>
          <w:szCs w:val="32"/>
        </w:rPr>
        <w:t>（区块链即服务），推动区块链技术在数据确权、智能制造、金融保险、知识产权保护等领域的融合应用。</w:t>
      </w:r>
    </w:p>
    <w:p>
      <w:pPr>
        <w:spacing w:line="560" w:lineRule="exact"/>
        <w:ind w:firstLine="640" w:firstLineChars="200"/>
        <w:rPr>
          <w:rFonts w:eastAsia="方正仿宋_GBK"/>
          <w:sz w:val="32"/>
          <w:szCs w:val="32"/>
        </w:rPr>
      </w:pPr>
      <w:r>
        <w:rPr>
          <w:rFonts w:hint="eastAsia" w:eastAsia="方正仿宋_GBK"/>
          <w:sz w:val="32"/>
          <w:szCs w:val="32"/>
        </w:rPr>
        <w:t>推动软件新技术产业化。开展工业软件应用示范试点，实现工业软件、工控软件方向突破。加强工业互联网标识解析核心节点建设，建设一批综合型、行业型、专业型、特色型工业互联网平台，培育</w:t>
      </w:r>
      <w:r>
        <w:rPr>
          <w:rFonts w:eastAsia="方正仿宋_GBK"/>
          <w:sz w:val="32"/>
          <w:szCs w:val="32"/>
        </w:rPr>
        <w:t>1-2</w:t>
      </w:r>
      <w:r>
        <w:rPr>
          <w:rFonts w:hint="eastAsia" w:eastAsia="方正仿宋_GBK"/>
          <w:sz w:val="32"/>
          <w:szCs w:val="32"/>
        </w:rPr>
        <w:t>个在全国有影响力的工业互联网平台。加快培育一批服务业互联网平台体系，在协同办公、产品采购、智慧生活等细分领域打造一批国内领先的平台。加快面向不同场景的云化软件的开发和应用，用好华为软件开发云平台，拓展</w:t>
      </w:r>
      <w:r>
        <w:rPr>
          <w:rFonts w:eastAsia="方正仿宋_GBK"/>
          <w:sz w:val="32"/>
          <w:szCs w:val="32"/>
        </w:rPr>
        <w:t>5G</w:t>
      </w:r>
      <w:r>
        <w:rPr>
          <w:rFonts w:hint="eastAsia" w:eastAsia="方正仿宋_GBK"/>
          <w:sz w:val="32"/>
          <w:szCs w:val="32"/>
        </w:rPr>
        <w:t>应用市场，争创全市</w:t>
      </w:r>
      <w:r>
        <w:rPr>
          <w:rFonts w:eastAsia="方正仿宋_GBK"/>
          <w:sz w:val="32"/>
          <w:szCs w:val="32"/>
        </w:rPr>
        <w:t>5G</w:t>
      </w:r>
      <w:r>
        <w:rPr>
          <w:rFonts w:hint="eastAsia" w:eastAsia="方正仿宋_GBK"/>
          <w:sz w:val="32"/>
          <w:szCs w:val="32"/>
        </w:rPr>
        <w:t>融合应用样板区。</w:t>
      </w:r>
    </w:p>
    <w:p>
      <w:pPr>
        <w:spacing w:line="560" w:lineRule="exact"/>
        <w:ind w:firstLine="640" w:firstLineChars="200"/>
        <w:rPr>
          <w:rFonts w:eastAsia="方正仿宋_GBK"/>
          <w:sz w:val="32"/>
          <w:szCs w:val="32"/>
        </w:rPr>
      </w:pPr>
      <w:r>
        <w:rPr>
          <w:rFonts w:hint="eastAsia" w:eastAsia="方正仿宋_GBK"/>
          <w:sz w:val="32"/>
          <w:szCs w:val="32"/>
        </w:rPr>
        <w:t>协同共建提升产业能级。加强与国家信息中心等合作，协同两江数字经济产业园发展，落实国家一体化大数据中心建设试点任务，推进国家重大项目的对接和落地。建设“区域超算中心”，发展先进计算。加快建立产业创新联盟，强化与天府软件园协同合作，推进长安全球软件中心、中关村信息谷协同创新中心、集成电路工程中心等重点项目建设，占领信息产业制高点。</w:t>
      </w:r>
    </w:p>
    <w:p>
      <w:pPr>
        <w:widowControl/>
        <w:ind w:firstLine="320" w:firstLineChars="100"/>
        <w:jc w:val="center"/>
        <w:rPr>
          <w:rFonts w:ascii="方正黑体_GBK" w:hAnsi="方正黑体_GBK" w:eastAsia="方正黑体_GBK" w:cs="方正黑体_GBK"/>
          <w:smallCaps/>
          <w:kern w:val="0"/>
          <w:sz w:val="32"/>
          <w:szCs w:val="32"/>
        </w:rPr>
      </w:pPr>
      <w:r>
        <w:rPr>
          <w:rFonts w:hint="eastAsia" w:ascii="方正黑体_GBK" w:hAnsi="方正黑体_GBK" w:eastAsia="方正黑体_GBK" w:cs="方正黑体_GBK"/>
          <w:smallCaps/>
          <w:kern w:val="0"/>
          <w:sz w:val="32"/>
          <w:szCs w:val="32"/>
        </w:rPr>
        <w:t>专栏</w:t>
      </w:r>
      <w:r>
        <w:rPr>
          <w:rFonts w:ascii="方正黑体_GBK" w:hAnsi="方正黑体_GBK" w:eastAsia="方正黑体_GBK" w:cs="方正黑体_GBK"/>
          <w:smallCaps/>
          <w:kern w:val="0"/>
          <w:sz w:val="32"/>
          <w:szCs w:val="32"/>
        </w:rPr>
        <w:t xml:space="preserve">5  </w:t>
      </w:r>
      <w:r>
        <w:rPr>
          <w:rFonts w:hint="eastAsia" w:ascii="方正黑体_GBK" w:hAnsi="方正黑体_GBK" w:eastAsia="方正黑体_GBK" w:cs="方正黑体_GBK"/>
          <w:smallCaps/>
          <w:kern w:val="0"/>
          <w:sz w:val="32"/>
          <w:szCs w:val="32"/>
        </w:rPr>
        <w:t>软件与信息服务业发展重点</w:t>
      </w:r>
    </w:p>
    <w:tbl>
      <w:tblPr>
        <w:tblStyle w:val="32"/>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5" w:type="dxa"/>
          </w:tcPr>
          <w:p>
            <w:pPr>
              <w:widowControl/>
              <w:snapToGrid w:val="0"/>
              <w:spacing w:line="42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1.</w:t>
            </w:r>
            <w:r>
              <w:rPr>
                <w:rFonts w:hint="eastAsia" w:ascii="方正黑体_GBK" w:hAnsi="方正黑体_GBK" w:eastAsia="方正黑体_GBK" w:cs="方正黑体_GBK"/>
                <w:sz w:val="24"/>
                <w:szCs w:val="24"/>
              </w:rPr>
              <w:t>加快以仙桃数据谷为核心的“一核多区”软件信息服务要素集聚</w:t>
            </w:r>
          </w:p>
          <w:p>
            <w:pPr>
              <w:widowControl/>
              <w:snapToGrid w:val="0"/>
              <w:spacing w:line="420" w:lineRule="exact"/>
              <w:ind w:firstLine="480" w:firstLineChars="200"/>
              <w:rPr>
                <w:rFonts w:ascii="宋体" w:cs="宋体"/>
                <w:sz w:val="24"/>
                <w:szCs w:val="24"/>
              </w:rPr>
            </w:pPr>
            <w:r>
              <w:rPr>
                <w:rFonts w:hint="eastAsia" w:ascii="方正黑体_GBK" w:hAnsi="方正黑体_GBK" w:eastAsia="方正黑体_GBK" w:cs="方正黑体_GBK"/>
                <w:sz w:val="24"/>
                <w:szCs w:val="24"/>
              </w:rPr>
              <w:t>持续打造仙桃数据谷。</w:t>
            </w:r>
            <w:r>
              <w:rPr>
                <w:rFonts w:hint="eastAsia" w:ascii="宋体" w:hAnsi="宋体" w:cs="宋体"/>
                <w:sz w:val="24"/>
                <w:szCs w:val="24"/>
              </w:rPr>
              <w:t>大力发展大数据、云计算、人工智能、汽车软件等产业，持续打造中新互联互通示范项目信息通信技术领域合作示范点、汽车软件产业基地、集成电路设计产业园、国产软件创新基地，建设面向全球的软件交付中心，创建中国软件名园，打造中国大数据产业生态谷。</w:t>
            </w:r>
            <w:r>
              <w:rPr>
                <w:rFonts w:hint="eastAsia" w:ascii="方正黑体_GBK" w:hAnsi="方正黑体_GBK" w:eastAsia="方正黑体_GBK" w:cs="方正黑体_GBK"/>
                <w:sz w:val="24"/>
                <w:szCs w:val="24"/>
              </w:rPr>
              <w:t>打造空港新城软件信息服务新高地</w:t>
            </w:r>
            <w:r>
              <w:rPr>
                <w:rFonts w:hint="eastAsia" w:ascii="宋体" w:hAnsi="宋体" w:cs="宋体"/>
                <w:sz w:val="24"/>
                <w:szCs w:val="24"/>
              </w:rPr>
              <w:t>。联动两江国际商务中心，高标准规划打造仙桃软件园，引入信息服务行业重点企业，打造软件信息服务企业汇聚地。</w:t>
            </w:r>
            <w:r>
              <w:rPr>
                <w:rFonts w:hint="eastAsia" w:ascii="方正黑体_GBK" w:hAnsi="方正黑体_GBK" w:eastAsia="方正黑体_GBK" w:cs="方正黑体_GBK"/>
                <w:sz w:val="24"/>
                <w:szCs w:val="24"/>
              </w:rPr>
              <w:t>打造创新经济走廊产业升级改造示范先行区。</w:t>
            </w:r>
            <w:r>
              <w:rPr>
                <w:rFonts w:hint="eastAsia" w:ascii="宋体" w:hAnsi="宋体" w:cs="宋体"/>
                <w:sz w:val="24"/>
                <w:szCs w:val="24"/>
              </w:rPr>
              <w:t>重点引进工业软件、工业互联网软件、智能制造系统软件等，联动现代消费走廊和前沿科技城智能终端集群，发展创意设计、数字内容、电竞游戏产业。支持重庆创意公园、重庆数字创意产业园、重庆游戏产业园建设。</w:t>
            </w:r>
            <w:r>
              <w:rPr>
                <w:rFonts w:hint="eastAsia" w:ascii="方正黑体_GBK" w:hAnsi="方正黑体_GBK" w:eastAsia="方正黑体_GBK" w:cs="方正黑体_GBK"/>
                <w:sz w:val="24"/>
                <w:szCs w:val="24"/>
              </w:rPr>
              <w:t>打造“三龙”片区软件信息及互联网服务创新发展区。</w:t>
            </w:r>
            <w:r>
              <w:rPr>
                <w:rFonts w:hint="eastAsia" w:ascii="宋体" w:hAnsi="宋体" w:cs="宋体"/>
                <w:sz w:val="24"/>
                <w:szCs w:val="24"/>
              </w:rPr>
              <w:t>重点发展商务软件、互联网生活服务软件及平台、金融服务平台等，支持感知科技、漫调</w:t>
            </w:r>
            <w:r>
              <w:rPr>
                <w:rFonts w:ascii="宋体" w:hAnsi="宋体" w:cs="宋体"/>
                <w:sz w:val="24"/>
                <w:szCs w:val="24"/>
              </w:rPr>
              <w:t>e</w:t>
            </w:r>
            <w:r>
              <w:rPr>
                <w:rFonts w:hint="eastAsia" w:ascii="宋体" w:hAnsi="宋体" w:cs="宋体"/>
                <w:sz w:val="24"/>
                <w:szCs w:val="24"/>
              </w:rPr>
              <w:t>空间、威瑞空间等平台建设，培育“软件</w:t>
            </w:r>
            <w:r>
              <w:rPr>
                <w:rFonts w:ascii="宋体" w:hAnsi="宋体" w:cs="宋体"/>
                <w:sz w:val="24"/>
                <w:szCs w:val="24"/>
              </w:rPr>
              <w:t>+</w:t>
            </w:r>
            <w:r>
              <w:rPr>
                <w:rFonts w:hint="eastAsia" w:ascii="宋体" w:hAnsi="宋体" w:cs="宋体"/>
                <w:sz w:val="24"/>
                <w:szCs w:val="24"/>
              </w:rPr>
              <w:t>”“互联网</w:t>
            </w:r>
            <w:r>
              <w:rPr>
                <w:rFonts w:ascii="宋体" w:hAnsi="宋体" w:cs="宋体"/>
                <w:sz w:val="24"/>
                <w:szCs w:val="24"/>
              </w:rPr>
              <w:t>+</w:t>
            </w:r>
            <w:r>
              <w:rPr>
                <w:rFonts w:hint="eastAsia" w:ascii="宋体" w:hAnsi="宋体" w:cs="宋体"/>
                <w:sz w:val="24"/>
                <w:szCs w:val="24"/>
              </w:rPr>
              <w:t>”新业态、新模式，打造软件信息及互联网服务创新发展区。</w:t>
            </w:r>
          </w:p>
          <w:p>
            <w:pPr>
              <w:widowControl/>
              <w:snapToGrid w:val="0"/>
              <w:spacing w:line="42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2.</w:t>
            </w:r>
            <w:r>
              <w:rPr>
                <w:rFonts w:hint="eastAsia" w:ascii="方正黑体_GBK" w:hAnsi="方正黑体_GBK" w:eastAsia="方正黑体_GBK" w:cs="方正黑体_GBK"/>
                <w:sz w:val="24"/>
                <w:szCs w:val="24"/>
              </w:rPr>
              <w:t>优化提升</w:t>
            </w:r>
            <w:r>
              <w:rPr>
                <w:rFonts w:hint="eastAsia" w:ascii="方正黑体_GBK" w:hAnsi="方正黑体_GBK" w:eastAsia="方正黑体_GBK" w:cs="方正黑体_GBK"/>
                <w:sz w:val="24"/>
                <w:szCs w:val="24"/>
                <w:lang w:val="zh-CN"/>
              </w:rPr>
              <w:t>中新（重庆）国际互联网数据专用通道</w:t>
            </w:r>
          </w:p>
          <w:p>
            <w:pPr>
              <w:widowControl/>
              <w:snapToGrid w:val="0"/>
              <w:spacing w:line="420" w:lineRule="exact"/>
              <w:ind w:firstLine="480" w:firstLineChars="200"/>
              <w:rPr>
                <w:rFonts w:ascii="宋体" w:cs="宋体"/>
                <w:sz w:val="24"/>
                <w:szCs w:val="24"/>
              </w:rPr>
            </w:pPr>
            <w:r>
              <w:rPr>
                <w:rFonts w:hint="eastAsia" w:ascii="宋体" w:hAnsi="宋体" w:cs="宋体"/>
                <w:sz w:val="24"/>
                <w:szCs w:val="24"/>
              </w:rPr>
              <w:t>积极构建信息通信技术（</w:t>
            </w:r>
            <w:r>
              <w:rPr>
                <w:rFonts w:ascii="宋体" w:hAnsi="宋体" w:cs="宋体"/>
                <w:sz w:val="24"/>
                <w:szCs w:val="24"/>
              </w:rPr>
              <w:t>ICT</w:t>
            </w:r>
            <w:r>
              <w:rPr>
                <w:rFonts w:hint="eastAsia" w:ascii="宋体" w:hAnsi="宋体" w:cs="宋体"/>
                <w:sz w:val="24"/>
                <w:szCs w:val="24"/>
              </w:rPr>
              <w:t>）生态系统，加快推进新型智慧城市智能“中枢”等项目建设。鼓励和支持区内企业在远程医疗、跨境电商、供应链协同等领域加大与新加坡方面合作，持续拓展通道用户，中新国际数据通道应用取得突破性进展。</w:t>
            </w:r>
          </w:p>
          <w:p>
            <w:pPr>
              <w:widowControl/>
              <w:snapToGrid w:val="0"/>
              <w:spacing w:line="42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3.</w:t>
            </w:r>
            <w:r>
              <w:rPr>
                <w:rFonts w:hint="eastAsia" w:ascii="方正黑体_GBK" w:hAnsi="方正黑体_GBK" w:eastAsia="方正黑体_GBK" w:cs="方正黑体_GBK"/>
                <w:sz w:val="24"/>
                <w:szCs w:val="24"/>
              </w:rPr>
              <w:t>做精做靓数字内容产业</w:t>
            </w:r>
          </w:p>
          <w:p>
            <w:pPr>
              <w:widowControl/>
              <w:snapToGrid w:val="0"/>
              <w:spacing w:line="420" w:lineRule="exact"/>
              <w:ind w:firstLine="480" w:firstLineChars="200"/>
            </w:pPr>
            <w:r>
              <w:rPr>
                <w:rFonts w:hint="eastAsia" w:ascii="宋体" w:hAnsi="宋体" w:cs="宋体"/>
                <w:sz w:val="24"/>
                <w:szCs w:val="24"/>
              </w:rPr>
              <w:t>大力发展游戏动漫、数字视听、网络直播、电竞等数字内容新业态，提升视频直播、动漫等高增长领域的信息技术服务水平，培育做大仙桃数据谷电商直播基地。</w:t>
            </w:r>
          </w:p>
        </w:tc>
      </w:tr>
      <w:bookmarkEnd w:id="60"/>
    </w:tbl>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62" w:name="_Toc25585"/>
      <w:r>
        <w:rPr>
          <w:rFonts w:hint="eastAsia" w:ascii="方正楷体_GBK" w:hAnsi="方正楷体_GBK" w:eastAsia="方正楷体_GBK" w:cs="方正楷体_GBK"/>
          <w:kern w:val="0"/>
          <w:sz w:val="32"/>
          <w:szCs w:val="32"/>
        </w:rPr>
        <w:t>第四节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做精专业服务业</w:t>
      </w:r>
      <w:bookmarkEnd w:id="62"/>
    </w:p>
    <w:p>
      <w:pPr>
        <w:spacing w:line="560" w:lineRule="exact"/>
        <w:ind w:firstLine="640" w:firstLineChars="200"/>
        <w:rPr>
          <w:rFonts w:eastAsia="方正仿宋_GBK"/>
          <w:sz w:val="32"/>
          <w:szCs w:val="32"/>
        </w:rPr>
      </w:pPr>
      <w:r>
        <w:rPr>
          <w:rFonts w:hint="eastAsia" w:eastAsia="方正仿宋_GBK"/>
          <w:sz w:val="32"/>
          <w:szCs w:val="32"/>
        </w:rPr>
        <w:t>深入实施以大数据智能化为引领的创新生态圈建设行动计划，抢抓国家新一代人工智能创新发展试验区建设机遇，大力发展</w:t>
      </w:r>
      <w:r>
        <w:rPr>
          <w:rFonts w:hint="eastAsia" w:eastAsia="方正仿宋_GBK"/>
          <w:sz w:val="32"/>
          <w:szCs w:val="32"/>
          <w:lang w:val="zh-TW"/>
        </w:rPr>
        <w:t>研究开发、技术转移、创业孵化、</w:t>
      </w:r>
      <w:r>
        <w:rPr>
          <w:rFonts w:hint="eastAsia" w:eastAsia="方正仿宋_GBK"/>
          <w:sz w:val="32"/>
          <w:szCs w:val="32"/>
        </w:rPr>
        <w:t>专业技术服务</w:t>
      </w:r>
      <w:r>
        <w:rPr>
          <w:rFonts w:hint="eastAsia" w:eastAsia="方正仿宋_GBK"/>
          <w:sz w:val="32"/>
          <w:szCs w:val="32"/>
          <w:lang w:val="zh-TW"/>
        </w:rPr>
        <w:t>等科技服务</w:t>
      </w:r>
      <w:r>
        <w:rPr>
          <w:rFonts w:hint="eastAsia" w:eastAsia="方正仿宋_GBK"/>
          <w:sz w:val="32"/>
          <w:szCs w:val="32"/>
        </w:rPr>
        <w:t>业</w:t>
      </w:r>
      <w:r>
        <w:rPr>
          <w:rFonts w:hint="eastAsia" w:eastAsia="方正仿宋_GBK"/>
          <w:sz w:val="32"/>
          <w:szCs w:val="32"/>
          <w:lang w:val="zh-TW"/>
        </w:rPr>
        <w:t>，</w:t>
      </w:r>
      <w:r>
        <w:rPr>
          <w:rFonts w:hint="eastAsia" w:eastAsia="方正仿宋_GBK"/>
          <w:sz w:val="32"/>
          <w:szCs w:val="32"/>
        </w:rPr>
        <w:t>以及人力资源、法律、商务咨询等专业服务业，打造技术密集型、知识密集型专业服务业体系。力争到</w:t>
      </w:r>
      <w:r>
        <w:rPr>
          <w:rFonts w:eastAsia="方正仿宋_GBK"/>
          <w:sz w:val="32"/>
          <w:szCs w:val="32"/>
        </w:rPr>
        <w:t>2025</w:t>
      </w:r>
      <w:r>
        <w:rPr>
          <w:rFonts w:hint="eastAsia" w:eastAsia="方正仿宋_GBK"/>
          <w:sz w:val="32"/>
          <w:szCs w:val="32"/>
        </w:rPr>
        <w:t>年，全区专业服务业营收达到</w:t>
      </w:r>
      <w:r>
        <w:rPr>
          <w:rFonts w:eastAsia="方正仿宋_GBK"/>
          <w:sz w:val="32"/>
          <w:szCs w:val="32"/>
        </w:rPr>
        <w:t>300</w:t>
      </w:r>
      <w:r>
        <w:rPr>
          <w:rFonts w:hint="eastAsia" w:eastAsia="方正仿宋_GBK"/>
          <w:sz w:val="32"/>
          <w:szCs w:val="32"/>
        </w:rPr>
        <w:t>亿元，全社会</w:t>
      </w:r>
      <w:r>
        <w:rPr>
          <w:rFonts w:eastAsia="方正仿宋_GBK"/>
          <w:sz w:val="32"/>
          <w:szCs w:val="32"/>
        </w:rPr>
        <w:t>R&amp;D</w:t>
      </w:r>
      <w:r>
        <w:rPr>
          <w:rFonts w:hint="eastAsia" w:eastAsia="方正仿宋_GBK"/>
          <w:sz w:val="32"/>
          <w:szCs w:val="32"/>
        </w:rPr>
        <w:t>经费支出占</w:t>
      </w:r>
      <w:r>
        <w:rPr>
          <w:rFonts w:eastAsia="方正仿宋_GBK"/>
          <w:sz w:val="32"/>
          <w:szCs w:val="32"/>
        </w:rPr>
        <w:t>GDP</w:t>
      </w:r>
      <w:r>
        <w:rPr>
          <w:rFonts w:hint="eastAsia" w:eastAsia="方正仿宋_GBK"/>
          <w:sz w:val="32"/>
          <w:szCs w:val="32"/>
        </w:rPr>
        <w:t>比重达到</w:t>
      </w:r>
      <w:r>
        <w:rPr>
          <w:rFonts w:eastAsia="方正仿宋_GBK"/>
          <w:sz w:val="32"/>
          <w:szCs w:val="32"/>
        </w:rPr>
        <w:t>4.3%</w:t>
      </w:r>
      <w:r>
        <w:rPr>
          <w:rFonts w:hint="eastAsia" w:eastAsia="方正仿宋_GBK"/>
          <w:sz w:val="32"/>
          <w:szCs w:val="32"/>
        </w:rPr>
        <w:t>，主要创新指标继续保持全市领先，在重庆建设具有全国影响力的科技创新中心中发挥重要作用。</w:t>
      </w:r>
    </w:p>
    <w:p>
      <w:pPr>
        <w:spacing w:line="560" w:lineRule="exact"/>
        <w:ind w:firstLine="640" w:firstLineChars="200"/>
        <w:rPr>
          <w:rFonts w:eastAsia="方正仿宋_GBK"/>
          <w:sz w:val="32"/>
          <w:szCs w:val="32"/>
        </w:rPr>
      </w:pPr>
      <w:r>
        <w:rPr>
          <w:rFonts w:hint="eastAsia" w:eastAsia="方正仿宋_GBK"/>
          <w:sz w:val="32"/>
          <w:szCs w:val="32"/>
        </w:rPr>
        <w:t>提升研发创新能力。强化企业创新主体地位，鼓励企业加大研发投入，支持汽车、笔电、智能终端等有优势产业企业组建面向行业共性基础技术、前沿引领技术开发的研究院，支持长安等领军企业培育专精特新、具有示范带动作用的旗舰型新型研发机构。推进“大院大所大装置”创新赋能，积极引进国内外知名高校、一流科研院所、世界</w:t>
      </w:r>
      <w:r>
        <w:rPr>
          <w:rFonts w:eastAsia="方正仿宋_GBK"/>
          <w:sz w:val="32"/>
          <w:szCs w:val="32"/>
        </w:rPr>
        <w:t>500</w:t>
      </w:r>
      <w:r>
        <w:rPr>
          <w:rFonts w:hint="eastAsia" w:eastAsia="方正仿宋_GBK"/>
          <w:sz w:val="32"/>
          <w:szCs w:val="32"/>
        </w:rPr>
        <w:t>强企业来渝北设立新型研发机构，创建国家级、市级重点实验室和技术创新中心，布局科学研究大装置。推进规模工业企业研发机构倍增计划，认真落实企业研发投入加计扣除政策，加大企业研发补贴支持力度，到</w:t>
      </w:r>
      <w:r>
        <w:rPr>
          <w:rFonts w:eastAsia="方正仿宋_GBK"/>
          <w:sz w:val="32"/>
          <w:szCs w:val="32"/>
        </w:rPr>
        <w:t>2025</w:t>
      </w:r>
      <w:r>
        <w:rPr>
          <w:rFonts w:hint="eastAsia" w:eastAsia="方正仿宋_GBK"/>
          <w:sz w:val="32"/>
          <w:szCs w:val="32"/>
        </w:rPr>
        <w:t>年，实现规上工业企业内部研发机构全覆盖。</w:t>
      </w:r>
    </w:p>
    <w:p>
      <w:pPr>
        <w:spacing w:line="560" w:lineRule="exact"/>
        <w:ind w:firstLine="640" w:firstLineChars="200"/>
        <w:rPr>
          <w:rFonts w:eastAsia="方正仿宋_GBK"/>
          <w:sz w:val="32"/>
          <w:szCs w:val="32"/>
        </w:rPr>
      </w:pPr>
      <w:r>
        <w:rPr>
          <w:rFonts w:hint="eastAsia" w:eastAsia="方正仿宋_GBK"/>
          <w:sz w:val="32"/>
          <w:szCs w:val="32"/>
        </w:rPr>
        <w:t>强化科技推广和应用服务。鼓励发展孵化器、产业园，加快形成技术许可或转让为核心链条的科技服务体系。积极承接“一带一路”科技创新合作和国际技术转移，吸引落户一批国际联合实验室和联合研究中心，支持国际科技合作基地联盟、国际科技合作项目、国际性科技论坛落户渝北。</w:t>
      </w:r>
    </w:p>
    <w:p>
      <w:pPr>
        <w:spacing w:line="560" w:lineRule="exact"/>
        <w:ind w:firstLine="640" w:firstLineChars="200"/>
        <w:rPr>
          <w:rFonts w:eastAsia="方正仿宋_GBK"/>
          <w:sz w:val="32"/>
          <w:szCs w:val="32"/>
        </w:rPr>
      </w:pPr>
      <w:r>
        <w:rPr>
          <w:rFonts w:hint="eastAsia" w:eastAsia="方正仿宋_GBK"/>
          <w:sz w:val="32"/>
          <w:szCs w:val="32"/>
        </w:rPr>
        <w:t>打造专业服务集群。</w:t>
      </w:r>
      <w:r>
        <w:rPr>
          <w:rFonts w:hint="eastAsia" w:eastAsia="方正仿宋_GBK"/>
          <w:sz w:val="32"/>
          <w:szCs w:val="32"/>
          <w:lang w:val="zh-TW" w:eastAsia="zh-TW"/>
        </w:rPr>
        <w:t>促进专业服务业向高端化、智能化、规模化发展</w:t>
      </w:r>
      <w:r>
        <w:rPr>
          <w:rFonts w:hint="eastAsia" w:eastAsia="方正仿宋_GBK"/>
          <w:sz w:val="32"/>
          <w:szCs w:val="32"/>
          <w:lang w:val="zh-TW"/>
        </w:rPr>
        <w:t>，提高全过程咨询服务能力。</w:t>
      </w:r>
      <w:r>
        <w:rPr>
          <w:rFonts w:hint="eastAsia" w:eastAsia="方正仿宋_GBK"/>
          <w:sz w:val="32"/>
          <w:szCs w:val="32"/>
        </w:rPr>
        <w:t>大力提升检测检验、工业设计、环境服务以及安全生产技术服务等专业技术服务能力；大力发展</w:t>
      </w:r>
      <w:r>
        <w:rPr>
          <w:rFonts w:hint="eastAsia" w:eastAsia="方正仿宋_GBK"/>
          <w:sz w:val="32"/>
          <w:szCs w:val="32"/>
          <w:lang w:val="zh-TW"/>
        </w:rPr>
        <w:t>人力资源服务、</w:t>
      </w:r>
      <w:r>
        <w:rPr>
          <w:rFonts w:hint="eastAsia" w:eastAsia="方正仿宋_GBK"/>
          <w:sz w:val="32"/>
          <w:szCs w:val="32"/>
        </w:rPr>
        <w:t>法律服务、会计、审计及税务、市场调查、广告文创、咨询公司、智库服务等专业服务，对标国际一流水平，引进培育有核心竞争力的专业服务品牌和企业。</w:t>
      </w:r>
    </w:p>
    <w:p>
      <w:pPr>
        <w:widowControl/>
        <w:ind w:firstLine="320" w:firstLineChars="100"/>
        <w:jc w:val="center"/>
        <w:rPr>
          <w:rFonts w:ascii="方正黑体_GBK" w:hAnsi="方正黑体_GBK" w:eastAsia="方正黑体_GBK" w:cs="方正黑体_GBK"/>
          <w:smallCaps/>
          <w:kern w:val="0"/>
          <w:sz w:val="32"/>
          <w:szCs w:val="32"/>
        </w:rPr>
      </w:pPr>
      <w:r>
        <w:rPr>
          <w:rFonts w:hint="eastAsia" w:ascii="方正黑体_GBK" w:hAnsi="方正黑体_GBK" w:eastAsia="方正黑体_GBK" w:cs="方正黑体_GBK"/>
          <w:smallCaps/>
          <w:kern w:val="0"/>
          <w:sz w:val="32"/>
          <w:szCs w:val="32"/>
        </w:rPr>
        <w:t>专栏</w:t>
      </w:r>
      <w:r>
        <w:rPr>
          <w:rFonts w:ascii="方正黑体_GBK" w:hAnsi="方正黑体_GBK" w:eastAsia="方正黑体_GBK" w:cs="方正黑体_GBK"/>
          <w:smallCaps/>
          <w:kern w:val="0"/>
          <w:sz w:val="32"/>
          <w:szCs w:val="32"/>
        </w:rPr>
        <w:t xml:space="preserve">6  </w:t>
      </w:r>
      <w:r>
        <w:rPr>
          <w:rFonts w:hint="eastAsia" w:ascii="方正黑体_GBK" w:hAnsi="方正黑体_GBK" w:eastAsia="方正黑体_GBK" w:cs="方正黑体_GBK"/>
          <w:smallCaps/>
          <w:kern w:val="0"/>
          <w:sz w:val="32"/>
          <w:szCs w:val="32"/>
        </w:rPr>
        <w:t>专业服务业发展重点</w:t>
      </w:r>
    </w:p>
    <w:tbl>
      <w:tblPr>
        <w:tblStyle w:val="32"/>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5" w:type="dxa"/>
          </w:tcPr>
          <w:p>
            <w:pPr>
              <w:widowControl/>
              <w:snapToGrid w:val="0"/>
              <w:spacing w:line="42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1.</w:t>
            </w:r>
            <w:r>
              <w:rPr>
                <w:rFonts w:hint="eastAsia" w:ascii="方正黑体_GBK" w:hAnsi="方正黑体_GBK" w:eastAsia="方正黑体_GBK" w:cs="方正黑体_GBK"/>
                <w:sz w:val="24"/>
                <w:szCs w:val="24"/>
              </w:rPr>
              <w:t>建成科技研发产业链</w:t>
            </w:r>
          </w:p>
          <w:p>
            <w:pPr>
              <w:widowControl/>
              <w:snapToGrid w:val="0"/>
              <w:spacing w:line="420" w:lineRule="exact"/>
              <w:ind w:firstLine="480" w:firstLineChars="200"/>
              <w:rPr>
                <w:rFonts w:ascii="宋体" w:cs="宋体"/>
                <w:sz w:val="24"/>
                <w:szCs w:val="24"/>
              </w:rPr>
            </w:pPr>
            <w:r>
              <w:rPr>
                <w:rFonts w:hint="eastAsia" w:ascii="宋体" w:hAnsi="宋体" w:cs="宋体"/>
                <w:sz w:val="24"/>
                <w:szCs w:val="24"/>
              </w:rPr>
              <w:t>鼓励企业加大研发投入，引进知名高校、科研院所、世界</w:t>
            </w:r>
            <w:r>
              <w:rPr>
                <w:rFonts w:ascii="宋体" w:hAnsi="宋体" w:cs="宋体"/>
                <w:sz w:val="24"/>
                <w:szCs w:val="24"/>
              </w:rPr>
              <w:t>500</w:t>
            </w:r>
            <w:r>
              <w:rPr>
                <w:rFonts w:hint="eastAsia" w:ascii="宋体" w:hAnsi="宋体" w:cs="宋体"/>
                <w:sz w:val="24"/>
                <w:szCs w:val="24"/>
              </w:rPr>
              <w:t>强企业，创建国家级、市级重点实验室和技术创新中心。培育润泽医药、北斗星通、芯超医学等建设新型高端研发机构，推动中交三航、再升科技等创建市级重点实验室，到</w:t>
            </w:r>
            <w:r>
              <w:rPr>
                <w:rFonts w:ascii="宋体" w:hAnsi="宋体" w:cs="宋体"/>
                <w:sz w:val="24"/>
                <w:szCs w:val="24"/>
              </w:rPr>
              <w:t>2025</w:t>
            </w:r>
            <w:r>
              <w:rPr>
                <w:rFonts w:hint="eastAsia" w:ascii="宋体" w:hAnsi="宋体" w:cs="宋体"/>
                <w:sz w:val="24"/>
                <w:szCs w:val="24"/>
              </w:rPr>
              <w:t>年，新增市级以上重点实验室、技术创新中心</w:t>
            </w:r>
            <w:r>
              <w:rPr>
                <w:rFonts w:ascii="宋体" w:hAnsi="宋体" w:cs="宋体"/>
                <w:sz w:val="24"/>
                <w:szCs w:val="24"/>
              </w:rPr>
              <w:t>10</w:t>
            </w:r>
            <w:r>
              <w:rPr>
                <w:rFonts w:hint="eastAsia" w:ascii="宋体" w:hAnsi="宋体" w:cs="宋体"/>
                <w:sz w:val="24"/>
                <w:szCs w:val="24"/>
              </w:rPr>
              <w:t>个，国家级研发中心达</w:t>
            </w:r>
            <w:r>
              <w:rPr>
                <w:rFonts w:ascii="宋体" w:hAnsi="宋体" w:cs="宋体"/>
                <w:sz w:val="24"/>
                <w:szCs w:val="24"/>
              </w:rPr>
              <w:t>20</w:t>
            </w:r>
            <w:r>
              <w:rPr>
                <w:rFonts w:hint="eastAsia" w:ascii="宋体" w:hAnsi="宋体" w:cs="宋体"/>
                <w:sz w:val="24"/>
                <w:szCs w:val="24"/>
              </w:rPr>
              <w:t>家，市级研发中心达</w:t>
            </w:r>
            <w:r>
              <w:rPr>
                <w:rFonts w:ascii="宋体" w:hAnsi="宋体" w:cs="宋体"/>
                <w:sz w:val="24"/>
                <w:szCs w:val="24"/>
              </w:rPr>
              <w:t>250</w:t>
            </w:r>
            <w:r>
              <w:rPr>
                <w:rFonts w:hint="eastAsia" w:ascii="宋体" w:hAnsi="宋体" w:cs="宋体"/>
                <w:sz w:val="24"/>
                <w:szCs w:val="24"/>
              </w:rPr>
              <w:t>家。</w:t>
            </w:r>
          </w:p>
          <w:p>
            <w:pPr>
              <w:widowControl/>
              <w:snapToGrid w:val="0"/>
              <w:spacing w:line="42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2.</w:t>
            </w:r>
            <w:r>
              <w:rPr>
                <w:rFonts w:hint="eastAsia" w:ascii="方正黑体_GBK" w:hAnsi="方正黑体_GBK" w:eastAsia="方正黑体_GBK" w:cs="方正黑体_GBK"/>
                <w:sz w:val="24"/>
                <w:szCs w:val="24"/>
              </w:rPr>
              <w:t>打造科技创新策源地</w:t>
            </w:r>
          </w:p>
          <w:p>
            <w:pPr>
              <w:widowControl/>
              <w:snapToGrid w:val="0"/>
              <w:spacing w:line="420" w:lineRule="exact"/>
              <w:ind w:firstLine="480" w:firstLineChars="200"/>
              <w:rPr>
                <w:rFonts w:ascii="宋体" w:cs="宋体"/>
                <w:sz w:val="24"/>
                <w:szCs w:val="24"/>
              </w:rPr>
            </w:pPr>
            <w:r>
              <w:rPr>
                <w:rFonts w:hint="eastAsia" w:ascii="宋体" w:hAnsi="宋体" w:cs="宋体"/>
                <w:sz w:val="24"/>
                <w:szCs w:val="24"/>
              </w:rPr>
              <w:t>支持龙头企业加快建设研发基地，聚焦大数据智能化、汽车物联网、智能网联核心技术、智慧建筑等重点领域，将仙桃国际大数据谷、前沿科技城、重庆现代建筑智慧产业园等平台打造成大数据智能化创新策源地、智能终端创新策源地、新能源汽车及智能网联汽车创新策源地、智慧建筑创新策源地。</w:t>
            </w:r>
          </w:p>
          <w:p>
            <w:pPr>
              <w:widowControl/>
              <w:snapToGrid w:val="0"/>
              <w:spacing w:line="42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3.</w:t>
            </w:r>
            <w:r>
              <w:rPr>
                <w:rFonts w:hint="eastAsia" w:ascii="方正黑体_GBK" w:hAnsi="方正黑体_GBK" w:eastAsia="方正黑体_GBK" w:cs="方正黑体_GBK"/>
                <w:sz w:val="24"/>
                <w:szCs w:val="24"/>
              </w:rPr>
              <w:t>提升专业技术服务水平</w:t>
            </w:r>
          </w:p>
          <w:p>
            <w:pPr>
              <w:widowControl/>
              <w:snapToGrid w:val="0"/>
              <w:spacing w:line="420" w:lineRule="exact"/>
              <w:ind w:firstLine="480" w:firstLineChars="200"/>
              <w:rPr>
                <w:rFonts w:ascii="宋体" w:cs="宋体"/>
                <w:sz w:val="24"/>
                <w:szCs w:val="24"/>
              </w:rPr>
            </w:pPr>
            <w:r>
              <w:rPr>
                <w:rFonts w:hint="eastAsia" w:ascii="方正黑体_GBK" w:hAnsi="方正黑体_GBK" w:eastAsia="方正黑体_GBK" w:cs="方正黑体_GBK"/>
                <w:sz w:val="24"/>
                <w:szCs w:val="24"/>
              </w:rPr>
              <w:t>大力发展检验检测服务业。</w:t>
            </w:r>
            <w:r>
              <w:rPr>
                <w:rFonts w:hint="eastAsia" w:ascii="宋体" w:hAnsi="宋体" w:cs="宋体"/>
                <w:sz w:val="24"/>
                <w:szCs w:val="24"/>
              </w:rPr>
              <w:t>加强</w:t>
            </w:r>
            <w:r>
              <w:rPr>
                <w:rFonts w:ascii="宋体" w:hAnsi="宋体" w:cs="宋体"/>
                <w:sz w:val="24"/>
                <w:szCs w:val="24"/>
              </w:rPr>
              <w:t>5G</w:t>
            </w:r>
            <w:r>
              <w:rPr>
                <w:rFonts w:hint="eastAsia" w:ascii="宋体" w:hAnsi="宋体" w:cs="宋体"/>
                <w:sz w:val="24"/>
                <w:szCs w:val="24"/>
              </w:rPr>
              <w:t>、汽车、医药、机器人等检验检测机构的培育，加快建设西部地区最大的</w:t>
            </w:r>
            <w:r>
              <w:rPr>
                <w:rFonts w:ascii="宋体" w:hAnsi="宋体" w:cs="宋体"/>
                <w:sz w:val="24"/>
                <w:szCs w:val="24"/>
              </w:rPr>
              <w:t>5G</w:t>
            </w:r>
            <w:r>
              <w:rPr>
                <w:rFonts w:hint="eastAsia" w:ascii="宋体" w:hAnsi="宋体" w:cs="宋体"/>
                <w:sz w:val="24"/>
                <w:szCs w:val="24"/>
              </w:rPr>
              <w:t>智能硬件检测基地。培育一批具有品牌效应的第三方检验检测机构和认证机构，打造“互联网＋检验检测认证”新业态，积极参与重大项目检测，支持“走出去”开展服务。到</w:t>
            </w:r>
            <w:r>
              <w:rPr>
                <w:rFonts w:ascii="宋体" w:hAnsi="宋体" w:cs="宋体"/>
                <w:sz w:val="24"/>
                <w:szCs w:val="24"/>
              </w:rPr>
              <w:t>2025</w:t>
            </w:r>
            <w:r>
              <w:rPr>
                <w:rFonts w:hint="eastAsia" w:ascii="宋体" w:hAnsi="宋体" w:cs="宋体"/>
                <w:sz w:val="24"/>
                <w:szCs w:val="24"/>
              </w:rPr>
              <w:t>年，全区检验检测机构数量达到</w:t>
            </w:r>
            <w:r>
              <w:rPr>
                <w:rFonts w:ascii="宋体" w:hAnsi="宋体" w:cs="宋体"/>
                <w:sz w:val="24"/>
                <w:szCs w:val="24"/>
              </w:rPr>
              <w:t>50</w:t>
            </w:r>
            <w:r>
              <w:rPr>
                <w:rFonts w:hint="eastAsia" w:ascii="宋体" w:hAnsi="宋体" w:cs="宋体"/>
                <w:sz w:val="24"/>
                <w:szCs w:val="24"/>
              </w:rPr>
              <w:t>家，检验检测收入达到</w:t>
            </w:r>
            <w:r>
              <w:rPr>
                <w:rFonts w:ascii="宋体" w:hAnsi="宋体" w:cs="宋体"/>
                <w:sz w:val="24"/>
                <w:szCs w:val="24"/>
              </w:rPr>
              <w:t>5</w:t>
            </w:r>
            <w:r>
              <w:rPr>
                <w:rFonts w:hint="eastAsia" w:ascii="宋体" w:hAnsi="宋体" w:cs="宋体"/>
                <w:sz w:val="24"/>
                <w:szCs w:val="24"/>
              </w:rPr>
              <w:t>亿元。</w:t>
            </w:r>
            <w:r>
              <w:rPr>
                <w:rFonts w:hint="eastAsia" w:ascii="方正黑体_GBK" w:hAnsi="方正黑体_GBK" w:eastAsia="方正黑体_GBK" w:cs="方正黑体_GBK"/>
                <w:sz w:val="24"/>
                <w:szCs w:val="24"/>
              </w:rPr>
              <w:t>加快发展工业设计。</w:t>
            </w:r>
            <w:r>
              <w:rPr>
                <w:rFonts w:hint="eastAsia" w:ascii="宋体" w:hAnsi="宋体" w:cs="宋体"/>
                <w:sz w:val="24"/>
                <w:szCs w:val="24"/>
                <w:lang w:val="zh-TW"/>
              </w:rPr>
              <w:t>推广</w:t>
            </w:r>
            <w:r>
              <w:rPr>
                <w:rFonts w:hint="eastAsia" w:ascii="宋体" w:cs="宋体"/>
                <w:sz w:val="24"/>
                <w:szCs w:val="24"/>
                <w:lang w:val="zh-TW"/>
              </w:rPr>
              <w:t>“</w:t>
            </w:r>
            <w:r>
              <w:rPr>
                <w:rFonts w:hint="eastAsia" w:ascii="宋体" w:hAnsi="宋体" w:cs="宋体"/>
                <w:sz w:val="24"/>
                <w:szCs w:val="24"/>
                <w:lang w:val="zh-TW"/>
              </w:rPr>
              <w:t>互联网</w:t>
            </w:r>
            <w:r>
              <w:rPr>
                <w:rFonts w:ascii="宋体" w:hAnsi="宋体" w:cs="宋体"/>
                <w:sz w:val="24"/>
                <w:szCs w:val="24"/>
                <w:lang w:val="zh-TW"/>
              </w:rPr>
              <w:t>+</w:t>
            </w:r>
            <w:r>
              <w:rPr>
                <w:rFonts w:hint="eastAsia" w:ascii="宋体" w:hAnsi="宋体" w:cs="宋体"/>
                <w:sz w:val="24"/>
                <w:szCs w:val="24"/>
                <w:lang w:val="zh-TW"/>
              </w:rPr>
              <w:t>工业设计</w:t>
            </w:r>
            <w:r>
              <w:rPr>
                <w:rFonts w:hint="eastAsia" w:ascii="宋体" w:cs="宋体"/>
                <w:sz w:val="24"/>
                <w:szCs w:val="24"/>
                <w:lang w:val="zh-TW"/>
              </w:rPr>
              <w:t>”</w:t>
            </w:r>
            <w:r>
              <w:rPr>
                <w:rFonts w:hint="eastAsia" w:ascii="宋体" w:hAnsi="宋体" w:cs="宋体"/>
                <w:sz w:val="24"/>
                <w:szCs w:val="24"/>
                <w:lang w:val="zh-TW"/>
              </w:rPr>
              <w:t>新型服务模式</w:t>
            </w:r>
            <w:r>
              <w:rPr>
                <w:rFonts w:hint="eastAsia" w:ascii="宋体" w:hAnsi="宋体" w:cs="宋体"/>
                <w:sz w:val="24"/>
                <w:szCs w:val="24"/>
              </w:rPr>
              <w:t>，重点提升</w:t>
            </w:r>
            <w:r>
              <w:rPr>
                <w:rFonts w:hint="eastAsia" w:ascii="宋体" w:hAnsi="宋体" w:cs="宋体"/>
                <w:sz w:val="24"/>
                <w:szCs w:val="24"/>
                <w:lang w:val="zh-TW"/>
              </w:rPr>
              <w:t>智能终端、消费品等</w:t>
            </w:r>
            <w:r>
              <w:rPr>
                <w:rFonts w:hint="eastAsia" w:ascii="宋体" w:hAnsi="宋体" w:cs="宋体"/>
                <w:sz w:val="24"/>
                <w:szCs w:val="24"/>
              </w:rPr>
              <w:t>领域的</w:t>
            </w:r>
            <w:r>
              <w:rPr>
                <w:rFonts w:hint="eastAsia" w:ascii="宋体" w:hAnsi="宋体" w:cs="宋体"/>
                <w:sz w:val="24"/>
                <w:szCs w:val="24"/>
                <w:lang w:val="zh-TW"/>
              </w:rPr>
              <w:t>工业设计综合服务能</w:t>
            </w:r>
            <w:r>
              <w:rPr>
                <w:rFonts w:hint="eastAsia" w:ascii="宋体" w:hAnsi="宋体" w:cs="宋体"/>
                <w:sz w:val="24"/>
                <w:szCs w:val="24"/>
              </w:rPr>
              <w:t>力</w:t>
            </w:r>
            <w:r>
              <w:rPr>
                <w:rFonts w:hint="eastAsia" w:ascii="宋体" w:hAnsi="宋体" w:cs="宋体"/>
                <w:sz w:val="24"/>
                <w:szCs w:val="24"/>
                <w:lang w:val="zh-TW"/>
              </w:rPr>
              <w:t>。</w:t>
            </w:r>
            <w:r>
              <w:rPr>
                <w:rFonts w:hint="eastAsia" w:ascii="方正黑体_GBK" w:hAnsi="方正黑体_GBK" w:eastAsia="方正黑体_GBK" w:cs="方正黑体_GBK"/>
                <w:sz w:val="24"/>
                <w:szCs w:val="24"/>
              </w:rPr>
              <w:t>加快发展环境服务业。</w:t>
            </w:r>
            <w:r>
              <w:rPr>
                <w:rFonts w:hint="eastAsia" w:ascii="宋体" w:hAnsi="宋体" w:cs="宋体"/>
                <w:sz w:val="24"/>
                <w:szCs w:val="24"/>
              </w:rPr>
              <w:t>支持以节能环保咨询、综合能源服务、环保认证和推广等为代表的节能环保服务业发展。加快发展碳资产管理、碳咨询、碳排放权交易等服务，建成我市重要的绿色服务业基地。</w:t>
            </w:r>
            <w:r>
              <w:rPr>
                <w:rFonts w:hint="eastAsia" w:ascii="方正黑体_GBK" w:hAnsi="方正黑体_GBK" w:eastAsia="方正黑体_GBK" w:cs="方正黑体_GBK"/>
                <w:sz w:val="24"/>
                <w:szCs w:val="24"/>
              </w:rPr>
              <w:t>积极发展安全生产技术服务业。</w:t>
            </w:r>
            <w:r>
              <w:rPr>
                <w:rFonts w:hint="eastAsia" w:ascii="宋体" w:hAnsi="宋体" w:cs="宋体"/>
                <w:sz w:val="24"/>
                <w:szCs w:val="24"/>
              </w:rPr>
              <w:t>积极发展安全评价、预测预警、监测监控、应急救援等安全生产专业技术服务，培育注册安全工程师事务所等安全技术服务品牌机构。</w:t>
            </w:r>
          </w:p>
          <w:p>
            <w:pPr>
              <w:widowControl/>
              <w:snapToGrid w:val="0"/>
              <w:spacing w:line="42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4.</w:t>
            </w:r>
            <w:r>
              <w:rPr>
                <w:rFonts w:hint="eastAsia" w:ascii="方正黑体_GBK" w:hAnsi="方正黑体_GBK" w:eastAsia="方正黑体_GBK" w:cs="方正黑体_GBK"/>
                <w:sz w:val="24"/>
                <w:szCs w:val="24"/>
              </w:rPr>
              <w:t>打造专业服务业高地</w:t>
            </w:r>
          </w:p>
          <w:p>
            <w:pPr>
              <w:widowControl/>
              <w:snapToGrid w:val="0"/>
              <w:spacing w:line="420" w:lineRule="exact"/>
              <w:ind w:firstLine="480" w:firstLineChars="200"/>
              <w:rPr>
                <w:rFonts w:eastAsia="Microsoft YaHei UI"/>
              </w:rPr>
            </w:pPr>
            <w:r>
              <w:rPr>
                <w:rFonts w:hint="eastAsia" w:ascii="方正黑体_GBK" w:hAnsi="方正黑体_GBK" w:eastAsia="方正黑体_GBK" w:cs="方正黑体_GBK"/>
                <w:sz w:val="24"/>
                <w:szCs w:val="24"/>
              </w:rPr>
              <w:t>建设西部人力资源服务高地。</w:t>
            </w:r>
            <w:r>
              <w:rPr>
                <w:rFonts w:hint="eastAsia" w:ascii="宋体" w:hAnsi="宋体" w:cs="宋体"/>
                <w:sz w:val="24"/>
                <w:szCs w:val="24"/>
              </w:rPr>
              <w:t>支持重庆人力资源服务产业园，引进国际国内知名人力资源服务机构和教育培训机构，鼓励发展招聘、人力资源服务外包和管理咨询、高级人才寻访等人力资源服务高端业态，加快发展线上人力资源服务，推动人力资源服务规模化发展。</w:t>
            </w:r>
            <w:r>
              <w:rPr>
                <w:rFonts w:hint="eastAsia" w:ascii="方正黑体_GBK" w:hAnsi="方正黑体_GBK" w:eastAsia="方正黑体_GBK" w:cs="方正黑体_GBK"/>
                <w:sz w:val="24"/>
                <w:szCs w:val="24"/>
              </w:rPr>
              <w:t>打造西部第一、国内一流、国际知名的法律服务高地。</w:t>
            </w:r>
            <w:r>
              <w:rPr>
                <w:rFonts w:hint="eastAsia" w:ascii="宋体" w:hAnsi="宋体" w:cs="宋体"/>
                <w:sz w:val="24"/>
                <w:szCs w:val="24"/>
                <w:lang w:val="zh-TW" w:eastAsia="zh-TW"/>
              </w:rPr>
              <w:t>引进市（区）外知名大型律师事务所进驻渝北或者设立分所</w:t>
            </w:r>
            <w:r>
              <w:rPr>
                <w:rFonts w:hint="eastAsia" w:ascii="宋体" w:hAnsi="宋体" w:cs="宋体"/>
                <w:sz w:val="24"/>
                <w:szCs w:val="24"/>
                <w:lang w:val="zh-TW"/>
              </w:rPr>
              <w:t>。</w:t>
            </w:r>
            <w:r>
              <w:rPr>
                <w:rFonts w:hint="eastAsia" w:ascii="宋体" w:hAnsi="宋体" w:cs="宋体"/>
                <w:sz w:val="24"/>
                <w:szCs w:val="24"/>
              </w:rPr>
              <w:t>依托西南政法大学等高校，建设西正街法律服务产业园、西部（重庆）法治科技园，聚焦法律法务咨询、知识产权、信用等专业服务，打造法治科技“双创”升级版。</w:t>
            </w:r>
            <w:r>
              <w:rPr>
                <w:rFonts w:hint="eastAsia" w:ascii="方正黑体_GBK" w:hAnsi="方正黑体_GBK" w:eastAsia="方正黑体_GBK" w:cs="方正黑体_GBK"/>
                <w:sz w:val="24"/>
                <w:szCs w:val="24"/>
              </w:rPr>
              <w:t>提质发展广告文创服务业。</w:t>
            </w:r>
            <w:r>
              <w:rPr>
                <w:rFonts w:hint="eastAsia" w:ascii="宋体" w:hAnsi="宋体" w:cs="宋体"/>
                <w:sz w:val="24"/>
                <w:szCs w:val="24"/>
              </w:rPr>
              <w:t>充分发挥重庆创意公园“国家广告产业园区”、“国家级众创空间”的集聚效应，推动文化创意、文化传媒、工业设计、新媒体广告等广告文创企业集聚，推动大数据、虚拟仿真等信息技术的应用，发展新媒体广告、视听传播，数字文创。</w:t>
            </w:r>
          </w:p>
        </w:tc>
      </w:tr>
    </w:tbl>
    <w:p/>
    <w:p>
      <w:pPr>
        <w:pStyle w:val="3"/>
        <w:spacing w:beforeLines="50" w:afterLines="50" w:line="560" w:lineRule="exact"/>
        <w:ind w:left="210"/>
        <w:contextualSpacing/>
        <w:jc w:val="center"/>
        <w:rPr>
          <w:rFonts w:ascii="方正楷体_GBK" w:hAnsi="方正楷体_GBK" w:eastAsia="方正楷体_GBK" w:cs="方正楷体_GBK"/>
          <w:kern w:val="0"/>
          <w:sz w:val="32"/>
          <w:szCs w:val="32"/>
        </w:rPr>
      </w:pPr>
      <w:bookmarkStart w:id="63" w:name="_Toc841"/>
      <w:bookmarkStart w:id="64" w:name="_Toc21901"/>
      <w:r>
        <w:rPr>
          <w:rFonts w:hint="eastAsia" w:ascii="方正楷体_GBK" w:hAnsi="方正楷体_GBK" w:eastAsia="方正楷体_GBK" w:cs="方正楷体_GBK"/>
          <w:kern w:val="0"/>
          <w:sz w:val="32"/>
          <w:szCs w:val="32"/>
        </w:rPr>
        <w:t>第五节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提升商务</w:t>
      </w:r>
      <w:bookmarkEnd w:id="63"/>
      <w:r>
        <w:rPr>
          <w:rFonts w:hint="eastAsia" w:ascii="方正楷体_GBK" w:hAnsi="方正楷体_GBK" w:eastAsia="方正楷体_GBK" w:cs="方正楷体_GBK"/>
          <w:kern w:val="0"/>
          <w:sz w:val="32"/>
          <w:szCs w:val="32"/>
        </w:rPr>
        <w:t>会展业</w:t>
      </w:r>
      <w:bookmarkEnd w:id="64"/>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仿宋_GBK" w:hAnsi="方正仿宋_GBK" w:eastAsia="方正仿宋_GBK" w:cs="方正仿宋_GBK"/>
          <w:smallCaps/>
          <w:kern w:val="0"/>
          <w:sz w:val="32"/>
          <w:szCs w:val="32"/>
        </w:rPr>
        <w:t>全面提升会展业能级。整合会展资源，围绕国博中心，助力会展业态多元化发展。紧抓成渝地区双城经济圈建设机遇、挖掘中新（重庆）战略性互联互通示范项目、西部陆海新通道、“一带一路”等重大会展潜力，大力培育新兴展会。积极招引国内优质会展项目来渝拓展市场，落户国博中心。做大做强现有优势展会，提档升级现有市级知名展会，大力发展自主会展品牌，固化重庆特色会展品牌，培育品牌会展企业。</w:t>
      </w:r>
      <w:r>
        <w:rPr>
          <w:rFonts w:ascii="方正仿宋_GBK" w:hAnsi="方正仿宋_GBK" w:eastAsia="方正仿宋_GBK" w:cs="方正仿宋_GBK"/>
          <w:smallCaps/>
          <w:kern w:val="0"/>
          <w:sz w:val="32"/>
          <w:szCs w:val="32"/>
        </w:rPr>
        <w:t xml:space="preserve"> </w:t>
      </w:r>
      <w:r>
        <w:rPr>
          <w:rFonts w:hint="eastAsia" w:ascii="方正仿宋_GBK" w:hAnsi="方正仿宋_GBK" w:eastAsia="方正仿宋_GBK" w:cs="方正仿宋_GBK"/>
          <w:smallCaps/>
          <w:kern w:val="0"/>
          <w:sz w:val="32"/>
          <w:szCs w:val="32"/>
        </w:rPr>
        <w:t>加大会展项目招商引资力度，推进对会展业龙头企业的招引。发展智能会展、绿色会展，运用</w:t>
      </w:r>
      <w:r>
        <w:rPr>
          <w:rFonts w:ascii="方正仿宋_GBK" w:hAnsi="方正仿宋_GBK" w:eastAsia="方正仿宋_GBK" w:cs="方正仿宋_GBK"/>
          <w:smallCaps/>
          <w:kern w:val="0"/>
          <w:sz w:val="32"/>
          <w:szCs w:val="32"/>
        </w:rPr>
        <w:t>5G</w:t>
      </w:r>
      <w:r>
        <w:rPr>
          <w:rFonts w:hint="eastAsia" w:ascii="方正仿宋_GBK" w:hAnsi="方正仿宋_GBK" w:eastAsia="方正仿宋_GBK" w:cs="方正仿宋_GBK"/>
          <w:smallCaps/>
          <w:kern w:val="0"/>
          <w:sz w:val="32"/>
          <w:szCs w:val="32"/>
        </w:rPr>
        <w:t>、</w:t>
      </w:r>
      <w:r>
        <w:rPr>
          <w:rFonts w:ascii="方正仿宋_GBK" w:hAnsi="方正仿宋_GBK" w:eastAsia="方正仿宋_GBK" w:cs="方正仿宋_GBK"/>
          <w:smallCaps/>
          <w:kern w:val="0"/>
          <w:sz w:val="32"/>
          <w:szCs w:val="32"/>
        </w:rPr>
        <w:t>VR/AR</w:t>
      </w:r>
      <w:r>
        <w:rPr>
          <w:rFonts w:hint="eastAsia" w:ascii="方正仿宋_GBK" w:hAnsi="方正仿宋_GBK" w:eastAsia="方正仿宋_GBK" w:cs="方正仿宋_GBK"/>
          <w:smallCaps/>
          <w:kern w:val="0"/>
          <w:sz w:val="32"/>
          <w:szCs w:val="32"/>
        </w:rPr>
        <w:t>、大数据等现代信息技术手段，搭建会展服务云平台，打造“线上</w:t>
      </w:r>
      <w:r>
        <w:rPr>
          <w:rFonts w:ascii="方正仿宋_GBK" w:hAnsi="方正仿宋_GBK" w:eastAsia="方正仿宋_GBK" w:cs="方正仿宋_GBK"/>
          <w:smallCaps/>
          <w:kern w:val="0"/>
          <w:sz w:val="32"/>
          <w:szCs w:val="32"/>
        </w:rPr>
        <w:t>+</w:t>
      </w:r>
      <w:r>
        <w:rPr>
          <w:rFonts w:hint="eastAsia" w:ascii="方正仿宋_GBK" w:hAnsi="方正仿宋_GBK" w:eastAsia="方正仿宋_GBK" w:cs="方正仿宋_GBK"/>
          <w:smallCaps/>
          <w:kern w:val="0"/>
          <w:sz w:val="32"/>
          <w:szCs w:val="32"/>
        </w:rPr>
        <w:t>线下”云展会新业态。完善会展服务体系，推进会展与商贸、旅游、文化等多业态融合发展，延伸会展经济产业链条，将会展客流吸引到我区，把购物、餐饮、住宿等关联消费留在我区。到</w:t>
      </w:r>
      <w:r>
        <w:rPr>
          <w:rFonts w:ascii="方正仿宋_GBK" w:hAnsi="方正仿宋_GBK" w:eastAsia="方正仿宋_GBK" w:cs="方正仿宋_GBK"/>
          <w:smallCaps/>
          <w:kern w:val="0"/>
          <w:sz w:val="32"/>
          <w:szCs w:val="32"/>
        </w:rPr>
        <w:t>2025</w:t>
      </w:r>
      <w:r>
        <w:rPr>
          <w:rFonts w:hint="eastAsia" w:ascii="方正仿宋_GBK" w:hAnsi="方正仿宋_GBK" w:eastAsia="方正仿宋_GBK" w:cs="方正仿宋_GBK"/>
          <w:smallCaps/>
          <w:kern w:val="0"/>
          <w:sz w:val="32"/>
          <w:szCs w:val="32"/>
        </w:rPr>
        <w:t>年，实现会展直接收入</w:t>
      </w:r>
      <w:r>
        <w:rPr>
          <w:rFonts w:ascii="方正仿宋_GBK" w:hAnsi="方正仿宋_GBK" w:eastAsia="方正仿宋_GBK" w:cs="方正仿宋_GBK"/>
          <w:smallCaps/>
          <w:kern w:val="0"/>
          <w:sz w:val="32"/>
          <w:szCs w:val="32"/>
        </w:rPr>
        <w:t>41</w:t>
      </w:r>
      <w:r>
        <w:rPr>
          <w:rFonts w:hint="eastAsia" w:ascii="方正仿宋_GBK" w:hAnsi="方正仿宋_GBK" w:eastAsia="方正仿宋_GBK" w:cs="方正仿宋_GBK"/>
          <w:smallCaps/>
          <w:kern w:val="0"/>
          <w:sz w:val="32"/>
          <w:szCs w:val="32"/>
        </w:rPr>
        <w:t>亿元，拉动关联消费突破</w:t>
      </w:r>
      <w:r>
        <w:rPr>
          <w:rFonts w:ascii="方正仿宋_GBK" w:hAnsi="方正仿宋_GBK" w:eastAsia="方正仿宋_GBK" w:cs="方正仿宋_GBK"/>
          <w:smallCaps/>
          <w:kern w:val="0"/>
          <w:sz w:val="32"/>
          <w:szCs w:val="32"/>
        </w:rPr>
        <w:t>400</w:t>
      </w:r>
      <w:r>
        <w:rPr>
          <w:rFonts w:hint="eastAsia" w:ascii="方正仿宋_GBK" w:hAnsi="方正仿宋_GBK" w:eastAsia="方正仿宋_GBK" w:cs="方正仿宋_GBK"/>
          <w:smallCaps/>
          <w:kern w:val="0"/>
          <w:sz w:val="32"/>
          <w:szCs w:val="32"/>
        </w:rPr>
        <w:t>亿元，建成国际会展名城。</w:t>
      </w:r>
    </w:p>
    <w:p>
      <w:pPr>
        <w:pStyle w:val="66"/>
        <w:ind w:left="1600" w:firstLine="320" w:firstLineChars="100"/>
        <w:rPr>
          <w:rFonts w:ascii="方正黑体_GBK" w:hAnsi="方正黑体_GBK" w:eastAsia="方正黑体_GBK" w:cs="方正黑体_GBK"/>
          <w:smallCaps/>
          <w:kern w:val="0"/>
          <w:sz w:val="32"/>
          <w:szCs w:val="32"/>
        </w:rPr>
      </w:pPr>
      <w:r>
        <w:rPr>
          <w:rFonts w:hint="eastAsia" w:ascii="方正黑体_GBK" w:hAnsi="方正黑体_GBK" w:eastAsia="方正黑体_GBK" w:cs="方正黑体_GBK"/>
          <w:smallCaps/>
          <w:kern w:val="0"/>
          <w:sz w:val="32"/>
          <w:szCs w:val="32"/>
        </w:rPr>
        <w:t>专栏</w:t>
      </w:r>
      <w:r>
        <w:rPr>
          <w:rFonts w:ascii="方正黑体_GBK" w:hAnsi="方正黑体_GBK" w:eastAsia="方正黑体_GBK" w:cs="方正黑体_GBK"/>
          <w:smallCaps/>
          <w:kern w:val="0"/>
          <w:sz w:val="32"/>
          <w:szCs w:val="32"/>
        </w:rPr>
        <w:t xml:space="preserve">7  </w:t>
      </w:r>
      <w:r>
        <w:rPr>
          <w:rFonts w:hint="eastAsia" w:ascii="方正黑体_GBK" w:hAnsi="方正黑体_GBK" w:eastAsia="方正黑体_GBK" w:cs="方正黑体_GBK"/>
          <w:smallCaps/>
          <w:kern w:val="0"/>
          <w:sz w:val="32"/>
          <w:szCs w:val="32"/>
        </w:rPr>
        <w:t>商务会展业发展重点</w:t>
      </w:r>
    </w:p>
    <w:tbl>
      <w:tblPr>
        <w:tblStyle w:val="32"/>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5" w:type="dxa"/>
          </w:tcPr>
          <w:p>
            <w:pPr>
              <w:spacing w:line="44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1.</w:t>
            </w:r>
            <w:r>
              <w:rPr>
                <w:rFonts w:hint="eastAsia" w:ascii="方正黑体_GBK" w:hAnsi="方正黑体_GBK" w:eastAsia="方正黑体_GBK" w:cs="方正黑体_GBK"/>
                <w:sz w:val="24"/>
                <w:szCs w:val="24"/>
              </w:rPr>
              <w:t>提升悦来国际会展城发展能级</w:t>
            </w:r>
          </w:p>
          <w:p>
            <w:pPr>
              <w:spacing w:line="400" w:lineRule="exact"/>
              <w:ind w:firstLine="480" w:firstLineChars="200"/>
              <w:rPr>
                <w:rFonts w:ascii="宋体" w:cs="宋体"/>
                <w:sz w:val="24"/>
                <w:szCs w:val="24"/>
              </w:rPr>
            </w:pPr>
            <w:r>
              <w:rPr>
                <w:rFonts w:hint="eastAsia" w:ascii="宋体" w:hAnsi="宋体" w:cs="宋体"/>
                <w:sz w:val="24"/>
                <w:szCs w:val="24"/>
              </w:rPr>
              <w:t>支持国博中心打造会展总部基地，加快对国博中心数字化硬件改造，集聚不少于</w:t>
            </w:r>
            <w:r>
              <w:rPr>
                <w:rFonts w:ascii="宋体" w:hAnsi="宋体" w:cs="宋体"/>
                <w:sz w:val="24"/>
                <w:szCs w:val="24"/>
              </w:rPr>
              <w:t>20</w:t>
            </w:r>
            <w:r>
              <w:rPr>
                <w:rFonts w:hint="eastAsia" w:ascii="宋体" w:hAnsi="宋体" w:cs="宋体"/>
                <w:sz w:val="24"/>
                <w:szCs w:val="24"/>
              </w:rPr>
              <w:t>家知名会展企业。打造以会展服务为核心，以交通、物流、金融、旅游、餐饮、住宿等为支撑，以策划、广告、设计、现场服务为配套的会展业集群，加强产城联动，建成知名会展集聚地、会展旅游目的地。</w:t>
            </w:r>
          </w:p>
          <w:p>
            <w:pPr>
              <w:spacing w:line="44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2.</w:t>
            </w:r>
            <w:r>
              <w:rPr>
                <w:rFonts w:hint="eastAsia" w:ascii="方正黑体_GBK" w:hAnsi="方正黑体_GBK" w:eastAsia="方正黑体_GBK" w:cs="方正黑体_GBK"/>
                <w:sz w:val="24"/>
                <w:szCs w:val="24"/>
              </w:rPr>
              <w:t>打造“一核、一轴、两翼”临空会展产业多元化发展布局</w:t>
            </w:r>
          </w:p>
          <w:p>
            <w:pPr>
              <w:spacing w:line="440" w:lineRule="exact"/>
              <w:ind w:firstLine="480" w:firstLineChars="200"/>
              <w:rPr>
                <w:rFonts w:ascii="方正黑体_GBK" w:hAnsi="方正黑体_GBK" w:eastAsia="方正黑体_GBK" w:cs="方正黑体_GBK"/>
                <w:sz w:val="24"/>
                <w:szCs w:val="24"/>
              </w:rPr>
            </w:pPr>
            <w:r>
              <w:rPr>
                <w:rFonts w:hint="eastAsia" w:ascii="宋体" w:hAnsi="宋体" w:cs="宋体"/>
                <w:sz w:val="24"/>
                <w:szCs w:val="24"/>
              </w:rPr>
              <w:t>“一核”即支持国博中心承接更多全国、全市大型会展，加强与国际重要会展组织合作，引进一批具有国际影响力的重要展会落户渝北，做强汽车、电子、智能装备等专业会展品牌。“一轴”即以同茂大道为轴线，南北两侧</w:t>
            </w:r>
            <w:r>
              <w:rPr>
                <w:rFonts w:ascii="宋体" w:hAnsi="宋体" w:cs="宋体"/>
                <w:sz w:val="24"/>
                <w:szCs w:val="24"/>
              </w:rPr>
              <w:t>3</w:t>
            </w:r>
            <w:r>
              <w:rPr>
                <w:rFonts w:hint="eastAsia" w:ascii="宋体" w:hAnsi="宋体" w:cs="宋体"/>
                <w:sz w:val="24"/>
                <w:szCs w:val="24"/>
              </w:rPr>
              <w:t>公里辐射区内延伸会展经济产业链条，培育食宿、购物、商务、休闲、娱乐等全产业链，加快建设城市新型会展商务区。“两翼”即在渝北南部城市区域办好渝北本土优质会展项目，在渝北北部农村区域开展特色乡村旅游节庆活动。</w:t>
            </w:r>
          </w:p>
          <w:p>
            <w:pPr>
              <w:spacing w:line="44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3.</w:t>
            </w:r>
            <w:r>
              <w:rPr>
                <w:rFonts w:hint="eastAsia" w:ascii="方正黑体_GBK" w:hAnsi="方正黑体_GBK" w:eastAsia="方正黑体_GBK" w:cs="方正黑体_GBK"/>
                <w:sz w:val="24"/>
                <w:szCs w:val="24"/>
              </w:rPr>
              <w:t>加强节庆活动营销</w:t>
            </w:r>
          </w:p>
          <w:p>
            <w:pPr>
              <w:spacing w:line="400" w:lineRule="exact"/>
              <w:ind w:firstLine="480" w:firstLineChars="200"/>
              <w:rPr>
                <w:rFonts w:ascii="方正仿宋_GBK" w:hAnsi="方正仿宋_GBK" w:eastAsia="方正仿宋_GBK" w:cs="方正仿宋_GBK"/>
                <w:sz w:val="24"/>
                <w:szCs w:val="24"/>
              </w:rPr>
            </w:pPr>
            <w:r>
              <w:rPr>
                <w:rFonts w:hint="eastAsia" w:ascii="宋体" w:hAnsi="宋体" w:cs="宋体"/>
                <w:sz w:val="24"/>
                <w:szCs w:val="24"/>
              </w:rPr>
              <w:t>充分挖掘现有的特色消费节庆资源，支持举办汽车文化节、“一带一路”进口商品展、夜市文化节、迎春宴席展、三亚湾海鲜节等特色活动，支持国际、国内知名商业运营机构、知名品牌商等开展具有国内外影响力的大型商业活动。推进两江国际商务中心商圈打造会展商务配套区，借助中央公园节庆大道和音乐喷泉广场资源，打造全市最佳外展地。</w:t>
            </w:r>
          </w:p>
        </w:tc>
      </w:tr>
    </w:tbl>
    <w:p>
      <w:pPr>
        <w:pStyle w:val="125"/>
        <w:overflowPunct w:val="0"/>
        <w:adjustRightInd w:val="0"/>
        <w:snapToGrid w:val="0"/>
        <w:spacing w:beforeLines="200" w:afterLines="50" w:line="560" w:lineRule="exact"/>
        <w:ind w:firstLine="0"/>
        <w:jc w:val="center"/>
        <w:outlineLvl w:val="1"/>
        <w:rPr>
          <w:rFonts w:ascii="方正黑体_GBK" w:hAnsi="方正黑体_GBK" w:eastAsia="方正黑体_GBK" w:cs="方正黑体_GBK"/>
          <w:kern w:val="0"/>
          <w:sz w:val="32"/>
          <w:szCs w:val="32"/>
        </w:rPr>
      </w:pPr>
      <w:bookmarkStart w:id="65" w:name="_Toc24607"/>
      <w:bookmarkStart w:id="66" w:name="_Toc6610"/>
      <w:r>
        <w:rPr>
          <w:rFonts w:hint="eastAsia" w:ascii="方正黑体_GBK" w:hAnsi="方正黑体_GBK" w:eastAsia="方正黑体_GBK" w:cs="方正黑体_GBK"/>
          <w:kern w:val="0"/>
          <w:sz w:val="32"/>
          <w:szCs w:val="32"/>
        </w:rPr>
        <w:t>第四章</w:t>
      </w:r>
      <w:r>
        <w:rPr>
          <w:rFonts w:ascii="方正黑体_GBK" w:hAnsi="方正黑体_GBK" w:eastAsia="方正黑体_GBK" w:cs="方正黑体_GBK"/>
          <w:kern w:val="0"/>
          <w:sz w:val="32"/>
          <w:szCs w:val="32"/>
        </w:rPr>
        <w:t xml:space="preserve"> </w:t>
      </w:r>
      <w:bookmarkEnd w:id="65"/>
      <w:r>
        <w:rPr>
          <w:rFonts w:hint="eastAsia" w:ascii="方正黑体_GBK" w:hAnsi="方正黑体_GBK" w:eastAsia="方正黑体_GBK" w:cs="方正黑体_GBK"/>
          <w:kern w:val="0"/>
          <w:sz w:val="32"/>
          <w:szCs w:val="32"/>
        </w:rPr>
        <w:t>提档升级生活性服务业</w:t>
      </w:r>
      <w:bookmarkEnd w:id="66"/>
    </w:p>
    <w:p>
      <w:pPr>
        <w:spacing w:line="560" w:lineRule="exact"/>
        <w:ind w:firstLine="640" w:firstLineChars="200"/>
        <w:rPr>
          <w:rFonts w:eastAsia="方正仿宋_GBK"/>
          <w:sz w:val="32"/>
          <w:szCs w:val="32"/>
        </w:rPr>
      </w:pPr>
      <w:r>
        <w:rPr>
          <w:rFonts w:hint="eastAsia" w:eastAsia="方正仿宋_GBK"/>
          <w:sz w:val="32"/>
          <w:szCs w:val="32"/>
        </w:rPr>
        <w:t>提档升级文化旅游业、康养休闲业、商贸服务业及其他生活性服务业，推动生活性服务业向精细化、多样化和高品质转变，全面提高生活性服务业的规模、品质和效益。</w:t>
      </w:r>
    </w:p>
    <w:p>
      <w:pPr>
        <w:pStyle w:val="3"/>
        <w:spacing w:beforeLines="50" w:afterLines="50" w:line="560" w:lineRule="exact"/>
        <w:ind w:left="210"/>
        <w:contextualSpacing/>
        <w:jc w:val="center"/>
        <w:rPr>
          <w:rFonts w:ascii="方正楷体_GBK" w:hAnsi="方正楷体_GBK" w:eastAsia="方正楷体_GBK" w:cs="方正楷体_GBK"/>
          <w:kern w:val="0"/>
          <w:sz w:val="32"/>
          <w:szCs w:val="32"/>
        </w:rPr>
      </w:pPr>
      <w:bookmarkStart w:id="67" w:name="_Toc15803"/>
      <w:bookmarkStart w:id="68" w:name="_Toc11686"/>
      <w:r>
        <w:rPr>
          <w:rFonts w:hint="eastAsia" w:ascii="方正楷体_GBK" w:hAnsi="方正楷体_GBK" w:eastAsia="方正楷体_GBK" w:cs="方正楷体_GBK"/>
          <w:kern w:val="0"/>
          <w:sz w:val="32"/>
          <w:szCs w:val="32"/>
        </w:rPr>
        <w:t>第一节</w:t>
      </w:r>
      <w:r>
        <w:rPr>
          <w:rFonts w:ascii="方正楷体_GBK" w:hAnsi="方正楷体_GBK" w:eastAsia="方正楷体_GBK" w:cs="方正楷体_GBK"/>
          <w:kern w:val="0"/>
          <w:sz w:val="32"/>
          <w:szCs w:val="32"/>
        </w:rPr>
        <w:t xml:space="preserve"> </w:t>
      </w:r>
      <w:bookmarkEnd w:id="67"/>
      <w:r>
        <w:rPr>
          <w:rFonts w:hint="eastAsia" w:ascii="方正楷体_GBK" w:hAnsi="方正楷体_GBK" w:eastAsia="方正楷体_GBK" w:cs="方正楷体_GBK"/>
          <w:kern w:val="0"/>
          <w:sz w:val="32"/>
          <w:szCs w:val="32"/>
        </w:rPr>
        <w:t>提档升级文化旅游业</w:t>
      </w:r>
      <w:bookmarkEnd w:id="68"/>
    </w:p>
    <w:p>
      <w:pPr>
        <w:spacing w:line="560" w:lineRule="exact"/>
        <w:ind w:firstLine="640" w:firstLineChars="200"/>
        <w:rPr>
          <w:rFonts w:eastAsia="方正仿宋_GBK"/>
          <w:sz w:val="32"/>
          <w:szCs w:val="32"/>
        </w:rPr>
      </w:pPr>
      <w:r>
        <w:rPr>
          <w:rFonts w:hint="eastAsia" w:eastAsia="方正仿宋_GBK"/>
          <w:sz w:val="32"/>
          <w:szCs w:val="32"/>
        </w:rPr>
        <w:t>立足渝北生态优势、人文资源和临空特质，充分挖掘文化旅游资源，培育全国知名文旅新地标，打造国际临空文旅城，建设国际范、中国味、巴蜀韵的世界级休闲旅游目的地。抓好统景国际温泉度假区、铜锣山矿山公园、龙兴古镇文旅项目、金紫山石头房子、华蓥山康养度假区等重点文旅项目建设，新创</w:t>
      </w:r>
      <w:r>
        <w:rPr>
          <w:rFonts w:eastAsia="方正仿宋_GBK"/>
          <w:sz w:val="32"/>
          <w:szCs w:val="32"/>
        </w:rPr>
        <w:t>1</w:t>
      </w:r>
      <w:r>
        <w:rPr>
          <w:rFonts w:hint="eastAsia" w:eastAsia="方正仿宋_GBK"/>
          <w:sz w:val="32"/>
          <w:szCs w:val="32"/>
        </w:rPr>
        <w:t>个</w:t>
      </w:r>
      <w:r>
        <w:rPr>
          <w:rFonts w:eastAsia="方正仿宋_GBK"/>
          <w:sz w:val="32"/>
          <w:szCs w:val="32"/>
        </w:rPr>
        <w:t>5A</w:t>
      </w:r>
      <w:r>
        <w:rPr>
          <w:rFonts w:hint="eastAsia" w:eastAsia="方正仿宋_GBK"/>
          <w:sz w:val="32"/>
          <w:szCs w:val="32"/>
        </w:rPr>
        <w:t>级景区、</w:t>
      </w:r>
      <w:r>
        <w:rPr>
          <w:rFonts w:eastAsia="方正仿宋_GBK"/>
          <w:sz w:val="32"/>
          <w:szCs w:val="32"/>
        </w:rPr>
        <w:t>3</w:t>
      </w:r>
      <w:r>
        <w:rPr>
          <w:rFonts w:hint="eastAsia" w:eastAsia="方正仿宋_GBK"/>
          <w:sz w:val="32"/>
          <w:szCs w:val="32"/>
        </w:rPr>
        <w:t>个五星级酒店、</w:t>
      </w:r>
      <w:r>
        <w:rPr>
          <w:rFonts w:eastAsia="方正仿宋_GBK"/>
          <w:sz w:val="32"/>
          <w:szCs w:val="32"/>
        </w:rPr>
        <w:t>1</w:t>
      </w:r>
      <w:r>
        <w:rPr>
          <w:rFonts w:hint="eastAsia" w:eastAsia="方正仿宋_GBK"/>
          <w:sz w:val="32"/>
          <w:szCs w:val="32"/>
        </w:rPr>
        <w:t>个国家级夜间文化旅游消费集聚区和</w:t>
      </w:r>
      <w:r>
        <w:rPr>
          <w:rFonts w:eastAsia="方正仿宋_GBK"/>
          <w:sz w:val="32"/>
          <w:szCs w:val="32"/>
        </w:rPr>
        <w:t>1</w:t>
      </w:r>
      <w:r>
        <w:rPr>
          <w:rFonts w:hint="eastAsia" w:eastAsia="方正仿宋_GBK"/>
          <w:sz w:val="32"/>
          <w:szCs w:val="32"/>
        </w:rPr>
        <w:t>个国家级文化产业示范园区，建成高端民宿</w:t>
      </w:r>
      <w:r>
        <w:rPr>
          <w:rFonts w:eastAsia="方正仿宋_GBK"/>
          <w:sz w:val="32"/>
          <w:szCs w:val="32"/>
        </w:rPr>
        <w:t>30</w:t>
      </w:r>
      <w:r>
        <w:rPr>
          <w:rFonts w:hint="eastAsia" w:eastAsia="方正仿宋_GBK"/>
          <w:sz w:val="32"/>
          <w:szCs w:val="32"/>
        </w:rPr>
        <w:t>家。到</w:t>
      </w:r>
      <w:r>
        <w:rPr>
          <w:rFonts w:eastAsia="方正仿宋_GBK"/>
          <w:sz w:val="32"/>
          <w:szCs w:val="32"/>
        </w:rPr>
        <w:t>2025</w:t>
      </w:r>
      <w:r>
        <w:rPr>
          <w:rFonts w:hint="eastAsia" w:eastAsia="方正仿宋_GBK"/>
          <w:sz w:val="32"/>
          <w:szCs w:val="32"/>
        </w:rPr>
        <w:t>年，全区文化产业增加值占地区生产总值比重达到</w:t>
      </w:r>
      <w:r>
        <w:rPr>
          <w:rFonts w:eastAsia="方正仿宋_GBK"/>
          <w:sz w:val="32"/>
          <w:szCs w:val="32"/>
        </w:rPr>
        <w:t>5%</w:t>
      </w:r>
      <w:r>
        <w:rPr>
          <w:rFonts w:hint="eastAsia" w:eastAsia="方正仿宋_GBK"/>
          <w:sz w:val="32"/>
          <w:szCs w:val="32"/>
        </w:rPr>
        <w:t>，文化旅游产业增加值达到</w:t>
      </w:r>
      <w:r>
        <w:rPr>
          <w:rFonts w:eastAsia="方正仿宋_GBK"/>
          <w:sz w:val="32"/>
          <w:szCs w:val="32"/>
        </w:rPr>
        <w:t>300</w:t>
      </w:r>
      <w:r>
        <w:rPr>
          <w:rFonts w:hint="eastAsia" w:eastAsia="方正仿宋_GBK"/>
          <w:sz w:val="32"/>
          <w:szCs w:val="32"/>
        </w:rPr>
        <w:t>亿元。</w:t>
      </w:r>
    </w:p>
    <w:p>
      <w:pPr>
        <w:spacing w:line="560" w:lineRule="exact"/>
        <w:ind w:firstLine="640" w:firstLineChars="200"/>
        <w:rPr>
          <w:rFonts w:eastAsia="方正仿宋_GBK"/>
          <w:sz w:val="32"/>
          <w:szCs w:val="32"/>
        </w:rPr>
      </w:pPr>
      <w:r>
        <w:rPr>
          <w:rFonts w:hint="eastAsia" w:eastAsia="方正仿宋_GBK"/>
          <w:sz w:val="32"/>
          <w:szCs w:val="32"/>
        </w:rPr>
        <w:t>提升文化产业品质。依托临空文化创意产业走廊，集聚发展文化创意设计、艺术品创作与交易等业态，打造国家级文化创意设计示范展示区。加快推进重庆影视传媒基地</w:t>
      </w:r>
      <w:r>
        <w:rPr>
          <w:rFonts w:eastAsia="方正仿宋_GBK"/>
          <w:sz w:val="32"/>
          <w:szCs w:val="32"/>
        </w:rPr>
        <w:t>—</w:t>
      </w:r>
      <w:r>
        <w:rPr>
          <w:rFonts w:hint="eastAsia" w:eastAsia="方正仿宋_GBK"/>
          <w:sz w:val="32"/>
          <w:szCs w:val="32"/>
        </w:rPr>
        <w:t>重庆纪录片基地建设，培育壮大传媒和影视产业，鼓励创作一批高品质数字文化</w:t>
      </w:r>
      <w:r>
        <w:rPr>
          <w:rFonts w:eastAsia="方正仿宋_GBK"/>
          <w:sz w:val="32"/>
          <w:szCs w:val="32"/>
        </w:rPr>
        <w:t>IP</w:t>
      </w:r>
      <w:r>
        <w:rPr>
          <w:rFonts w:hint="eastAsia" w:eastAsia="方正仿宋_GBK"/>
          <w:sz w:val="32"/>
          <w:szCs w:val="32"/>
        </w:rPr>
        <w:t>精品。加快建设国际舞蹈艺术中心、重庆博物馆等项目，举办中央公园国际文化艺术节、铜锣山矿坑大型音乐会和乡村国际大地艺术节等节会，提高国际国内知名度。依托仙桃数据谷等数字产业基地、服务贸易基地，支持发展数字文化、文化贸易、文化保税等新业态，拓展重庆创意公园，建设重庆文创产品研发基地，打造国家级版权示范园区。</w:t>
      </w:r>
    </w:p>
    <w:p>
      <w:pPr>
        <w:spacing w:line="560" w:lineRule="exact"/>
        <w:ind w:firstLine="640" w:firstLineChars="200"/>
        <w:rPr>
          <w:rFonts w:eastAsia="方正仿宋_GBK"/>
          <w:sz w:val="32"/>
          <w:szCs w:val="32"/>
        </w:rPr>
      </w:pPr>
      <w:r>
        <w:rPr>
          <w:rFonts w:hint="eastAsia" w:eastAsia="方正仿宋_GBK"/>
          <w:sz w:val="32"/>
          <w:szCs w:val="32"/>
        </w:rPr>
        <w:t>打造全域旅游升级版。紧扣临空都市旅游，塑造“临空都市、魅力渝北”旅游形象，加快发展会展文旅游、智慧体验游和工业旅游等业态，打造“欢乐环山”等都市文旅综合体，培育一批特色性的都市旅游项目。加快推进统景国际温泉度假区创建</w:t>
      </w:r>
      <w:r>
        <w:rPr>
          <w:rFonts w:eastAsia="方正仿宋_GBK"/>
          <w:sz w:val="32"/>
          <w:szCs w:val="32"/>
        </w:rPr>
        <w:t>5A</w:t>
      </w:r>
      <w:r>
        <w:rPr>
          <w:rFonts w:hint="eastAsia" w:eastAsia="方正仿宋_GBK"/>
          <w:sz w:val="32"/>
          <w:szCs w:val="32"/>
        </w:rPr>
        <w:t>级景区，升级发展温泉康养配套产业。深度拓展乡村旅游功能，推动传统“农家乐”向文化体验、乡村休闲度假转型，依托“三环十景”，提质打造古洛环线乡村振兴示范带等重点项目，打造一批精品乡村民宿和红色旅游基地，通过串点成线、连线成片，形成以华蓥山、铜锣山、明月山为主轴的</w:t>
      </w:r>
      <w:r>
        <w:rPr>
          <w:rFonts w:eastAsia="方正仿宋_GBK"/>
          <w:sz w:val="32"/>
          <w:szCs w:val="32"/>
        </w:rPr>
        <w:t>3</w:t>
      </w:r>
      <w:r>
        <w:rPr>
          <w:rFonts w:hint="eastAsia" w:eastAsia="方正仿宋_GBK"/>
          <w:sz w:val="32"/>
          <w:szCs w:val="32"/>
        </w:rPr>
        <w:t>个超大规模农旅文融合美丽乡村综合体。发展度假避暑、自驾露营、民俗体验等文旅融合产品，策划包装“渝北·宿集”旅游民宿品牌，打造重庆高端精品民宿集聚区。促进川渝两地文化旅游资源开放共享，共同开发巴蜀文化旅游产品，联合打造跨省区精品旅游线路。</w:t>
      </w:r>
    </w:p>
    <w:p>
      <w:pPr>
        <w:spacing w:line="560" w:lineRule="exact"/>
        <w:ind w:firstLine="640" w:firstLineChars="200"/>
        <w:rPr>
          <w:rFonts w:eastAsia="方正仿宋_GBK"/>
          <w:sz w:val="32"/>
          <w:szCs w:val="32"/>
        </w:rPr>
      </w:pPr>
      <w:r>
        <w:rPr>
          <w:rFonts w:hint="eastAsia" w:eastAsia="方正仿宋_GBK"/>
          <w:sz w:val="32"/>
          <w:szCs w:val="32"/>
        </w:rPr>
        <w:t>加强文旅品牌营销与推广。突出“巴渝印象”“巴渝魔幻”“巴渝古镇”“巴渝乡愁”四大巴渝品牌，开创渝北</w:t>
      </w:r>
      <w:r>
        <w:rPr>
          <w:rFonts w:eastAsia="方正仿宋_GBK"/>
          <w:sz w:val="32"/>
          <w:szCs w:val="32"/>
        </w:rPr>
        <w:t>IP</w:t>
      </w:r>
      <w:r>
        <w:rPr>
          <w:rFonts w:hint="eastAsia" w:eastAsia="方正仿宋_GBK"/>
          <w:sz w:val="32"/>
          <w:szCs w:val="32"/>
        </w:rPr>
        <w:t>，创造更多体验式、沉浸式、互动式的新场景。加强文旅市场营销体系建设。支持文创产品开发设计，发展文旅消费品。加强文化旅游宣传推广，策划推出系列渝北文化旅游宣传产品，组织参加国际国内文化旅游展会和宣传推介交流活动，助力文旅项目“请进来”和文艺精品“走出去”，扩大全球影响力。</w:t>
      </w:r>
    </w:p>
    <w:p>
      <w:pPr>
        <w:pStyle w:val="66"/>
        <w:ind w:left="1600" w:firstLine="320" w:firstLineChars="100"/>
        <w:rPr>
          <w:rFonts w:ascii="方正黑体_GBK" w:hAnsi="方正黑体_GBK" w:eastAsia="方正黑体_GBK" w:cs="方正黑体_GBK"/>
          <w:smallCaps/>
          <w:kern w:val="0"/>
          <w:sz w:val="32"/>
          <w:szCs w:val="32"/>
        </w:rPr>
      </w:pPr>
      <w:r>
        <w:rPr>
          <w:rFonts w:hint="eastAsia" w:ascii="方正黑体_GBK" w:hAnsi="方正黑体_GBK" w:eastAsia="方正黑体_GBK" w:cs="方正黑体_GBK"/>
          <w:smallCaps/>
          <w:kern w:val="0"/>
          <w:sz w:val="32"/>
          <w:szCs w:val="32"/>
        </w:rPr>
        <w:t>专栏</w:t>
      </w:r>
      <w:r>
        <w:rPr>
          <w:rFonts w:ascii="方正黑体_GBK" w:hAnsi="方正黑体_GBK" w:eastAsia="方正黑体_GBK" w:cs="方正黑体_GBK"/>
          <w:smallCaps/>
          <w:kern w:val="0"/>
          <w:sz w:val="32"/>
          <w:szCs w:val="32"/>
        </w:rPr>
        <w:t xml:space="preserve">8  </w:t>
      </w:r>
      <w:r>
        <w:rPr>
          <w:rFonts w:hint="eastAsia" w:ascii="方正黑体_GBK" w:hAnsi="方正黑体_GBK" w:eastAsia="方正黑体_GBK" w:cs="方正黑体_GBK"/>
          <w:smallCaps/>
          <w:kern w:val="0"/>
          <w:sz w:val="32"/>
          <w:szCs w:val="32"/>
        </w:rPr>
        <w:t>文化旅游业发展重点</w:t>
      </w:r>
    </w:p>
    <w:tbl>
      <w:tblPr>
        <w:tblStyle w:val="32"/>
        <w:tblW w:w="85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1" w:type="dxa"/>
          </w:tcPr>
          <w:p>
            <w:pPr>
              <w:widowControl/>
              <w:numPr>
                <w:ilvl w:val="0"/>
                <w:numId w:val="1"/>
              </w:numPr>
              <w:snapToGrid w:val="0"/>
              <w:spacing w:line="420" w:lineRule="exact"/>
              <w:rPr>
                <w:rFonts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建设国际临空文旅城</w:t>
            </w:r>
          </w:p>
          <w:p>
            <w:pPr>
              <w:widowControl/>
              <w:snapToGrid w:val="0"/>
              <w:spacing w:line="420" w:lineRule="exact"/>
              <w:ind w:firstLine="480" w:firstLineChars="200"/>
              <w:rPr>
                <w:rFonts w:ascii="宋体" w:cs="宋体"/>
                <w:sz w:val="24"/>
                <w:szCs w:val="24"/>
              </w:rPr>
            </w:pPr>
            <w:r>
              <w:rPr>
                <w:rFonts w:hint="eastAsia" w:ascii="宋体" w:hAnsi="宋体" w:cs="宋体"/>
                <w:sz w:val="24"/>
                <w:szCs w:val="24"/>
              </w:rPr>
              <w:t>打造临空都市文化旅游品牌，借助江北国际机场、国博中心、中央公园、两江国际商务中心、空港综保区、仙桃国际数据谷等优质资源，依托国际口岸、国际资源平台、高端消费人群聚集等优势，推动城市文化旅游集聚发展。</w:t>
            </w:r>
          </w:p>
          <w:p>
            <w:pPr>
              <w:widowControl/>
              <w:numPr>
                <w:ilvl w:val="0"/>
                <w:numId w:val="1"/>
              </w:numPr>
              <w:snapToGrid w:val="0"/>
              <w:spacing w:line="420" w:lineRule="exact"/>
              <w:rPr>
                <w:rFonts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提升乡村旅游品质</w:t>
            </w:r>
          </w:p>
          <w:p>
            <w:pPr>
              <w:spacing w:line="400" w:lineRule="exact"/>
              <w:ind w:firstLine="480" w:firstLineChars="200"/>
              <w:rPr>
                <w:rFonts w:ascii="宋体" w:cs="宋体"/>
                <w:sz w:val="24"/>
                <w:szCs w:val="24"/>
              </w:rPr>
            </w:pPr>
            <w:r>
              <w:rPr>
                <w:rFonts w:hint="eastAsia" w:ascii="宋体" w:hAnsi="宋体" w:cs="宋体"/>
                <w:sz w:val="24"/>
                <w:szCs w:val="24"/>
              </w:rPr>
              <w:t>围绕“吃住行游购娱”，以茨兴线、玉矿线、古洛线三条精品线路为载体，推进高端民宿集聚区建设，重点发展“斗碗寨”临崖风光带、环山公园等近郊特色餐饮民宿，玉峰山、小天池、白云山、华蓥山等高端民宿集聚区。加强兴隆“春牛喜耕”、木耳“新乡田园”等艺术乡建示范村建设。</w:t>
            </w:r>
          </w:p>
          <w:p>
            <w:pPr>
              <w:widowControl/>
              <w:snapToGrid w:val="0"/>
              <w:spacing w:line="42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3.</w:t>
            </w:r>
            <w:r>
              <w:rPr>
                <w:rFonts w:hint="eastAsia" w:ascii="方正黑体_GBK" w:hAnsi="方正黑体_GBK" w:eastAsia="方正黑体_GBK" w:cs="方正黑体_GBK"/>
                <w:sz w:val="24"/>
                <w:szCs w:val="24"/>
              </w:rPr>
              <w:t>发展数字文旅新业态</w:t>
            </w:r>
          </w:p>
          <w:p>
            <w:pPr>
              <w:spacing w:line="400" w:lineRule="exact"/>
              <w:ind w:firstLine="480" w:firstLineChars="200"/>
              <w:rPr>
                <w:rFonts w:ascii="宋体" w:cs="宋体"/>
                <w:sz w:val="24"/>
                <w:szCs w:val="24"/>
              </w:rPr>
            </w:pPr>
            <w:r>
              <w:rPr>
                <w:rFonts w:hint="eastAsia" w:ascii="宋体" w:hAnsi="宋体" w:cs="宋体"/>
                <w:sz w:val="24"/>
                <w:szCs w:val="24"/>
              </w:rPr>
              <w:t>支持运用</w:t>
            </w:r>
            <w:r>
              <w:rPr>
                <w:rFonts w:ascii="宋体" w:hAnsi="宋体" w:cs="宋体"/>
                <w:sz w:val="24"/>
                <w:szCs w:val="24"/>
              </w:rPr>
              <w:t>5G</w:t>
            </w:r>
            <w:r>
              <w:rPr>
                <w:rFonts w:hint="eastAsia" w:ascii="宋体" w:hAnsi="宋体" w:cs="宋体"/>
                <w:sz w:val="24"/>
                <w:szCs w:val="24"/>
              </w:rPr>
              <w:t>、超高清、虚拟现实等数字技术提升文旅产业，推动在线院线、数字博物馆、图书馆等应用示范项目，扶持发展数字景区、数字出版、数字影音、</w:t>
            </w:r>
            <w:r>
              <w:rPr>
                <w:rFonts w:ascii="宋体" w:hAnsi="宋体" w:cs="宋体"/>
                <w:sz w:val="24"/>
                <w:szCs w:val="24"/>
              </w:rPr>
              <w:t>VR/AR</w:t>
            </w:r>
            <w:r>
              <w:rPr>
                <w:rFonts w:hint="eastAsia" w:ascii="宋体" w:hAnsi="宋体" w:cs="宋体"/>
                <w:sz w:val="24"/>
                <w:szCs w:val="24"/>
              </w:rPr>
              <w:t>游戏、全息展览、文化智能装备等“数字文体游娱”新型业态。推动重庆国盛数字文化产业园、长河白鹤片区“西部影都”项目、重庆游戏产业园等建设。</w:t>
            </w:r>
          </w:p>
          <w:p>
            <w:pPr>
              <w:widowControl/>
              <w:numPr>
                <w:ilvl w:val="0"/>
                <w:numId w:val="1"/>
              </w:numPr>
              <w:snapToGrid w:val="0"/>
              <w:spacing w:line="420" w:lineRule="exact"/>
              <w:rPr>
                <w:rFonts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推动建设巴蜀文化旅游走廊</w:t>
            </w:r>
          </w:p>
          <w:p>
            <w:pPr>
              <w:widowControl/>
              <w:snapToGrid w:val="0"/>
              <w:spacing w:line="420" w:lineRule="exact"/>
              <w:ind w:firstLine="480" w:firstLineChars="200"/>
              <w:rPr>
                <w:szCs w:val="32"/>
              </w:rPr>
            </w:pPr>
            <w:r>
              <w:rPr>
                <w:rFonts w:hint="eastAsia" w:ascii="方正黑体_GBK" w:hAnsi="方正黑体_GBK" w:eastAsia="方正黑体_GBK" w:cs="方正黑体_GBK"/>
                <w:sz w:val="24"/>
                <w:szCs w:val="24"/>
              </w:rPr>
              <w:t>联合打造红色精品旅游线路。</w:t>
            </w:r>
            <w:r>
              <w:rPr>
                <w:rFonts w:hint="eastAsia" w:ascii="宋体" w:hAnsi="宋体" w:cs="宋体"/>
                <w:sz w:val="24"/>
                <w:szCs w:val="24"/>
              </w:rPr>
              <w:t>联动渝北王朴烈士纪念碑、大盛明月张伦烈士墓、广安邓小平故居、华蓥山游击队等红色文化教育基地，打造红色精品旅游线路。</w:t>
            </w:r>
            <w:r>
              <w:rPr>
                <w:rFonts w:hint="eastAsia" w:ascii="方正黑体_GBK" w:hAnsi="方正黑体_GBK" w:eastAsia="方正黑体_GBK" w:cs="方正黑体_GBK"/>
                <w:sz w:val="24"/>
                <w:szCs w:val="24"/>
              </w:rPr>
              <w:t>联合打造自然风光精品旅游线路。</w:t>
            </w:r>
            <w:r>
              <w:rPr>
                <w:rFonts w:hint="eastAsia" w:ascii="宋体" w:hAnsi="宋体" w:cs="宋体"/>
                <w:sz w:val="24"/>
                <w:szCs w:val="24"/>
              </w:rPr>
              <w:t>联合提升广安五华山、邻水天意谷、统景温泉风景区、铜锣山国家矿山公园等天然景观，打造自然风光精品旅游线路。与广安市共建华蓥山宝鼎风景区，打造跨省界特色旅游示范带。</w:t>
            </w:r>
          </w:p>
        </w:tc>
      </w:tr>
    </w:tbl>
    <w:p>
      <w:pPr>
        <w:pStyle w:val="3"/>
        <w:spacing w:beforeLines="50" w:afterLines="50" w:line="560" w:lineRule="exact"/>
        <w:ind w:left="210"/>
        <w:contextualSpacing/>
        <w:jc w:val="center"/>
        <w:rPr>
          <w:rFonts w:ascii="方正楷体_GBK" w:hAnsi="方正楷体_GBK" w:eastAsia="方正楷体_GBK" w:cs="方正楷体_GBK"/>
          <w:kern w:val="0"/>
          <w:sz w:val="32"/>
          <w:szCs w:val="32"/>
        </w:rPr>
      </w:pPr>
      <w:bookmarkStart w:id="69" w:name="_Toc20913"/>
      <w:bookmarkStart w:id="70" w:name="_Toc3189"/>
      <w:r>
        <w:rPr>
          <w:rFonts w:hint="eastAsia" w:ascii="方正楷体_GBK" w:hAnsi="方正楷体_GBK" w:eastAsia="方正楷体_GBK" w:cs="方正楷体_GBK"/>
          <w:kern w:val="0"/>
          <w:sz w:val="32"/>
          <w:szCs w:val="32"/>
        </w:rPr>
        <w:t>第二节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提档升级康养休闲</w:t>
      </w:r>
      <w:bookmarkEnd w:id="69"/>
      <w:r>
        <w:rPr>
          <w:rFonts w:hint="eastAsia" w:ascii="方正楷体_GBK" w:hAnsi="方正楷体_GBK" w:eastAsia="方正楷体_GBK" w:cs="方正楷体_GBK"/>
          <w:kern w:val="0"/>
          <w:sz w:val="32"/>
          <w:szCs w:val="32"/>
        </w:rPr>
        <w:t>业</w:t>
      </w:r>
      <w:bookmarkEnd w:id="70"/>
    </w:p>
    <w:p>
      <w:pPr>
        <w:spacing w:line="560" w:lineRule="exact"/>
        <w:ind w:firstLine="640" w:firstLineChars="200"/>
        <w:rPr>
          <w:rFonts w:eastAsia="方正仿宋_GBK"/>
          <w:sz w:val="32"/>
          <w:szCs w:val="32"/>
        </w:rPr>
      </w:pPr>
      <w:r>
        <w:rPr>
          <w:rFonts w:hint="eastAsia" w:eastAsia="方正仿宋_GBK"/>
          <w:sz w:val="32"/>
          <w:szCs w:val="32"/>
        </w:rPr>
        <w:t>抓好健康中国渝北行动，提升全民健康意识，围绕从出生到终老的全生命周期过程，打造具有渝北特色的、以医疗健康、康养休闲、体育健身等产业为主的，覆盖全人群，全链条、全健康过程、全生命周期的大健康全产业链。围绕多层次需求，整合医疗卫生、生态环境、自然人文和食品药材等优质资源，推动医养疗、文旅体相关产业深度融合发展，建设大健康产业融合发展示范区，打造国内外知名康养胜地，实现健康资源全域优化、健康产业全域联动、健康成果全民共享。力争到</w:t>
      </w:r>
      <w:r>
        <w:rPr>
          <w:rFonts w:eastAsia="方正仿宋_GBK"/>
          <w:sz w:val="32"/>
          <w:szCs w:val="32"/>
        </w:rPr>
        <w:t>2025</w:t>
      </w:r>
      <w:r>
        <w:rPr>
          <w:rFonts w:hint="eastAsia" w:eastAsia="方正仿宋_GBK"/>
          <w:sz w:val="32"/>
          <w:szCs w:val="32"/>
        </w:rPr>
        <w:t>年，康养休闲业营业收入达到</w:t>
      </w:r>
      <w:r>
        <w:rPr>
          <w:rFonts w:eastAsia="方正仿宋_GBK"/>
          <w:sz w:val="32"/>
          <w:szCs w:val="32"/>
        </w:rPr>
        <w:t>200</w:t>
      </w:r>
      <w:r>
        <w:rPr>
          <w:rFonts w:hint="eastAsia" w:eastAsia="方正仿宋_GBK"/>
          <w:sz w:val="32"/>
          <w:szCs w:val="32"/>
        </w:rPr>
        <w:t>亿元。</w:t>
      </w:r>
    </w:p>
    <w:p>
      <w:pPr>
        <w:spacing w:line="560" w:lineRule="exact"/>
        <w:ind w:firstLine="640" w:firstLineChars="200"/>
        <w:rPr>
          <w:rFonts w:eastAsia="方正仿宋_GBK"/>
          <w:sz w:val="32"/>
          <w:szCs w:val="32"/>
        </w:rPr>
      </w:pPr>
      <w:r>
        <w:rPr>
          <w:rFonts w:hint="eastAsia" w:eastAsia="方正仿宋_GBK"/>
          <w:sz w:val="32"/>
          <w:szCs w:val="32"/>
        </w:rPr>
        <w:t>构建优质医疗健康服务体系。坚持“大卫生大健康观”，加强医院项目和基层医疗机构基础建设，建成“</w:t>
      </w:r>
      <w:r>
        <w:rPr>
          <w:rFonts w:eastAsia="方正仿宋_GBK"/>
          <w:sz w:val="32"/>
          <w:szCs w:val="32"/>
        </w:rPr>
        <w:t>15</w:t>
      </w:r>
      <w:r>
        <w:rPr>
          <w:rFonts w:hint="eastAsia" w:eastAsia="方正仿宋_GBK"/>
          <w:sz w:val="32"/>
          <w:szCs w:val="32"/>
        </w:rPr>
        <w:t>分钟基本医疗卫生服务圈”，实现镇街医疗机构“全面覆盖、全面达标”目标。健全中医药健康服务体系，鼓励社会力量举办中医经络按摩馆、养生馆、药膳馆等，发展康复医院、保健院、疗养院等特色健康医养服务。支持发展国际化医疗服务，引入并办好国际医院，引入树兰医疗集团等一批高端民营医疗资源。大力发展智慧医疗健康服务，深入推进“互联网</w:t>
      </w:r>
      <w:r>
        <w:rPr>
          <w:rFonts w:eastAsia="方正仿宋_GBK"/>
          <w:sz w:val="32"/>
          <w:szCs w:val="32"/>
        </w:rPr>
        <w:t>+</w:t>
      </w:r>
      <w:r>
        <w:rPr>
          <w:rFonts w:hint="eastAsia" w:eastAsia="方正仿宋_GBK"/>
          <w:sz w:val="32"/>
          <w:szCs w:val="32"/>
        </w:rPr>
        <w:t>医疗健康”示范行动，完善“渝北健康云”平台，覆盖居民全生命周期健康服务全过程，优化线上线下一体化智慧医疗健康服务。建设智慧医院，推进远程医疗协作网络建设，完善区人民医院远程医疗中心运行机制，积极开展远程影像、远程心电、远程会诊、远程培训等服务。到</w:t>
      </w:r>
      <w:r>
        <w:rPr>
          <w:rFonts w:eastAsia="方正仿宋_GBK"/>
          <w:sz w:val="32"/>
          <w:szCs w:val="32"/>
        </w:rPr>
        <w:t>2025</w:t>
      </w:r>
      <w:r>
        <w:rPr>
          <w:rFonts w:hint="eastAsia" w:eastAsia="方正仿宋_GBK"/>
          <w:sz w:val="32"/>
          <w:szCs w:val="32"/>
        </w:rPr>
        <w:t>年，全区三级甲等医院达到</w:t>
      </w:r>
      <w:r>
        <w:rPr>
          <w:rFonts w:eastAsia="方正仿宋_GBK"/>
          <w:sz w:val="32"/>
          <w:szCs w:val="32"/>
        </w:rPr>
        <w:t>4</w:t>
      </w:r>
      <w:r>
        <w:rPr>
          <w:rFonts w:hint="eastAsia" w:eastAsia="方正仿宋_GBK"/>
          <w:sz w:val="32"/>
          <w:szCs w:val="32"/>
        </w:rPr>
        <w:t>家，互联网医院达到</w:t>
      </w:r>
      <w:r>
        <w:rPr>
          <w:rFonts w:eastAsia="方正仿宋_GBK"/>
          <w:sz w:val="32"/>
          <w:szCs w:val="32"/>
        </w:rPr>
        <w:t>3-5</w:t>
      </w:r>
      <w:r>
        <w:rPr>
          <w:rFonts w:hint="eastAsia" w:eastAsia="方正仿宋_GBK"/>
          <w:sz w:val="32"/>
          <w:szCs w:val="32"/>
        </w:rPr>
        <w:t>家，全区每千人拥有编制床位数为</w:t>
      </w:r>
      <w:r>
        <w:rPr>
          <w:rFonts w:eastAsia="方正仿宋_GBK"/>
          <w:sz w:val="32"/>
          <w:szCs w:val="32"/>
        </w:rPr>
        <w:t>6.19</w:t>
      </w:r>
      <w:r>
        <w:rPr>
          <w:rFonts w:hint="eastAsia" w:eastAsia="方正仿宋_GBK"/>
          <w:sz w:val="32"/>
          <w:szCs w:val="32"/>
        </w:rPr>
        <w:t>张，每千人拥有执业（助理）医师数达到</w:t>
      </w:r>
      <w:r>
        <w:rPr>
          <w:rFonts w:eastAsia="方正仿宋_GBK"/>
          <w:sz w:val="32"/>
          <w:szCs w:val="32"/>
        </w:rPr>
        <w:t>3.8</w:t>
      </w:r>
      <w:r>
        <w:rPr>
          <w:rFonts w:hint="eastAsia" w:eastAsia="方正仿宋_GBK"/>
          <w:sz w:val="32"/>
          <w:szCs w:val="32"/>
        </w:rPr>
        <w:t>人。</w:t>
      </w:r>
    </w:p>
    <w:p>
      <w:pPr>
        <w:spacing w:line="560" w:lineRule="exact"/>
        <w:ind w:firstLine="640" w:firstLineChars="200"/>
        <w:rPr>
          <w:rFonts w:eastAsia="方正仿宋_GBK"/>
          <w:sz w:val="32"/>
          <w:szCs w:val="32"/>
        </w:rPr>
      </w:pPr>
      <w:r>
        <w:rPr>
          <w:rFonts w:hint="eastAsia" w:eastAsia="方正仿宋_GBK"/>
          <w:sz w:val="32"/>
          <w:szCs w:val="32"/>
        </w:rPr>
        <w:t>打造高品质康养服务产业体系。培育打造一批集康养、休闲、运动于一体的文旅体康养项目，促进健康与文旅、养老、体育、食品等深度融合，加快发展健康服务产业园区。以市场需求为牵引，加快发展温泉康养、森林康养、避暑康养等业态，加快建设渝北康养中心、玉峰山康养度假基地等项目，打造高品质康养基地、度假酒店等，</w:t>
      </w:r>
      <w:r>
        <w:rPr>
          <w:rFonts w:hint="eastAsia" w:eastAsia="方正仿宋_GBK"/>
          <w:sz w:val="32"/>
          <w:szCs w:val="32"/>
          <w:lang w:val="zh-TW"/>
        </w:rPr>
        <w:t>建成四季皆宜的国际知名康养胜地</w:t>
      </w:r>
      <w:r>
        <w:rPr>
          <w:rFonts w:hint="eastAsia" w:eastAsia="方正仿宋_GBK"/>
          <w:sz w:val="32"/>
          <w:szCs w:val="32"/>
        </w:rPr>
        <w:t>。推进全民健身活动，鼓励建设健康管理中心、康体健身中心，培育健康管理师，推动康复调理、健康保健、康体健身、食疗养生和亚健康改善等健康生活服务，促进家用型医疗设备、康复器械、保健器械、养生仪器、中药材、医用器械和材料，保健食品市场健康发展。发展健康保障服务，推动互联网医疗保险和健康养老市场发展，深化长期护理保险，适度拓展长期护理保险试点范围，重点解决重度失能人员基本护理保障需求。</w:t>
      </w:r>
    </w:p>
    <w:p>
      <w:pPr>
        <w:spacing w:line="560" w:lineRule="exact"/>
        <w:ind w:firstLine="640" w:firstLineChars="200"/>
        <w:rPr>
          <w:rFonts w:eastAsia="方正仿宋_GBK"/>
          <w:sz w:val="32"/>
          <w:szCs w:val="32"/>
        </w:rPr>
      </w:pPr>
      <w:r>
        <w:rPr>
          <w:rFonts w:hint="eastAsia" w:eastAsia="方正仿宋_GBK"/>
          <w:sz w:val="32"/>
          <w:szCs w:val="32"/>
        </w:rPr>
        <w:t>加快建设体育强区。落实全民健身国家战略，引进一批体育产业企业，推动体育产业做大做强。推进区体育场、龙兴专业足球场、区羽毛球馆、石坪体育公园、多宝湖环湖马拉松赛道等重点项目建设。打造全国户外运动首选目的地，探索建设山地运动、水上运动、空中运动等户外基地。举办高水平赛事，坚持世界眼光、国际标准、渝北特色，精心筹备</w:t>
      </w:r>
      <w:r>
        <w:rPr>
          <w:rFonts w:eastAsia="方正仿宋_GBK"/>
          <w:sz w:val="32"/>
          <w:szCs w:val="32"/>
        </w:rPr>
        <w:t>2023</w:t>
      </w:r>
      <w:r>
        <w:rPr>
          <w:rFonts w:hint="eastAsia" w:eastAsia="方正仿宋_GBK"/>
          <w:sz w:val="32"/>
          <w:szCs w:val="32"/>
        </w:rPr>
        <w:t>年足球亚洲杯足球赛；持续举办“一带一路”中欧篮球冠军杯赛、重庆户外越野公开赛、多宝湖环湖马拉松；支持体育企业承办</w:t>
      </w:r>
      <w:r>
        <w:rPr>
          <w:rFonts w:eastAsia="方正仿宋_GBK"/>
          <w:sz w:val="32"/>
          <w:szCs w:val="32"/>
        </w:rPr>
        <w:t>WBO\WBC</w:t>
      </w:r>
      <w:r>
        <w:rPr>
          <w:rFonts w:hint="eastAsia" w:eastAsia="方正仿宋_GBK"/>
          <w:sz w:val="32"/>
          <w:szCs w:val="32"/>
        </w:rPr>
        <w:t>世界拳王争霸赛、国际室内风洞跳伞锦标赛、国际马联马术系列赛；提升中央公园接力马拉松、迎春登山比赛、区武术比赛的品质和影响力。加强文旅体产业联动，推动际华园极限运动，探索发展体育航空运动服务等，促进休闲运动健康消费，</w:t>
      </w:r>
      <w:r>
        <w:rPr>
          <w:rFonts w:hint="eastAsia" w:eastAsia="方正仿宋_GBK"/>
          <w:sz w:val="32"/>
          <w:szCs w:val="32"/>
          <w:lang w:val="zh-TW"/>
        </w:rPr>
        <w:t>打造全国户外运动首选目的地和体育健康休闲消费集聚地</w:t>
      </w:r>
      <w:r>
        <w:rPr>
          <w:rFonts w:hint="eastAsia" w:eastAsia="方正仿宋_GBK"/>
          <w:sz w:val="32"/>
          <w:szCs w:val="32"/>
        </w:rPr>
        <w:t>。</w:t>
      </w:r>
    </w:p>
    <w:p>
      <w:pPr>
        <w:pStyle w:val="66"/>
        <w:ind w:left="1600" w:firstLine="320" w:firstLineChars="100"/>
        <w:rPr>
          <w:rFonts w:ascii="方正黑体_GBK" w:hAnsi="方正黑体_GBK" w:eastAsia="方正黑体_GBK" w:cs="方正黑体_GBK"/>
          <w:smallCaps/>
          <w:kern w:val="0"/>
          <w:sz w:val="32"/>
          <w:szCs w:val="32"/>
        </w:rPr>
      </w:pPr>
      <w:r>
        <w:rPr>
          <w:rFonts w:hint="eastAsia" w:ascii="方正黑体_GBK" w:hAnsi="方正黑体_GBK" w:eastAsia="方正黑体_GBK" w:cs="方正黑体_GBK"/>
          <w:smallCaps/>
          <w:kern w:val="0"/>
          <w:sz w:val="32"/>
          <w:szCs w:val="32"/>
        </w:rPr>
        <w:t>专栏</w:t>
      </w:r>
      <w:r>
        <w:rPr>
          <w:rFonts w:ascii="方正黑体_GBK" w:hAnsi="方正黑体_GBK" w:eastAsia="方正黑体_GBK" w:cs="方正黑体_GBK"/>
          <w:smallCaps/>
          <w:kern w:val="0"/>
          <w:sz w:val="32"/>
          <w:szCs w:val="32"/>
        </w:rPr>
        <w:t xml:space="preserve">9  </w:t>
      </w:r>
      <w:r>
        <w:rPr>
          <w:rFonts w:hint="eastAsia" w:ascii="方正黑体_GBK" w:hAnsi="方正黑体_GBK" w:eastAsia="方正黑体_GBK" w:cs="方正黑体_GBK"/>
          <w:smallCaps/>
          <w:kern w:val="0"/>
          <w:sz w:val="32"/>
          <w:szCs w:val="32"/>
        </w:rPr>
        <w:t>康养休闲业发展重点</w:t>
      </w:r>
    </w:p>
    <w:tbl>
      <w:tblPr>
        <w:tblStyle w:val="32"/>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tcPr>
          <w:p>
            <w:pPr>
              <w:widowControl/>
              <w:snapToGrid w:val="0"/>
              <w:spacing w:line="42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1.</w:t>
            </w:r>
            <w:r>
              <w:rPr>
                <w:rFonts w:hint="eastAsia" w:ascii="方正黑体_GBK" w:hAnsi="方正黑体_GBK" w:eastAsia="方正黑体_GBK" w:cs="方正黑体_GBK"/>
                <w:sz w:val="24"/>
                <w:szCs w:val="24"/>
              </w:rPr>
              <w:t>医疗健康服务能力提升工程</w:t>
            </w:r>
          </w:p>
          <w:p>
            <w:pPr>
              <w:spacing w:line="400" w:lineRule="exact"/>
              <w:ind w:firstLine="480" w:firstLineChars="200"/>
              <w:rPr>
                <w:rFonts w:ascii="宋体" w:cs="宋体"/>
                <w:sz w:val="24"/>
                <w:szCs w:val="24"/>
              </w:rPr>
            </w:pPr>
            <w:r>
              <w:rPr>
                <w:rFonts w:hint="eastAsia" w:ascii="宋体" w:hAnsi="宋体" w:cs="宋体"/>
                <w:sz w:val="24"/>
                <w:szCs w:val="24"/>
              </w:rPr>
              <w:t>加强医疗基础设施建设，推进区妇幼保健院迁建、区第二人民医院扩建、区第四人民医院新建，建设树兰（重庆）医院，打造具有国际影响力的高端医疗医学中心。推动街道社区卫生服务中心扩建、瑞斯坦生物公司挂牌运营。</w:t>
            </w:r>
          </w:p>
          <w:p>
            <w:pPr>
              <w:widowControl/>
              <w:snapToGrid w:val="0"/>
              <w:spacing w:line="42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2.</w:t>
            </w:r>
            <w:r>
              <w:rPr>
                <w:rFonts w:hint="eastAsia" w:ascii="方正黑体_GBK" w:hAnsi="方正黑体_GBK" w:eastAsia="方正黑体_GBK" w:cs="方正黑体_GBK"/>
                <w:sz w:val="24"/>
                <w:szCs w:val="24"/>
              </w:rPr>
              <w:t>生态康养示范基地建设工程</w:t>
            </w:r>
          </w:p>
          <w:p>
            <w:pPr>
              <w:spacing w:line="400" w:lineRule="exact"/>
              <w:ind w:firstLine="480" w:firstLineChars="200"/>
              <w:rPr>
                <w:rFonts w:ascii="宋体" w:cs="宋体"/>
                <w:sz w:val="24"/>
                <w:szCs w:val="24"/>
              </w:rPr>
            </w:pPr>
            <w:r>
              <w:rPr>
                <w:rFonts w:hint="eastAsia" w:ascii="宋体" w:hAnsi="宋体" w:cs="宋体"/>
                <w:sz w:val="24"/>
                <w:szCs w:val="24"/>
              </w:rPr>
              <w:t>建设统景国际温泉度假区、铜锣山矿山公园项目、华蓥山生态康养项目、高竹新区康养项目、玉峰山康养度假基地等，推进龙门国际健康温泉产业城，打造国际尖端诊疗健康枢纽、全球前沿健康产业创新中心、高端健康旅游目的地。</w:t>
            </w:r>
          </w:p>
          <w:p>
            <w:pPr>
              <w:widowControl/>
              <w:snapToGrid w:val="0"/>
              <w:spacing w:line="42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3.</w:t>
            </w:r>
            <w:r>
              <w:rPr>
                <w:rFonts w:hint="eastAsia" w:ascii="方正黑体_GBK" w:hAnsi="方正黑体_GBK" w:eastAsia="方正黑体_GBK" w:cs="方正黑体_GBK"/>
                <w:sz w:val="24"/>
                <w:szCs w:val="24"/>
              </w:rPr>
              <w:t>康养旅游目的地建设工程</w:t>
            </w:r>
          </w:p>
          <w:p>
            <w:pPr>
              <w:spacing w:line="400" w:lineRule="exact"/>
              <w:ind w:firstLine="480" w:firstLineChars="200"/>
              <w:rPr>
                <w:rFonts w:eastAsia="方正仿宋_GBK" w:cs="方正仿宋_GBK"/>
                <w:sz w:val="28"/>
                <w:szCs w:val="28"/>
              </w:rPr>
            </w:pPr>
            <w:r>
              <w:rPr>
                <w:rFonts w:hint="eastAsia" w:ascii="宋体" w:hAnsi="宋体" w:cs="宋体"/>
                <w:sz w:val="24"/>
                <w:szCs w:val="24"/>
              </w:rPr>
              <w:t>依托良好的温泉、森林资源，打造统景温泉康养胜地、玉峰山天然氧吧康养胜地。推进“旅游休闲</w:t>
            </w:r>
            <w:r>
              <w:rPr>
                <w:rFonts w:ascii="宋体" w:hAnsi="宋体" w:cs="宋体"/>
                <w:sz w:val="24"/>
                <w:szCs w:val="24"/>
              </w:rPr>
              <w:t>+</w:t>
            </w:r>
            <w:r>
              <w:rPr>
                <w:rFonts w:hint="eastAsia" w:ascii="宋体" w:hAnsi="宋体" w:cs="宋体"/>
                <w:sz w:val="24"/>
                <w:szCs w:val="24"/>
              </w:rPr>
              <w:t>农耕文化体验</w:t>
            </w:r>
            <w:r>
              <w:rPr>
                <w:rFonts w:ascii="宋体" w:hAnsi="宋体" w:cs="宋体"/>
                <w:sz w:val="24"/>
                <w:szCs w:val="24"/>
              </w:rPr>
              <w:t>+</w:t>
            </w:r>
            <w:r>
              <w:rPr>
                <w:rFonts w:hint="eastAsia" w:ascii="宋体" w:hAnsi="宋体" w:cs="宋体"/>
                <w:sz w:val="24"/>
                <w:szCs w:val="24"/>
              </w:rPr>
              <w:t>亲子游”文旅康养融合产品开发。</w:t>
            </w:r>
          </w:p>
          <w:p>
            <w:pPr>
              <w:widowControl/>
              <w:snapToGrid w:val="0"/>
              <w:spacing w:line="42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4.</w:t>
            </w:r>
            <w:r>
              <w:rPr>
                <w:rFonts w:hint="eastAsia" w:ascii="方正黑体_GBK" w:hAnsi="方正黑体_GBK" w:eastAsia="方正黑体_GBK" w:cs="方正黑体_GBK"/>
                <w:sz w:val="24"/>
                <w:szCs w:val="24"/>
              </w:rPr>
              <w:t>发展多元化赛事经济</w:t>
            </w:r>
          </w:p>
          <w:p>
            <w:pPr>
              <w:spacing w:line="400" w:lineRule="exact"/>
              <w:ind w:firstLine="480" w:firstLineChars="200"/>
            </w:pPr>
            <w:r>
              <w:rPr>
                <w:rFonts w:hint="eastAsia" w:ascii="宋体" w:hAnsi="宋体" w:cs="宋体"/>
                <w:sz w:val="24"/>
                <w:szCs w:val="24"/>
              </w:rPr>
              <w:t>培育高端赛事品牌，举办好重庆国际山地户外越野公开赛等体育赛事，积极吸引</w:t>
            </w:r>
            <w:r>
              <w:rPr>
                <w:rFonts w:ascii="宋体" w:hAnsi="宋体" w:cs="宋体"/>
                <w:sz w:val="24"/>
                <w:szCs w:val="24"/>
              </w:rPr>
              <w:t>F3</w:t>
            </w:r>
            <w:r>
              <w:rPr>
                <w:rFonts w:hint="eastAsia" w:ascii="宋体" w:hAnsi="宋体" w:cs="宋体"/>
                <w:sz w:val="24"/>
                <w:szCs w:val="24"/>
              </w:rPr>
              <w:t>赛车、机器人格斗大赛、竞技钓等国内外高端赛事。丰富竞赛表演、健身指导、技能培训等，加快各类赛场建设，建设汽车越野赛车场、航空滑翔基地、龙兴足球场，华蓥山、玉峰山、明月山山地户外运动公园。</w:t>
            </w:r>
          </w:p>
        </w:tc>
      </w:tr>
    </w:tbl>
    <w:p>
      <w:pPr>
        <w:pStyle w:val="3"/>
        <w:numPr>
          <w:ilvl w:val="0"/>
          <w:numId w:val="2"/>
        </w:numPr>
        <w:spacing w:beforeLines="50" w:afterLines="50" w:line="560" w:lineRule="exact"/>
        <w:ind w:left="210"/>
        <w:contextualSpacing/>
        <w:jc w:val="center"/>
        <w:rPr>
          <w:rFonts w:ascii="方正楷体_GBK" w:hAnsi="方正楷体_GBK" w:eastAsia="方正楷体_GBK" w:cs="方正楷体_GBK"/>
          <w:kern w:val="0"/>
          <w:sz w:val="32"/>
          <w:szCs w:val="32"/>
        </w:rPr>
      </w:pPr>
      <w:bookmarkStart w:id="71" w:name="_Toc30395"/>
      <w:bookmarkStart w:id="72" w:name="_Toc11413"/>
      <w:bookmarkStart w:id="73" w:name="_Toc32414"/>
      <w:r>
        <w:rPr>
          <w:rFonts w:hint="eastAsia" w:ascii="方正楷体_GBK" w:hAnsi="方正楷体_GBK" w:eastAsia="方正楷体_GBK" w:cs="方正楷体_GBK"/>
          <w:kern w:val="0"/>
          <w:sz w:val="32"/>
          <w:szCs w:val="32"/>
        </w:rPr>
        <w:t>提档升级商贸</w:t>
      </w:r>
      <w:bookmarkEnd w:id="71"/>
      <w:r>
        <w:rPr>
          <w:rFonts w:hint="eastAsia" w:ascii="方正楷体_GBK" w:hAnsi="方正楷体_GBK" w:eastAsia="方正楷体_GBK" w:cs="方正楷体_GBK"/>
          <w:kern w:val="0"/>
          <w:sz w:val="32"/>
          <w:szCs w:val="32"/>
        </w:rPr>
        <w:t>服务业</w:t>
      </w:r>
      <w:bookmarkEnd w:id="72"/>
    </w:p>
    <w:p>
      <w:pPr>
        <w:spacing w:line="560" w:lineRule="exact"/>
        <w:ind w:firstLine="640" w:firstLineChars="200"/>
        <w:rPr>
          <w:rFonts w:eastAsia="方正仿宋_GBK"/>
          <w:sz w:val="32"/>
          <w:szCs w:val="32"/>
        </w:rPr>
      </w:pPr>
      <w:r>
        <w:rPr>
          <w:rFonts w:hint="eastAsia" w:eastAsia="方正仿宋_GBK"/>
          <w:sz w:val="32"/>
          <w:szCs w:val="32"/>
        </w:rPr>
        <w:t>聚焦全市建设国际消费中心城市，统筹推动传统商圈改造提升和新兴商圈扩容提质，加快建设两江国际商务中心商业新地标，引导集聚国际消费资源，发展国际消费服务，全面提升渝北消费能级。到</w:t>
      </w:r>
      <w:r>
        <w:rPr>
          <w:rFonts w:eastAsia="方正仿宋_GBK"/>
          <w:sz w:val="32"/>
          <w:szCs w:val="32"/>
        </w:rPr>
        <w:t>2025</w:t>
      </w:r>
      <w:r>
        <w:rPr>
          <w:rFonts w:hint="eastAsia" w:eastAsia="方正仿宋_GBK"/>
          <w:sz w:val="32"/>
          <w:szCs w:val="32"/>
        </w:rPr>
        <w:t>年，实现社会消费品零售总额</w:t>
      </w:r>
      <w:r>
        <w:rPr>
          <w:rFonts w:eastAsia="方正仿宋_GBK"/>
          <w:sz w:val="32"/>
          <w:szCs w:val="32"/>
        </w:rPr>
        <w:t>1200</w:t>
      </w:r>
      <w:r>
        <w:rPr>
          <w:rFonts w:hint="eastAsia" w:eastAsia="方正仿宋_GBK"/>
          <w:sz w:val="32"/>
          <w:szCs w:val="32"/>
        </w:rPr>
        <w:t>亿元，商品销售总额达到</w:t>
      </w:r>
      <w:r>
        <w:rPr>
          <w:rFonts w:eastAsia="方正仿宋_GBK"/>
          <w:sz w:val="32"/>
          <w:szCs w:val="32"/>
        </w:rPr>
        <w:t>3300</w:t>
      </w:r>
      <w:r>
        <w:rPr>
          <w:rFonts w:hint="eastAsia" w:eastAsia="方正仿宋_GBK"/>
          <w:sz w:val="32"/>
          <w:szCs w:val="32"/>
        </w:rPr>
        <w:t>亿元。建成中高端消费集聚、彰显巴渝特色、引领国际风尚、辐射带动力强的国际消费中心城市核心承载区。</w:t>
      </w:r>
    </w:p>
    <w:p>
      <w:pPr>
        <w:spacing w:line="560" w:lineRule="exact"/>
        <w:ind w:firstLine="640" w:firstLineChars="200"/>
        <w:rPr>
          <w:rFonts w:eastAsia="方正仿宋_GBK"/>
          <w:sz w:val="32"/>
          <w:szCs w:val="32"/>
        </w:rPr>
      </w:pPr>
      <w:r>
        <w:rPr>
          <w:rFonts w:hint="eastAsia" w:eastAsia="方正仿宋_GBK"/>
          <w:sz w:val="32"/>
          <w:szCs w:val="32"/>
        </w:rPr>
        <w:t>高标准打造商业新地标新平台。加强商旅文体融合发展，培育国际潮流消费承载地、国际知名品牌优选地、国际消费体验新场景、国际优质服务引领地，打造复合型消费新地标。坚持世界眼光、国际标准、重庆特色，高起点、高标准建设两江国际商务中心（中央公园商圈），打造具有全球影响力和美誉度的世界知名新商圈，建设国际消费中心城市引领性商业地标、城市商业商务新封面。提质嘉州商圈、两路空港商圈，打造国际消费商圈。高品质打造环山美食主题公园、嘉州活力夜街区、龙兴古镇等一批特色国际消费名街名镇名区，打造一批网红后街小巷，加强业态跨界融合与商旅文联动，打造最潮消费场景，建成一批集国际旅游、购物、美食、文化互促互融的网红消费新地标，培育十大渝北网红打卡地。充分发挥口岸、平台优势，加快进口商品分销体系建设，推动开设离境退税店、进境免税店、进口商城、线上线下展示体验店、社区进口商店等，扩大优质消费品进口，打造西部地区首要进口商品超市。鼓励大型商贸企业拓展全球直采、进口业务，集聚国际优质品牌。</w:t>
      </w:r>
    </w:p>
    <w:p>
      <w:pPr>
        <w:spacing w:line="560" w:lineRule="exact"/>
        <w:ind w:firstLine="640" w:firstLineChars="200"/>
        <w:rPr>
          <w:rFonts w:eastAsia="方正仿宋_GBK"/>
          <w:sz w:val="32"/>
          <w:szCs w:val="32"/>
        </w:rPr>
      </w:pPr>
      <w:r>
        <w:rPr>
          <w:rFonts w:hint="eastAsia" w:eastAsia="方正仿宋_GBK"/>
          <w:sz w:val="32"/>
          <w:szCs w:val="32"/>
        </w:rPr>
        <w:t>转型新零售新餐饮。推进全渠道、复合式经营，发展“一站式购物”“商品＋服务”等综合业态，推动零售业向体验式、社交化、智能化转型。发展“云端经济”“街巷经济”“夜间经济”、“节庆经济”、“网红经济”、“品牌经济”，支持发展社交电商、“粉丝”经济、直播带货。引导购物中心、百货、商超差异化主题定位，探索发展体验型购物中心、品牌集成店、主题概念店、会员制商店等具有市场潜力的新型业态。推动智慧商圈示范试点，构建云商城、云商街、云商圈，打造智能化、无人化消费场景，发展“无接触”经济。推进餐饮业提档升级，支持餐饮企业丰富和提升菜品，发展特色文化餐饮、休闲餐饮、网红餐饮，鼓励引进国内外知名餐饮品牌、米其林餐厅、大众点评黑珍珠榜单内餐厅，加大“重庆老字号”餐饮品牌培育，打造“渝北美食”新品牌新地标，建成国际餐饮品牌集聚地。推进白领早餐午餐工程，支持企业发展“新零售</w:t>
      </w:r>
      <w:r>
        <w:rPr>
          <w:rFonts w:eastAsia="方正仿宋_GBK"/>
          <w:sz w:val="32"/>
          <w:szCs w:val="32"/>
        </w:rPr>
        <w:t>+</w:t>
      </w:r>
      <w:r>
        <w:rPr>
          <w:rFonts w:hint="eastAsia" w:eastAsia="方正仿宋_GBK"/>
          <w:sz w:val="32"/>
          <w:szCs w:val="32"/>
        </w:rPr>
        <w:t>早午餐服务”、“互联网平台</w:t>
      </w:r>
      <w:r>
        <w:rPr>
          <w:rFonts w:eastAsia="方正仿宋_GBK"/>
          <w:sz w:val="32"/>
          <w:szCs w:val="32"/>
        </w:rPr>
        <w:t>+</w:t>
      </w:r>
      <w:r>
        <w:rPr>
          <w:rFonts w:hint="eastAsia" w:eastAsia="方正仿宋_GBK"/>
          <w:sz w:val="32"/>
          <w:szCs w:val="32"/>
        </w:rPr>
        <w:t>早午餐服务”等智慧早午餐创新模式。</w:t>
      </w:r>
    </w:p>
    <w:p>
      <w:pPr>
        <w:spacing w:line="560" w:lineRule="exact"/>
        <w:ind w:firstLine="640" w:firstLineChars="200"/>
        <w:rPr>
          <w:rFonts w:eastAsia="方正仿宋_GBK"/>
          <w:sz w:val="32"/>
          <w:szCs w:val="32"/>
        </w:rPr>
      </w:pPr>
      <w:r>
        <w:rPr>
          <w:rFonts w:hint="eastAsia" w:eastAsia="方正仿宋_GBK"/>
          <w:sz w:val="32"/>
          <w:szCs w:val="32"/>
        </w:rPr>
        <w:t>加快批发业转型发展。支持传统批发企业向全渠道平台商、集成服务商、供应链服务商、定制化服务商等转型。做强做优电子商务，鼓励制造业积极利用电子商务平台优化采购、分销体系。鼓励发展特许经营、网络营销、总代理等现代经营方式，契合直播带货、云逛街、短视频等新营销模式，让本地知名企业及“重庆老字号”走出去，卖得好。支持商品市场转型发展，加大对海领（临空）国际农产品交易中心、三亚湾水产市场等项目的建设和提升，建成供应链一体化、智能化、面向国际国内市场的大型交易市场和平台，形成“买全球、卖全球”流通新格局，提升流通效率和集聚辐射能力。加强应急储备体系建设，推动海领（临空）国际农产品交易中心建设全市粮油蔬菜食品应急保障中心。</w:t>
      </w:r>
    </w:p>
    <w:p>
      <w:pPr>
        <w:widowControl/>
        <w:ind w:firstLine="320" w:firstLineChars="100"/>
        <w:jc w:val="center"/>
        <w:rPr>
          <w:rFonts w:ascii="方正黑体_GBK" w:hAnsi="方正黑体_GBK" w:eastAsia="方正黑体_GBK" w:cs="方正黑体_GBK"/>
          <w:smallCaps/>
          <w:kern w:val="0"/>
          <w:sz w:val="32"/>
          <w:szCs w:val="32"/>
        </w:rPr>
      </w:pPr>
      <w:r>
        <w:rPr>
          <w:rFonts w:hint="eastAsia" w:ascii="方正黑体_GBK" w:hAnsi="方正黑体_GBK" w:eastAsia="方正黑体_GBK" w:cs="方正黑体_GBK"/>
          <w:smallCaps/>
          <w:kern w:val="0"/>
          <w:sz w:val="32"/>
          <w:szCs w:val="32"/>
        </w:rPr>
        <w:t>专栏</w:t>
      </w:r>
      <w:r>
        <w:rPr>
          <w:rFonts w:ascii="方正黑体_GBK" w:hAnsi="方正黑体_GBK" w:eastAsia="方正黑体_GBK" w:cs="方正黑体_GBK"/>
          <w:smallCaps/>
          <w:kern w:val="0"/>
          <w:sz w:val="32"/>
          <w:szCs w:val="32"/>
        </w:rPr>
        <w:t xml:space="preserve">10  </w:t>
      </w:r>
      <w:r>
        <w:rPr>
          <w:rFonts w:hint="eastAsia" w:ascii="方正黑体_GBK" w:hAnsi="方正黑体_GBK" w:eastAsia="方正黑体_GBK" w:cs="方正黑体_GBK"/>
          <w:smallCaps/>
          <w:kern w:val="0"/>
          <w:sz w:val="32"/>
          <w:szCs w:val="32"/>
        </w:rPr>
        <w:t>商贸服务业发展重点</w:t>
      </w:r>
    </w:p>
    <w:tbl>
      <w:tblPr>
        <w:tblStyle w:val="32"/>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22" w:type="dxa"/>
          </w:tcPr>
          <w:p>
            <w:pPr>
              <w:widowControl/>
              <w:snapToGrid w:val="0"/>
              <w:spacing w:line="42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1.</w:t>
            </w:r>
            <w:r>
              <w:rPr>
                <w:rFonts w:hint="eastAsia" w:ascii="方正黑体_GBK" w:hAnsi="方正黑体_GBK" w:eastAsia="方正黑体_GBK" w:cs="方正黑体_GBK"/>
                <w:sz w:val="24"/>
                <w:szCs w:val="24"/>
              </w:rPr>
              <w:t>高标准打造两江国际商务中心城市商业新地标</w:t>
            </w:r>
          </w:p>
          <w:p>
            <w:pPr>
              <w:pStyle w:val="17"/>
              <w:ind w:firstLine="480" w:firstLineChars="200"/>
              <w:rPr>
                <w:rFonts w:ascii="宋体" w:cs="宋体"/>
                <w:sz w:val="24"/>
                <w:szCs w:val="24"/>
              </w:rPr>
            </w:pPr>
            <w:r>
              <w:rPr>
                <w:rFonts w:hint="eastAsia" w:ascii="宋体" w:hAnsi="宋体" w:cs="宋体"/>
                <w:sz w:val="24"/>
                <w:szCs w:val="24"/>
              </w:rPr>
              <w:t>对标国际国内顶级商圈，定位“国际</w:t>
            </w:r>
            <w:r>
              <w:rPr>
                <w:rFonts w:ascii="宋体" w:hAnsi="宋体" w:cs="宋体"/>
                <w:sz w:val="24"/>
                <w:szCs w:val="24"/>
              </w:rPr>
              <w:t>CBP</w:t>
            </w:r>
            <w:r>
              <w:rPr>
                <w:rFonts w:hint="eastAsia" w:ascii="宋体" w:hAnsi="宋体" w:cs="宋体"/>
                <w:sz w:val="24"/>
                <w:szCs w:val="24"/>
              </w:rPr>
              <w:t>（公园城市中央商务区新范式）”，加快推进龙湖公园天街等商业商务综合体建设及招商运营，推进文商旅、产城景有机融合，集聚“首店”“首发”“首牌”“首秀”经济，推动国内国际知名品牌集聚，打造国际化、品质化消费新场景新体验，打造具有全球影响力和美誉度的世界知名新商圈，建设国际消费中心城市引领性商业地标。</w:t>
            </w:r>
          </w:p>
          <w:p>
            <w:pPr>
              <w:widowControl/>
              <w:snapToGrid w:val="0"/>
              <w:spacing w:line="42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2.</w:t>
            </w:r>
            <w:r>
              <w:rPr>
                <w:rFonts w:hint="eastAsia" w:ascii="方正黑体_GBK" w:hAnsi="方正黑体_GBK" w:eastAsia="方正黑体_GBK" w:cs="方正黑体_GBK"/>
                <w:sz w:val="24"/>
                <w:szCs w:val="24"/>
              </w:rPr>
              <w:t>提档升级嘉州商圈、两路空港商圈</w:t>
            </w:r>
          </w:p>
          <w:p>
            <w:pPr>
              <w:pStyle w:val="17"/>
              <w:ind w:firstLine="480" w:firstLineChars="200"/>
              <w:rPr>
                <w:rFonts w:ascii="宋体" w:cs="宋体"/>
                <w:sz w:val="24"/>
                <w:szCs w:val="24"/>
              </w:rPr>
            </w:pPr>
            <w:r>
              <w:rPr>
                <w:rFonts w:hint="eastAsia" w:ascii="宋体" w:hAnsi="宋体" w:cs="宋体"/>
                <w:sz w:val="24"/>
                <w:szCs w:val="24"/>
              </w:rPr>
              <w:t>提质嘉州商圈，支持新光天地引入高端商业业态、品牌，丰富消费体验，建成集聚人气的国际消费标志性商圈。升级两路空港商圈，支持森活大融城扩容升级，引导巴渝特色美食集聚，通过人车交通系统优化提高商圈与机场的融合发展，打造重庆临空国际消费首站。</w:t>
            </w:r>
          </w:p>
          <w:p>
            <w:pPr>
              <w:widowControl/>
              <w:snapToGrid w:val="0"/>
              <w:spacing w:line="42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3.</w:t>
            </w:r>
            <w:r>
              <w:rPr>
                <w:rFonts w:hint="eastAsia" w:ascii="方正黑体_GBK" w:hAnsi="方正黑体_GBK" w:eastAsia="方正黑体_GBK" w:cs="方正黑体_GBK"/>
                <w:sz w:val="24"/>
                <w:szCs w:val="24"/>
              </w:rPr>
              <w:t>打造特色国际消费名街名镇名区</w:t>
            </w:r>
          </w:p>
          <w:p>
            <w:pPr>
              <w:pStyle w:val="17"/>
              <w:ind w:firstLine="480" w:firstLineChars="200"/>
              <w:rPr>
                <w:rFonts w:ascii="宋体" w:cs="宋体"/>
                <w:sz w:val="24"/>
                <w:szCs w:val="24"/>
              </w:rPr>
            </w:pPr>
            <w:r>
              <w:rPr>
                <w:rFonts w:hint="eastAsia" w:ascii="宋体" w:hAnsi="宋体" w:cs="宋体"/>
                <w:sz w:val="24"/>
                <w:szCs w:val="24"/>
              </w:rPr>
              <w:t>建设江北机场国际化多元特色美食聚集区、嘉州活力夜街区、中央公园东夜间经济示范区、水木天地夜猫集装码头夜市、龙兴古镇等特色国际消费名街名镇名区。提升龙塔街道</w:t>
            </w:r>
            <w:r>
              <w:rPr>
                <w:rFonts w:ascii="宋体" w:hAnsi="宋体" w:cs="宋体"/>
                <w:sz w:val="24"/>
                <w:szCs w:val="24"/>
              </w:rPr>
              <w:t>99</w:t>
            </w:r>
            <w:r>
              <w:rPr>
                <w:rFonts w:hint="eastAsia" w:ascii="宋体" w:hAnsi="宋体" w:cs="宋体"/>
                <w:sz w:val="24"/>
                <w:szCs w:val="24"/>
              </w:rPr>
              <w:t>艺术长廊、龙山街道祈年悦城特色邻里中心、双龙湖街道</w:t>
            </w:r>
            <w:r>
              <w:rPr>
                <w:rFonts w:ascii="宋体" w:hAnsi="宋体" w:cs="宋体"/>
                <w:sz w:val="24"/>
                <w:szCs w:val="24"/>
              </w:rPr>
              <w:t>1.8</w:t>
            </w:r>
            <w:r>
              <w:rPr>
                <w:rFonts w:hint="eastAsia" w:ascii="宋体" w:hAnsi="宋体" w:cs="宋体"/>
                <w:sz w:val="24"/>
                <w:szCs w:val="24"/>
              </w:rPr>
              <w:t>支路夜街、仙桃街道居易天街等，形成一批有影响力的商业特色街区、美食街区。</w:t>
            </w:r>
          </w:p>
          <w:p>
            <w:pPr>
              <w:widowControl/>
              <w:snapToGrid w:val="0"/>
              <w:spacing w:line="42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4.</w:t>
            </w:r>
            <w:r>
              <w:rPr>
                <w:rFonts w:hint="eastAsia" w:ascii="方正黑体_GBK" w:hAnsi="方正黑体_GBK" w:eastAsia="方正黑体_GBK" w:cs="方正黑体_GBK"/>
                <w:sz w:val="24"/>
                <w:szCs w:val="24"/>
              </w:rPr>
              <w:t>发展网红电商直播带货</w:t>
            </w:r>
          </w:p>
          <w:p>
            <w:pPr>
              <w:pStyle w:val="17"/>
              <w:ind w:firstLine="480" w:firstLineChars="200"/>
              <w:rPr>
                <w:rFonts w:ascii="宋体" w:cs="宋体"/>
                <w:sz w:val="24"/>
                <w:szCs w:val="24"/>
              </w:rPr>
            </w:pPr>
            <w:r>
              <w:rPr>
                <w:rFonts w:hint="eastAsia" w:ascii="宋体" w:hAnsi="宋体" w:cs="宋体"/>
                <w:sz w:val="24"/>
                <w:szCs w:val="24"/>
              </w:rPr>
              <w:t>支持渝北电商直播基地建设，大力培育直播主体，着力培育一批头部直播机构、</w:t>
            </w:r>
            <w:r>
              <w:rPr>
                <w:rFonts w:ascii="宋体" w:hAnsi="宋体" w:cs="宋体"/>
                <w:sz w:val="24"/>
                <w:szCs w:val="24"/>
              </w:rPr>
              <w:t>MCN</w:t>
            </w:r>
            <w:r>
              <w:rPr>
                <w:rFonts w:hint="eastAsia" w:ascii="宋体" w:hAnsi="宋体" w:cs="宋体"/>
                <w:sz w:val="24"/>
                <w:szCs w:val="24"/>
              </w:rPr>
              <w:t>机构、网红直播播主，打造一系列“直播</w:t>
            </w:r>
            <w:r>
              <w:rPr>
                <w:rFonts w:ascii="宋体" w:hAnsi="宋体" w:cs="宋体"/>
                <w:sz w:val="24"/>
                <w:szCs w:val="24"/>
              </w:rPr>
              <w:t>+</w:t>
            </w:r>
            <w:r>
              <w:rPr>
                <w:rFonts w:hint="eastAsia" w:ascii="宋体" w:hAnsi="宋体" w:cs="宋体"/>
                <w:sz w:val="24"/>
                <w:szCs w:val="24"/>
              </w:rPr>
              <w:t>”集聚区，集聚直播电商上下游资源，推动商圈、市场、餐饮住宿、制造、文化旅游、生活服务等领域开展直播带货。</w:t>
            </w:r>
          </w:p>
          <w:p>
            <w:pPr>
              <w:widowControl/>
              <w:snapToGrid w:val="0"/>
              <w:spacing w:line="42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5.</w:t>
            </w:r>
            <w:r>
              <w:rPr>
                <w:rFonts w:hint="eastAsia" w:ascii="方正黑体_GBK" w:hAnsi="方正黑体_GBK" w:eastAsia="方正黑体_GBK" w:cs="方正黑体_GBK"/>
                <w:sz w:val="24"/>
                <w:szCs w:val="24"/>
              </w:rPr>
              <w:t>打造多样化特色化夜间经济</w:t>
            </w:r>
          </w:p>
          <w:p>
            <w:pPr>
              <w:pStyle w:val="17"/>
              <w:ind w:firstLine="480" w:firstLineChars="200"/>
              <w:rPr>
                <w:rFonts w:ascii="宋体" w:cs="宋体"/>
                <w:sz w:val="24"/>
                <w:szCs w:val="24"/>
              </w:rPr>
            </w:pPr>
            <w:r>
              <w:rPr>
                <w:rFonts w:hint="eastAsia" w:ascii="宋体" w:hAnsi="宋体" w:cs="宋体"/>
                <w:sz w:val="24"/>
                <w:szCs w:val="24"/>
              </w:rPr>
              <w:t>丰富夜间消费场景，培育夜间“打卡”地标，鼓励开设深夜营业专区、</w:t>
            </w:r>
            <w:r>
              <w:rPr>
                <w:rFonts w:ascii="宋体" w:hAnsi="宋体" w:cs="宋体"/>
                <w:sz w:val="24"/>
                <w:szCs w:val="24"/>
              </w:rPr>
              <w:t>24</w:t>
            </w:r>
            <w:r>
              <w:rPr>
                <w:rFonts w:hint="eastAsia" w:ascii="宋体" w:hAnsi="宋体" w:cs="宋体"/>
                <w:sz w:val="24"/>
                <w:szCs w:val="24"/>
              </w:rPr>
              <w:t>小时便利店和“深夜食堂”等，加快培育夜购、夜食、夜宿、夜娱、夜赏的“五夜”夜生活业态，办好不夜生活节暨渝北炫彩之夜，推进“逛夜市、享美食、潮生活”系列特色体验活动，提升水木天地、新光里等特色夜市街区。大力打造中央公园“公园之夜”消费品牌，培育中央公园东夜间经济示范区，创建国家级夜间经济示范区。打造木耳“新乡田园”</w:t>
            </w:r>
            <w:r>
              <w:rPr>
                <w:rFonts w:ascii="宋体" w:hAnsi="宋体" w:cs="宋体"/>
                <w:sz w:val="24"/>
                <w:szCs w:val="24"/>
              </w:rPr>
              <w:t>—</w:t>
            </w:r>
            <w:r>
              <w:rPr>
                <w:rFonts w:hint="eastAsia" w:ascii="宋体" w:hAnsi="宋体" w:cs="宋体"/>
                <w:sz w:val="24"/>
                <w:szCs w:val="24"/>
              </w:rPr>
              <w:t>“斗碗寨”夜游风光带，打造“夜渝北”城市名片。</w:t>
            </w:r>
          </w:p>
          <w:p>
            <w:pPr>
              <w:spacing w:line="40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6.</w:t>
            </w:r>
            <w:r>
              <w:rPr>
                <w:rFonts w:hint="eastAsia" w:ascii="方正黑体_GBK" w:hAnsi="方正黑体_GBK" w:eastAsia="方正黑体_GBK" w:cs="方正黑体_GBK"/>
                <w:sz w:val="24"/>
                <w:szCs w:val="24"/>
              </w:rPr>
              <w:t>打造“渝北味道”特色品牌餐饮</w:t>
            </w:r>
          </w:p>
          <w:p>
            <w:pPr>
              <w:pStyle w:val="17"/>
              <w:ind w:firstLine="480" w:firstLineChars="200"/>
              <w:rPr>
                <w:rFonts w:ascii="宋体" w:cs="宋体"/>
                <w:sz w:val="24"/>
                <w:szCs w:val="24"/>
              </w:rPr>
            </w:pPr>
            <w:r>
              <w:rPr>
                <w:rFonts w:hint="eastAsia" w:ascii="宋体" w:hAnsi="宋体" w:cs="宋体"/>
                <w:sz w:val="24"/>
                <w:szCs w:val="24"/>
              </w:rPr>
              <w:t>大力发展生态餐饮、休闲餐饮、旅游餐饮。推进城市记忆、文化片段、生活场景、商业空间在美食街区里有机融合。引导老字号、风味小吃、时尚酒吧进驻夜市。打响“渝北水煮鱼”品牌，培育“十一镇十一味儿”渝北特色美食。</w:t>
            </w:r>
          </w:p>
          <w:p>
            <w:pPr>
              <w:spacing w:line="40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7.</w:t>
            </w:r>
            <w:r>
              <w:rPr>
                <w:rFonts w:hint="eastAsia" w:ascii="方正黑体_GBK" w:hAnsi="方正黑体_GBK" w:eastAsia="方正黑体_GBK" w:cs="方正黑体_GBK"/>
                <w:sz w:val="24"/>
                <w:szCs w:val="24"/>
              </w:rPr>
              <w:t>转型升级商品市场和交易平台</w:t>
            </w:r>
          </w:p>
          <w:p>
            <w:pPr>
              <w:pStyle w:val="17"/>
              <w:ind w:firstLine="480" w:firstLineChars="200"/>
              <w:rPr>
                <w:rFonts w:ascii="宋体" w:cs="宋体"/>
                <w:sz w:val="24"/>
                <w:szCs w:val="24"/>
              </w:rPr>
            </w:pPr>
            <w:r>
              <w:rPr>
                <w:rFonts w:hint="eastAsia" w:ascii="宋体" w:hAnsi="宋体" w:cs="宋体"/>
                <w:sz w:val="24"/>
                <w:szCs w:val="24"/>
              </w:rPr>
              <w:t>重点建设洛碛大宗商品交易市场、国际工业品集采平台、木古专业市场集群、仙桃智慧商城等项目。加快居然之家、西南国际汽贸城、西部水果智慧产业园等建材家居、汽车、农产品等大型专业市场建设。积极推动海领国际农产品交易中心、三亚湾水产品综合批发市场、海领国际工程机械交易中心等大型专业市场转型升级。</w:t>
            </w:r>
          </w:p>
          <w:p>
            <w:pPr>
              <w:spacing w:line="40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8.</w:t>
            </w:r>
            <w:r>
              <w:rPr>
                <w:rFonts w:hint="eastAsia" w:ascii="方正黑体_GBK" w:hAnsi="方正黑体_GBK" w:eastAsia="方正黑体_GBK" w:cs="方正黑体_GBK"/>
                <w:sz w:val="24"/>
                <w:szCs w:val="24"/>
              </w:rPr>
              <w:t>提高智慧商业发展水平</w:t>
            </w:r>
          </w:p>
          <w:p>
            <w:pPr>
              <w:snapToGrid w:val="0"/>
              <w:ind w:firstLine="480" w:firstLineChars="200"/>
            </w:pPr>
            <w:r>
              <w:rPr>
                <w:rFonts w:hint="eastAsia" w:ascii="宋体" w:hAnsi="宋体" w:cs="宋体"/>
                <w:sz w:val="24"/>
                <w:szCs w:val="24"/>
              </w:rPr>
              <w:t>提升智慧商圈智能化水平，推进智慧商业节点试点项目，在三龙地区以嘉州商圈为核心、多个社区级商业体为节点试点</w:t>
            </w:r>
            <w:r>
              <w:rPr>
                <w:rFonts w:ascii="宋体" w:hAnsi="宋体" w:cs="宋体"/>
                <w:sz w:val="24"/>
                <w:szCs w:val="24"/>
              </w:rPr>
              <w:t>1+N</w:t>
            </w:r>
            <w:r>
              <w:rPr>
                <w:rFonts w:hint="eastAsia" w:ascii="宋体" w:hAnsi="宋体" w:cs="宋体"/>
                <w:sz w:val="24"/>
                <w:szCs w:val="24"/>
              </w:rPr>
              <w:t>城市商业节点智能化升级改造，推进无接触交易服务、鼓励中央仓、前置仓、微仓等新模式，发展健全城市配送体系，促进新光天地、爱融荟城等购物中心及三龙地区特色餐饮企业搭建社交电商服务平台，构建云消费生态，以智慧连接传统线下商家和客群。</w:t>
            </w:r>
          </w:p>
        </w:tc>
      </w:tr>
    </w:tbl>
    <w:p>
      <w:pPr>
        <w:pStyle w:val="17"/>
      </w:pPr>
    </w:p>
    <w:bookmarkEnd w:id="73"/>
    <w:p>
      <w:pPr>
        <w:pStyle w:val="3"/>
        <w:spacing w:beforeLines="50" w:afterLines="50" w:line="560" w:lineRule="exact"/>
        <w:ind w:left="210"/>
        <w:contextualSpacing/>
        <w:jc w:val="center"/>
        <w:rPr>
          <w:rFonts w:ascii="方正楷体_GBK" w:hAnsi="方正楷体_GBK" w:eastAsia="方正楷体_GBK" w:cs="方正楷体_GBK"/>
          <w:kern w:val="0"/>
          <w:sz w:val="32"/>
          <w:szCs w:val="32"/>
        </w:rPr>
      </w:pPr>
      <w:bookmarkStart w:id="74" w:name="_Toc13377"/>
      <w:bookmarkStart w:id="75" w:name="_Toc4695"/>
      <w:r>
        <w:rPr>
          <w:rFonts w:hint="eastAsia" w:ascii="方正楷体_GBK" w:hAnsi="方正楷体_GBK" w:eastAsia="方正楷体_GBK" w:cs="方正楷体_GBK"/>
          <w:kern w:val="0"/>
          <w:sz w:val="32"/>
          <w:szCs w:val="32"/>
        </w:rPr>
        <w:t>第四节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提质发展其他生活性服务业</w:t>
      </w:r>
      <w:bookmarkEnd w:id="74"/>
    </w:p>
    <w:p>
      <w:pPr>
        <w:spacing w:line="560" w:lineRule="exact"/>
        <w:ind w:firstLine="640" w:firstLineChars="200"/>
        <w:rPr>
          <w:rFonts w:eastAsia="方正仿宋_GBK"/>
          <w:sz w:val="32"/>
          <w:szCs w:val="32"/>
        </w:rPr>
      </w:pPr>
      <w:r>
        <w:rPr>
          <w:rFonts w:hint="eastAsia" w:eastAsia="方正仿宋_GBK"/>
          <w:sz w:val="32"/>
          <w:szCs w:val="32"/>
        </w:rPr>
        <w:t>积极推进养老、托育、教育、社区服务及住房服务等其他生活性服务业升级发展，深化供给侧结构性改革。基本实现幼有善育、学有优教、病有良医、老有颐养、住有宜居，推动全民广泛享有高品质生活。到</w:t>
      </w:r>
      <w:r>
        <w:rPr>
          <w:rFonts w:eastAsia="方正仿宋_GBK"/>
          <w:sz w:val="32"/>
          <w:szCs w:val="32"/>
        </w:rPr>
        <w:t>2025</w:t>
      </w:r>
      <w:r>
        <w:rPr>
          <w:rFonts w:hint="eastAsia" w:eastAsia="方正仿宋_GBK"/>
          <w:sz w:val="32"/>
          <w:szCs w:val="32"/>
        </w:rPr>
        <w:t>年，社会化养老服务床位运营比例超过</w:t>
      </w:r>
      <w:r>
        <w:rPr>
          <w:rFonts w:eastAsia="方正仿宋_GBK"/>
          <w:sz w:val="32"/>
          <w:szCs w:val="32"/>
        </w:rPr>
        <w:t>60%</w:t>
      </w:r>
      <w:r>
        <w:rPr>
          <w:rFonts w:hint="eastAsia" w:eastAsia="方正仿宋_GBK"/>
          <w:sz w:val="32"/>
          <w:szCs w:val="32"/>
        </w:rPr>
        <w:t>，护理型床位比例达到</w:t>
      </w:r>
      <w:r>
        <w:rPr>
          <w:rFonts w:eastAsia="方正仿宋_GBK"/>
          <w:sz w:val="32"/>
          <w:szCs w:val="32"/>
        </w:rPr>
        <w:t>50%</w:t>
      </w:r>
      <w:r>
        <w:rPr>
          <w:rFonts w:hint="eastAsia" w:eastAsia="方正仿宋_GBK"/>
          <w:sz w:val="32"/>
          <w:szCs w:val="32"/>
        </w:rPr>
        <w:t>，每千人口拥有</w:t>
      </w:r>
      <w:r>
        <w:rPr>
          <w:rFonts w:eastAsia="方正仿宋_GBK"/>
          <w:sz w:val="32"/>
          <w:szCs w:val="32"/>
        </w:rPr>
        <w:t>3</w:t>
      </w:r>
      <w:r>
        <w:rPr>
          <w:rFonts w:hint="eastAsia" w:eastAsia="方正仿宋_GBK"/>
          <w:sz w:val="32"/>
          <w:szCs w:val="32"/>
        </w:rPr>
        <w:t>岁以下婴幼儿托位数达到</w:t>
      </w:r>
      <w:r>
        <w:rPr>
          <w:rFonts w:eastAsia="方正仿宋_GBK"/>
          <w:sz w:val="32"/>
          <w:szCs w:val="32"/>
        </w:rPr>
        <w:t>4.5</w:t>
      </w:r>
      <w:r>
        <w:rPr>
          <w:rFonts w:hint="eastAsia" w:eastAsia="方正仿宋_GBK"/>
          <w:sz w:val="32"/>
          <w:szCs w:val="32"/>
        </w:rPr>
        <w:t>个。</w:t>
      </w:r>
    </w:p>
    <w:p>
      <w:pPr>
        <w:spacing w:line="560" w:lineRule="exact"/>
        <w:ind w:firstLine="640" w:firstLineChars="200"/>
        <w:rPr>
          <w:rFonts w:eastAsia="方正仿宋_GBK"/>
          <w:sz w:val="32"/>
          <w:szCs w:val="32"/>
        </w:rPr>
      </w:pPr>
      <w:r>
        <w:rPr>
          <w:rFonts w:hint="eastAsia" w:eastAsia="方正仿宋_GBK"/>
          <w:sz w:val="32"/>
          <w:szCs w:val="32"/>
        </w:rPr>
        <w:t>推进养老服务健康发展。支持社会力量举办养老服务机构，重点支持兴办面向失能半失能、失智、高龄老年人的医养结合型养老机构，提高养老机构医疗服务覆盖率。支持街道（镇）养老服务中心与社区卫生服务中心（镇卫生院）一体或邻近规划设置，建立医养绿色通道。引入具有养老资质的专业养老服务机构。加强养老服务机构监管，细化管理标准。加快发展居家和社区养老服务，推进老旧小区、老年人家庭适老化改造。加强生活照护、物品代购、健康咨询、紧急救护、慢性病管理、预防保健、疾病诊治、康复护理、长期照护、安宁疗护等服务。推进智慧养老，建设一批“智慧养老院”，推广物联网和远程智能安防监控技术，降低老年人意外风险。多样化丰富银发经济服务产品，支持建设康复辅具租赁点，让更多适老产品走进老年人生活。加强护理员队伍建设，完善职业技能鉴定、综合水平评价和激励政策，提高护理人员专业化职业化水平。</w:t>
      </w:r>
    </w:p>
    <w:p>
      <w:pPr>
        <w:spacing w:line="560" w:lineRule="exact"/>
        <w:ind w:firstLine="640" w:firstLineChars="200"/>
        <w:rPr>
          <w:rFonts w:eastAsia="方正仿宋_GBK"/>
          <w:sz w:val="32"/>
          <w:szCs w:val="32"/>
        </w:rPr>
      </w:pPr>
      <w:r>
        <w:rPr>
          <w:rFonts w:hint="eastAsia" w:eastAsia="方正仿宋_GBK"/>
          <w:sz w:val="32"/>
          <w:szCs w:val="32"/>
        </w:rPr>
        <w:t>推进托育服务优质发展。加强</w:t>
      </w:r>
      <w:r>
        <w:rPr>
          <w:rFonts w:eastAsia="方正仿宋_GBK"/>
          <w:sz w:val="32"/>
          <w:szCs w:val="32"/>
        </w:rPr>
        <w:t>3</w:t>
      </w:r>
      <w:r>
        <w:rPr>
          <w:rFonts w:hint="eastAsia" w:eastAsia="方正仿宋_GBK"/>
          <w:sz w:val="32"/>
          <w:szCs w:val="32"/>
        </w:rPr>
        <w:t>岁以下婴幼儿照护服务政策体系和标准规范体系建设，完善托幼一体、医育融合、方便可及的托育服务体系，多元化增加托育服务供给，优先支持普惠性托育服务机构发展，支持有条件的用人单位为职工提供托育服务，拓展全日托、半日托、计时托、临时托等多样化的普惠托育服务。探索发展智慧托育等新模式新业态，支持家庭育儿共享平台、家庭托育点、隔代照料、家庭互助等托育服务。加强婴幼儿早期发展指导，通过亲子活动、入户指导、父母课堂、家庭课堂、“互联网</w:t>
      </w:r>
      <w:r>
        <w:rPr>
          <w:rFonts w:eastAsia="方正仿宋_GBK"/>
          <w:sz w:val="32"/>
          <w:szCs w:val="32"/>
        </w:rPr>
        <w:t xml:space="preserve">+ </w:t>
      </w:r>
      <w:r>
        <w:rPr>
          <w:rFonts w:hint="eastAsia" w:eastAsia="方正仿宋_GBK"/>
          <w:sz w:val="32"/>
          <w:szCs w:val="32"/>
        </w:rPr>
        <w:t>”等方式，提高科学育儿能力。推动建设一批具有示范效应的婴幼儿照护服务机构，构建多元化、多样化、覆盖城乡的婴幼儿照护服务体系，提升婴幼儿照护服务水平</w:t>
      </w:r>
      <w:bookmarkStart w:id="76" w:name="_Toc18657"/>
      <w:r>
        <w:rPr>
          <w:rFonts w:hint="eastAsia" w:eastAsia="方正仿宋_GBK"/>
          <w:sz w:val="32"/>
          <w:szCs w:val="32"/>
        </w:rPr>
        <w:t>，降低生育、养育、教育成本。</w:t>
      </w:r>
    </w:p>
    <w:p>
      <w:pPr>
        <w:spacing w:line="560" w:lineRule="exact"/>
        <w:ind w:firstLine="640" w:firstLineChars="200"/>
        <w:rPr>
          <w:rFonts w:eastAsia="方正仿宋_GBK"/>
          <w:sz w:val="32"/>
          <w:szCs w:val="32"/>
        </w:rPr>
      </w:pPr>
      <w:r>
        <w:rPr>
          <w:rFonts w:hint="eastAsia" w:eastAsia="方正仿宋_GBK"/>
          <w:sz w:val="32"/>
          <w:szCs w:val="32"/>
        </w:rPr>
        <w:t>扩大优质教育供给，统筹做好区教育资源整合，切实解决“择校热”“大班额”“入园难”等问题。打通国际交流通道和国际化人才培养渠道，教育国际化水平进入全市领先行列。扩大技能培训供给，形成具有渝北特色的职业教育培训品牌。支持高等教育发展，深化与西南政法大学等高校的校地合作，支持重庆工业职业技术学院实施“双高”计划。加快发展智慧教育，用好“渝教云”智慧平台，建设</w:t>
      </w:r>
      <w:r>
        <w:rPr>
          <w:rFonts w:eastAsia="方正仿宋_GBK"/>
          <w:sz w:val="32"/>
          <w:szCs w:val="32"/>
        </w:rPr>
        <w:t>15</w:t>
      </w:r>
      <w:r>
        <w:rPr>
          <w:rFonts w:hint="eastAsia" w:eastAsia="方正仿宋_GBK"/>
          <w:sz w:val="32"/>
          <w:szCs w:val="32"/>
        </w:rPr>
        <w:t>所市级智慧校园建设示范学校，完善智慧教育基础设施，探索发展人工智能、大数据、</w:t>
      </w:r>
      <w:r>
        <w:rPr>
          <w:rFonts w:eastAsia="方正仿宋_GBK"/>
          <w:sz w:val="32"/>
          <w:szCs w:val="32"/>
        </w:rPr>
        <w:t xml:space="preserve">VR/AR </w:t>
      </w:r>
      <w:r>
        <w:rPr>
          <w:rFonts w:hint="eastAsia" w:eastAsia="方正仿宋_GBK"/>
          <w:sz w:val="32"/>
          <w:szCs w:val="32"/>
        </w:rPr>
        <w:t>等信息技术融合的新型教学模式，推进信息技术和智能技术深度融入教育教学全过程。构建服务全民终身学习的教育体系，将重庆广播电视大学渝北分校（重庆开放大学渝北分校）建设成为渝北终身教育的主要平台、在线教育的主要平台和灵活教育的平台。</w:t>
      </w:r>
    </w:p>
    <w:bookmarkEnd w:id="76"/>
    <w:p>
      <w:pPr>
        <w:spacing w:line="560" w:lineRule="exact"/>
        <w:ind w:firstLine="640" w:firstLineChars="200"/>
        <w:rPr>
          <w:rFonts w:eastAsia="方正仿宋_GBK"/>
          <w:sz w:val="32"/>
          <w:szCs w:val="32"/>
        </w:rPr>
      </w:pPr>
      <w:r>
        <w:rPr>
          <w:rFonts w:hint="eastAsia" w:eastAsia="方正仿宋_GBK"/>
          <w:sz w:val="32"/>
          <w:szCs w:val="32"/>
        </w:rPr>
        <w:t>提质居民服务业。建立供给充分、服务便捷、管理规范、惠及城乡的居民服务体系，着力提升居民生活便利化、精细化、品质化水平</w:t>
      </w:r>
      <w:bookmarkEnd w:id="75"/>
      <w:r>
        <w:rPr>
          <w:rFonts w:hint="eastAsia" w:eastAsia="方正仿宋_GBK"/>
          <w:sz w:val="32"/>
          <w:szCs w:val="32"/>
        </w:rPr>
        <w:t>。提质扩容家政服务业</w:t>
      </w:r>
      <w:r>
        <w:rPr>
          <w:rFonts w:hint="eastAsia" w:eastAsia="方正仿宋_GBK"/>
          <w:sz w:val="32"/>
          <w:szCs w:val="32"/>
          <w:lang w:val="zh-TW"/>
        </w:rPr>
        <w:t>，</w:t>
      </w:r>
      <w:r>
        <w:rPr>
          <w:rFonts w:hint="eastAsia" w:eastAsia="方正仿宋_GBK"/>
          <w:sz w:val="32"/>
          <w:szCs w:val="32"/>
        </w:rPr>
        <w:t>支持发展生活照料、居家养老、育婴育幼、病患陪护、康复护理、烹饪保洁、家庭管理等多样化的家政服务，培育家政服务知名品牌和龙头企业，推动家政服务标准化、规范化。开展家政信用建设专项行动，建立家政服务信用信息平台，对信用良好的家政企业实施联合激励，对违法违规和严重失信的家政企业及从业人员实行失信联合惩戒。推进家政服务业与智慧社区融合发展，大力发展家政电商、“互联网</w:t>
      </w:r>
      <w:r>
        <w:rPr>
          <w:rFonts w:eastAsia="方正仿宋_GBK"/>
          <w:sz w:val="32"/>
          <w:szCs w:val="32"/>
        </w:rPr>
        <w:t>+</w:t>
      </w:r>
      <w:r>
        <w:rPr>
          <w:rFonts w:hint="eastAsia" w:eastAsia="方正仿宋_GBK"/>
          <w:sz w:val="32"/>
          <w:szCs w:val="32"/>
        </w:rPr>
        <w:t>家政”等新业态，促进居民就近享有便捷服务。大力发展社区商业，对传统社区商业进行转型升级，集成多种服务功能打造新型社区商业集合体。打造“一刻钟便民生活服务圈”，立足小区及周边实际条件力争新建或改造一批集养老、托育、助餐、家政保洁、便民市场、便利店、邮政快递末端综合服务站等社区专项服务设施于一体的社区便民服务中心，</w:t>
      </w:r>
      <w:r>
        <w:rPr>
          <w:rFonts w:hint="eastAsia" w:eastAsia="方正仿宋_GBK"/>
          <w:sz w:val="32"/>
          <w:szCs w:val="32"/>
          <w:lang w:val="zh-TW"/>
        </w:rPr>
        <w:t>丰富</w:t>
      </w:r>
      <w:r>
        <w:rPr>
          <w:rFonts w:hint="eastAsia" w:eastAsia="方正仿宋_GBK"/>
          <w:sz w:val="32"/>
          <w:szCs w:val="32"/>
        </w:rPr>
        <w:t>美容美发、摄影、维修等便民</w:t>
      </w:r>
      <w:r>
        <w:rPr>
          <w:rFonts w:hint="eastAsia" w:eastAsia="方正仿宋_GBK"/>
          <w:sz w:val="32"/>
          <w:szCs w:val="32"/>
          <w:lang w:val="zh-TW"/>
        </w:rPr>
        <w:t>社区</w:t>
      </w:r>
      <w:r>
        <w:rPr>
          <w:rFonts w:hint="eastAsia" w:eastAsia="方正仿宋_GBK"/>
          <w:sz w:val="32"/>
          <w:szCs w:val="32"/>
        </w:rPr>
        <w:t>服务。推进便利店品牌化连锁化三年行动计划，支持便利店搭载缴费充值、书报经营、打印复印、代扣代缴、代收代发、养老家政、废旧商品回收、福利彩票及银行自助机具等便民生活服务项目。发展智慧社区商业，拓展生鲜电商零售业态，建设一批线上线下融合发展的智慧社区消费平台，支持社区商业拓展发展</w:t>
      </w:r>
      <w:r>
        <w:rPr>
          <w:rFonts w:eastAsia="方正仿宋_GBK"/>
          <w:sz w:val="32"/>
          <w:szCs w:val="32"/>
        </w:rPr>
        <w:t>OMO</w:t>
      </w:r>
      <w:r>
        <w:rPr>
          <w:rFonts w:hint="eastAsia" w:eastAsia="方正仿宋_GBK"/>
          <w:sz w:val="32"/>
          <w:szCs w:val="32"/>
        </w:rPr>
        <w:t>（</w:t>
      </w:r>
      <w:r>
        <w:rPr>
          <w:rFonts w:eastAsia="方正仿宋_GBK"/>
          <w:sz w:val="32"/>
          <w:szCs w:val="32"/>
        </w:rPr>
        <w:t>Online-Merge-Offline</w:t>
      </w:r>
      <w:r>
        <w:rPr>
          <w:rFonts w:hint="eastAsia" w:eastAsia="方正仿宋_GBK"/>
          <w:sz w:val="32"/>
          <w:szCs w:val="32"/>
        </w:rPr>
        <w:t>，行业平台型商业模式）、精细化定制、“微生活”“云社区”等新兴服务模式。</w:t>
      </w:r>
    </w:p>
    <w:p>
      <w:pPr>
        <w:spacing w:line="560" w:lineRule="exact"/>
        <w:ind w:firstLine="640" w:firstLineChars="200"/>
        <w:rPr>
          <w:rFonts w:ascii="方正仿宋_GBK" w:hAnsi="方正仿宋_GBK" w:eastAsia="方正仿宋_GBK" w:cs="方正仿宋_GBK"/>
          <w:smallCaps/>
          <w:kern w:val="0"/>
          <w:sz w:val="32"/>
          <w:szCs w:val="32"/>
        </w:rPr>
      </w:pPr>
      <w:r>
        <w:rPr>
          <w:rFonts w:hint="eastAsia" w:eastAsia="方正仿宋_GBK"/>
          <w:sz w:val="32"/>
          <w:szCs w:val="32"/>
        </w:rPr>
        <w:t>优化住房服务。加快推进城市有机更新，扎实推进棚户区改造工作，加强老旧小区改造提升。实施两路、回兴等老旧小区改造和社区建设，精细推动“三龙”片区内涵式发展，加快绿色住房、智慧小区建设，统筹完善社区基本公共服务，提升居民居住品质。加快建设高端国际化社区，完善涉外医疗机构、教育机构、出入境服务、国际化引导标识和外籍人士社区服务，满足国际化人才生活居住需要。</w:t>
      </w:r>
    </w:p>
    <w:p>
      <w:pPr>
        <w:pStyle w:val="66"/>
        <w:ind w:left="1600" w:firstLine="320" w:firstLineChars="100"/>
        <w:rPr>
          <w:rFonts w:ascii="方正黑体_GBK" w:hAnsi="方正黑体_GBK" w:eastAsia="方正黑体_GBK" w:cs="方正黑体_GBK"/>
          <w:smallCaps/>
          <w:kern w:val="0"/>
          <w:sz w:val="32"/>
          <w:szCs w:val="32"/>
        </w:rPr>
      </w:pPr>
      <w:r>
        <w:rPr>
          <w:rFonts w:hint="eastAsia" w:ascii="方正黑体_GBK" w:hAnsi="方正黑体_GBK" w:eastAsia="方正黑体_GBK" w:cs="方正黑体_GBK"/>
          <w:smallCaps/>
          <w:kern w:val="0"/>
          <w:sz w:val="32"/>
          <w:szCs w:val="32"/>
        </w:rPr>
        <w:t>专栏</w:t>
      </w:r>
      <w:r>
        <w:rPr>
          <w:rFonts w:ascii="方正黑体_GBK" w:hAnsi="方正黑体_GBK" w:eastAsia="方正黑体_GBK" w:cs="方正黑体_GBK"/>
          <w:smallCaps/>
          <w:kern w:val="0"/>
          <w:sz w:val="32"/>
          <w:szCs w:val="32"/>
        </w:rPr>
        <w:t xml:space="preserve">11  </w:t>
      </w:r>
      <w:r>
        <w:rPr>
          <w:rFonts w:hint="eastAsia" w:ascii="方正黑体_GBK" w:hAnsi="方正黑体_GBK" w:eastAsia="方正黑体_GBK" w:cs="方正黑体_GBK"/>
          <w:smallCaps/>
          <w:kern w:val="0"/>
          <w:sz w:val="32"/>
          <w:szCs w:val="32"/>
        </w:rPr>
        <w:t>其他生活性服务业发展重点</w:t>
      </w:r>
    </w:p>
    <w:tbl>
      <w:tblPr>
        <w:tblStyle w:val="32"/>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tcPr>
          <w:p>
            <w:pPr>
              <w:spacing w:line="40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1.</w:t>
            </w:r>
            <w:r>
              <w:rPr>
                <w:rFonts w:hint="eastAsia" w:ascii="方正黑体_GBK" w:hAnsi="方正黑体_GBK" w:eastAsia="方正黑体_GBK" w:cs="方正黑体_GBK"/>
                <w:sz w:val="24"/>
                <w:szCs w:val="24"/>
              </w:rPr>
              <w:t>建设普惠性养老服务设施</w:t>
            </w:r>
          </w:p>
          <w:p>
            <w:pPr>
              <w:pStyle w:val="17"/>
              <w:ind w:firstLine="480" w:firstLineChars="200"/>
              <w:rPr>
                <w:rFonts w:ascii="宋体" w:cs="宋体"/>
                <w:sz w:val="24"/>
                <w:szCs w:val="24"/>
              </w:rPr>
            </w:pPr>
            <w:r>
              <w:rPr>
                <w:rFonts w:hint="eastAsia" w:ascii="宋体" w:hAnsi="宋体" w:cs="宋体"/>
                <w:sz w:val="24"/>
                <w:szCs w:val="24"/>
              </w:rPr>
              <w:t>规划区级养老服务综合体、镇养老服务中心（特困人员供养服务设施）建设。依托现有敬老院建设大盛镇、兴隆镇、茨竹镇、大湾镇、王家街道养老服务中心；新建玉峰山镇、木耳镇、石船镇、统景镇养老服务中心。</w:t>
            </w:r>
          </w:p>
          <w:p>
            <w:pPr>
              <w:spacing w:line="40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2.</w:t>
            </w:r>
            <w:r>
              <w:rPr>
                <w:rFonts w:hint="eastAsia" w:ascii="方正黑体_GBK" w:hAnsi="方正黑体_GBK" w:eastAsia="方正黑体_GBK" w:cs="方正黑体_GBK"/>
                <w:sz w:val="24"/>
                <w:szCs w:val="24"/>
              </w:rPr>
              <w:t>建设老年人友好型社区</w:t>
            </w:r>
          </w:p>
          <w:p>
            <w:pPr>
              <w:pStyle w:val="17"/>
              <w:ind w:firstLine="480" w:firstLineChars="200"/>
              <w:rPr>
                <w:rFonts w:ascii="宋体" w:cs="宋体"/>
                <w:sz w:val="24"/>
                <w:szCs w:val="24"/>
              </w:rPr>
            </w:pPr>
            <w:r>
              <w:rPr>
                <w:rFonts w:hint="eastAsia" w:ascii="宋体" w:hAnsi="宋体" w:cs="宋体"/>
                <w:sz w:val="24"/>
                <w:szCs w:val="24"/>
              </w:rPr>
              <w:t>打造“一刻钟养老服务便捷生活圈”。积极探索“物业服务</w:t>
            </w:r>
            <w:r>
              <w:rPr>
                <w:rFonts w:ascii="宋体" w:hAnsi="宋体" w:cs="宋体"/>
                <w:sz w:val="24"/>
                <w:szCs w:val="24"/>
              </w:rPr>
              <w:t>+</w:t>
            </w:r>
            <w:r>
              <w:rPr>
                <w:rFonts w:hint="eastAsia" w:ascii="宋体" w:hAnsi="宋体" w:cs="宋体"/>
                <w:sz w:val="24"/>
                <w:szCs w:val="24"/>
              </w:rPr>
              <w:t>养老服务”“互助</w:t>
            </w:r>
            <w:r>
              <w:rPr>
                <w:rFonts w:ascii="宋体" w:hAnsi="宋体" w:cs="宋体"/>
                <w:sz w:val="24"/>
                <w:szCs w:val="24"/>
              </w:rPr>
              <w:t>+</w:t>
            </w:r>
            <w:r>
              <w:rPr>
                <w:rFonts w:hint="eastAsia" w:ascii="宋体" w:hAnsi="宋体" w:cs="宋体"/>
                <w:sz w:val="24"/>
                <w:szCs w:val="24"/>
              </w:rPr>
              <w:t>流动”养老等新型养老服务模式。鼓励开展家庭照护养老床位，探索解决居家失能失智老年人照护需求。支持开展失能照护以及助餐助浴助洁助医助行等服务，打造具有渝北特色的品质养老社区。到</w:t>
            </w:r>
            <w:r>
              <w:rPr>
                <w:rFonts w:ascii="宋体" w:hAnsi="宋体" w:cs="宋体"/>
                <w:sz w:val="24"/>
                <w:szCs w:val="24"/>
              </w:rPr>
              <w:t>2025</w:t>
            </w:r>
            <w:r>
              <w:rPr>
                <w:rFonts w:hint="eastAsia" w:ascii="宋体" w:hAnsi="宋体" w:cs="宋体"/>
                <w:sz w:val="24"/>
                <w:szCs w:val="24"/>
              </w:rPr>
              <w:t>年，社区老年食堂实现全覆盖。</w:t>
            </w:r>
          </w:p>
          <w:p>
            <w:pPr>
              <w:spacing w:line="40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3.</w:t>
            </w:r>
            <w:r>
              <w:rPr>
                <w:rFonts w:hint="eastAsia" w:ascii="方正黑体_GBK" w:hAnsi="方正黑体_GBK" w:eastAsia="方正黑体_GBK" w:cs="方正黑体_GBK"/>
                <w:sz w:val="24"/>
                <w:szCs w:val="24"/>
              </w:rPr>
              <w:t>推进医养</w:t>
            </w:r>
            <w:r>
              <w:rPr>
                <w:rFonts w:ascii="方正黑体_GBK" w:hAnsi="方正黑体_GBK" w:eastAsia="方正黑体_GBK" w:cs="方正黑体_GBK"/>
                <w:sz w:val="24"/>
                <w:szCs w:val="24"/>
              </w:rPr>
              <w:t>+</w:t>
            </w:r>
            <w:r>
              <w:rPr>
                <w:rFonts w:hint="eastAsia" w:ascii="方正黑体_GBK" w:hAnsi="方正黑体_GBK" w:eastAsia="方正黑体_GBK" w:cs="方正黑体_GBK"/>
                <w:sz w:val="24"/>
                <w:szCs w:val="24"/>
              </w:rPr>
              <w:t>智慧养老新模式</w:t>
            </w:r>
          </w:p>
          <w:p>
            <w:pPr>
              <w:pStyle w:val="17"/>
              <w:ind w:firstLine="480" w:firstLineChars="200"/>
              <w:rPr>
                <w:rFonts w:ascii="宋体" w:cs="宋体"/>
                <w:sz w:val="24"/>
                <w:szCs w:val="24"/>
              </w:rPr>
            </w:pPr>
            <w:r>
              <w:rPr>
                <w:rFonts w:hint="eastAsia" w:ascii="宋体" w:hAnsi="宋体" w:cs="宋体"/>
                <w:sz w:val="24"/>
                <w:szCs w:val="24"/>
              </w:rPr>
              <w:t>建设智慧养老院、智慧养老社区和数字化养老服务点，升级赋能渝北区智慧养老云平台，推广仙桃街道“医</w:t>
            </w:r>
            <w:r>
              <w:rPr>
                <w:rFonts w:ascii="宋体" w:hAnsi="宋体" w:cs="宋体"/>
                <w:sz w:val="24"/>
                <w:szCs w:val="24"/>
              </w:rPr>
              <w:t>+</w:t>
            </w:r>
            <w:r>
              <w:rPr>
                <w:rFonts w:hint="eastAsia" w:ascii="宋体" w:hAnsi="宋体" w:cs="宋体"/>
                <w:sz w:val="24"/>
                <w:szCs w:val="24"/>
              </w:rPr>
              <w:t>养</w:t>
            </w:r>
            <w:r>
              <w:rPr>
                <w:rFonts w:ascii="宋体" w:hAnsi="宋体" w:cs="宋体"/>
                <w:sz w:val="24"/>
                <w:szCs w:val="24"/>
              </w:rPr>
              <w:t>+</w:t>
            </w:r>
            <w:r>
              <w:rPr>
                <w:rFonts w:hint="eastAsia" w:ascii="宋体" w:hAnsi="宋体" w:cs="宋体"/>
                <w:sz w:val="24"/>
                <w:szCs w:val="24"/>
              </w:rPr>
              <w:t>科技”三位一体智慧居家养老服务体系，建立渝北区老年人“关爱地图”，丰富居家养老互联网应用场景。改建区医院老院区为医养结合老年康养中心，区中医院搬迁后旧院区改造为安宁疗护机构。发展“候鸟式”“度假式”“生态休闲式”等多种养老模式。推进圣桦泰邦健康城等项目建设，建设复合型养老园区、示范基地。</w:t>
            </w:r>
          </w:p>
          <w:p>
            <w:pPr>
              <w:spacing w:line="40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4.</w:t>
            </w:r>
            <w:r>
              <w:rPr>
                <w:rFonts w:hint="eastAsia" w:ascii="方正黑体_GBK" w:hAnsi="方正黑体_GBK" w:eastAsia="方正黑体_GBK" w:cs="方正黑体_GBK"/>
                <w:sz w:val="24"/>
                <w:szCs w:val="24"/>
              </w:rPr>
              <w:t>丰富婴幼儿照护优质供给</w:t>
            </w:r>
          </w:p>
          <w:p>
            <w:pPr>
              <w:pStyle w:val="17"/>
              <w:ind w:firstLine="480" w:firstLineChars="200"/>
              <w:rPr>
                <w:rFonts w:ascii="宋体" w:cs="宋体"/>
                <w:sz w:val="24"/>
                <w:szCs w:val="24"/>
              </w:rPr>
            </w:pPr>
            <w:r>
              <w:rPr>
                <w:rFonts w:hint="eastAsia" w:ascii="宋体" w:hAnsi="宋体" w:cs="宋体"/>
                <w:sz w:val="24"/>
                <w:szCs w:val="24"/>
              </w:rPr>
              <w:t>完善居住社区婴幼儿活动场所和服务设施，鼓励托幼一体化建设，鼓励有条件的幼儿园利用现有资源，采取开设幼托班等多种形式，提供</w:t>
            </w:r>
            <w:r>
              <w:rPr>
                <w:rFonts w:ascii="宋体" w:hAnsi="宋体" w:cs="宋体"/>
                <w:sz w:val="24"/>
                <w:szCs w:val="24"/>
              </w:rPr>
              <w:t>2—3</w:t>
            </w:r>
            <w:r>
              <w:rPr>
                <w:rFonts w:hint="eastAsia" w:ascii="宋体" w:hAnsi="宋体" w:cs="宋体"/>
                <w:sz w:val="24"/>
                <w:szCs w:val="24"/>
              </w:rPr>
              <w:t>岁婴幼儿照护服务。推进公共场所母婴设施的建设和改造，开辟服务绿色通道，为婴幼儿出行、哺乳等提供便利条件。</w:t>
            </w:r>
          </w:p>
          <w:p>
            <w:pPr>
              <w:pStyle w:val="17"/>
              <w:rPr>
                <w:rFonts w:ascii="方正黑体_GBK" w:hAnsi="方正黑体_GBK" w:eastAsia="方正黑体_GBK" w:cs="方正黑体_GBK"/>
                <w:sz w:val="24"/>
                <w:szCs w:val="24"/>
              </w:rPr>
            </w:pPr>
            <w:r>
              <w:rPr>
                <w:rFonts w:ascii="方正黑体_GBK" w:hAnsi="方正黑体_GBK" w:eastAsia="方正黑体_GBK" w:cs="方正黑体_GBK"/>
                <w:sz w:val="24"/>
                <w:szCs w:val="24"/>
              </w:rPr>
              <w:t>5.</w:t>
            </w:r>
            <w:r>
              <w:rPr>
                <w:rFonts w:hint="eastAsia" w:ascii="方正黑体_GBK" w:hAnsi="方正黑体_GBK" w:eastAsia="方正黑体_GBK" w:cs="方正黑体_GBK"/>
                <w:sz w:val="24"/>
                <w:szCs w:val="24"/>
              </w:rPr>
              <w:t>推动教育高质量发展</w:t>
            </w:r>
          </w:p>
          <w:p>
            <w:pPr>
              <w:pStyle w:val="17"/>
              <w:ind w:firstLine="480" w:firstLineChars="200"/>
            </w:pPr>
            <w:r>
              <w:rPr>
                <w:rFonts w:hint="eastAsia" w:ascii="方正黑体_GBK" w:hAnsi="方正黑体_GBK" w:eastAsia="方正黑体_GBK" w:cs="方正黑体_GBK"/>
                <w:sz w:val="24"/>
                <w:szCs w:val="24"/>
              </w:rPr>
              <w:t>学前教育：</w:t>
            </w:r>
            <w:r>
              <w:rPr>
                <w:rFonts w:hint="eastAsia" w:ascii="宋体" w:hAnsi="宋体" w:cs="宋体"/>
                <w:sz w:val="24"/>
                <w:szCs w:val="24"/>
              </w:rPr>
              <w:t>新建及改扩建回兴幼儿园等</w:t>
            </w:r>
            <w:r>
              <w:rPr>
                <w:rFonts w:ascii="宋体" w:hAnsi="宋体" w:cs="宋体"/>
                <w:sz w:val="24"/>
                <w:szCs w:val="24"/>
              </w:rPr>
              <w:t>41</w:t>
            </w:r>
            <w:r>
              <w:rPr>
                <w:rFonts w:hint="eastAsia" w:ascii="宋体" w:hAnsi="宋体" w:cs="宋体"/>
                <w:sz w:val="24"/>
                <w:szCs w:val="24"/>
              </w:rPr>
              <w:t>所幼儿园。</w:t>
            </w:r>
            <w:r>
              <w:rPr>
                <w:rFonts w:hint="eastAsia" w:ascii="方正黑体_GBK" w:hAnsi="方正黑体_GBK" w:eastAsia="方正黑体_GBK" w:cs="方正黑体_GBK"/>
                <w:sz w:val="24"/>
                <w:szCs w:val="24"/>
              </w:rPr>
              <w:t>中小学教育：</w:t>
            </w:r>
            <w:r>
              <w:rPr>
                <w:rFonts w:hint="eastAsia" w:ascii="宋体" w:hAnsi="宋体" w:cs="宋体"/>
                <w:sz w:val="24"/>
                <w:szCs w:val="24"/>
              </w:rPr>
              <w:t>新建及改扩建同茂小学、举人坝小学、空港实验中学、悦港中学、祥和中学、金石小学等中小学</w:t>
            </w:r>
            <w:r>
              <w:rPr>
                <w:rFonts w:ascii="宋体" w:hAnsi="宋体" w:cs="宋体"/>
                <w:sz w:val="24"/>
                <w:szCs w:val="24"/>
              </w:rPr>
              <w:t>39</w:t>
            </w:r>
            <w:r>
              <w:rPr>
                <w:rFonts w:hint="eastAsia" w:ascii="宋体" w:hAnsi="宋体" w:cs="宋体"/>
                <w:sz w:val="24"/>
                <w:szCs w:val="24"/>
              </w:rPr>
              <w:t>所。</w:t>
            </w:r>
            <w:r>
              <w:rPr>
                <w:rFonts w:hint="eastAsia" w:ascii="方正黑体_GBK" w:hAnsi="方正黑体_GBK" w:eastAsia="方正黑体_GBK" w:cs="方正黑体_GBK"/>
                <w:sz w:val="24"/>
                <w:szCs w:val="24"/>
              </w:rPr>
              <w:t>职业教育：</w:t>
            </w:r>
            <w:r>
              <w:rPr>
                <w:rFonts w:hint="eastAsia" w:ascii="宋体" w:hAnsi="宋体" w:cs="宋体"/>
                <w:sz w:val="24"/>
                <w:szCs w:val="24"/>
              </w:rPr>
              <w:t>加快区职教中心搬迁投用，新建三峡移民职业教育龙兴校区，新增区级培训机构</w:t>
            </w:r>
            <w:r>
              <w:rPr>
                <w:rFonts w:ascii="宋体" w:hAnsi="宋体" w:cs="宋体"/>
                <w:sz w:val="24"/>
                <w:szCs w:val="24"/>
              </w:rPr>
              <w:t>15</w:t>
            </w:r>
            <w:r>
              <w:rPr>
                <w:rFonts w:hint="eastAsia" w:ascii="宋体" w:hAnsi="宋体" w:cs="宋体"/>
                <w:sz w:val="24"/>
                <w:szCs w:val="24"/>
              </w:rPr>
              <w:t>家，增加技工院校</w:t>
            </w:r>
            <w:r>
              <w:rPr>
                <w:rFonts w:ascii="宋体" w:hAnsi="宋体" w:cs="宋体"/>
                <w:sz w:val="24"/>
                <w:szCs w:val="24"/>
              </w:rPr>
              <w:t>1</w:t>
            </w:r>
            <w:r>
              <w:rPr>
                <w:rFonts w:hint="eastAsia" w:ascii="宋体" w:hAnsi="宋体" w:cs="宋体"/>
                <w:sz w:val="24"/>
                <w:szCs w:val="24"/>
              </w:rPr>
              <w:t>家，补齐公办职业教育空缺。</w:t>
            </w:r>
            <w:r>
              <w:rPr>
                <w:rFonts w:hint="eastAsia" w:ascii="方正黑体_GBK" w:hAnsi="方正黑体_GBK" w:eastAsia="方正黑体_GBK" w:cs="方正黑体_GBK"/>
                <w:sz w:val="24"/>
                <w:szCs w:val="24"/>
              </w:rPr>
              <w:t>高水平国际学校：</w:t>
            </w:r>
            <w:r>
              <w:rPr>
                <w:rFonts w:hint="eastAsia" w:ascii="宋体" w:hAnsi="宋体" w:cs="宋体"/>
                <w:sz w:val="24"/>
                <w:szCs w:val="24"/>
              </w:rPr>
              <w:t>引进世界高水平大学在渝北办学，建成重点中学国际部、职业教育国际培训学校</w:t>
            </w:r>
            <w:r>
              <w:rPr>
                <w:rFonts w:ascii="宋体" w:hAnsi="宋体" w:cs="宋体"/>
                <w:sz w:val="24"/>
                <w:szCs w:val="24"/>
              </w:rPr>
              <w:t>3—5</w:t>
            </w:r>
            <w:r>
              <w:rPr>
                <w:rFonts w:hint="eastAsia" w:ascii="宋体" w:hAnsi="宋体" w:cs="宋体"/>
                <w:sz w:val="24"/>
                <w:szCs w:val="24"/>
              </w:rPr>
              <w:t>个，建立国外友好学校</w:t>
            </w:r>
            <w:r>
              <w:rPr>
                <w:rFonts w:ascii="宋体" w:hAnsi="宋体" w:cs="宋体"/>
                <w:sz w:val="24"/>
                <w:szCs w:val="24"/>
              </w:rPr>
              <w:t>30</w:t>
            </w:r>
            <w:r>
              <w:rPr>
                <w:rFonts w:hint="eastAsia" w:ascii="宋体" w:hAnsi="宋体" w:cs="宋体"/>
                <w:sz w:val="24"/>
                <w:szCs w:val="24"/>
              </w:rPr>
              <w:t>所以上。</w:t>
            </w:r>
          </w:p>
        </w:tc>
      </w:tr>
      <w:bookmarkEnd w:id="53"/>
    </w:tbl>
    <w:p>
      <w:pPr>
        <w:pStyle w:val="3"/>
        <w:spacing w:beforeLines="150" w:afterLines="150" w:line="560" w:lineRule="exact"/>
        <w:contextualSpacing/>
        <w:jc w:val="center"/>
        <w:rPr>
          <w:rFonts w:ascii="方正黑体_GBK" w:hAnsi="方正黑体_GBK" w:eastAsia="方正黑体_GBK" w:cs="方正黑体_GBK"/>
          <w:kern w:val="0"/>
          <w:sz w:val="36"/>
          <w:szCs w:val="36"/>
        </w:rPr>
      </w:pPr>
      <w:bookmarkStart w:id="77" w:name="_Toc19606"/>
      <w:bookmarkStart w:id="78" w:name="_Toc45016350"/>
      <w:bookmarkStart w:id="79" w:name="_Toc19462"/>
      <w:r>
        <w:rPr>
          <w:rFonts w:hint="eastAsia" w:ascii="方正黑体_GBK" w:hAnsi="方正黑体_GBK" w:eastAsia="方正黑体_GBK" w:cs="方正黑体_GBK"/>
          <w:kern w:val="0"/>
          <w:sz w:val="36"/>
          <w:szCs w:val="36"/>
        </w:rPr>
        <w:t>第三篇</w:t>
      </w:r>
      <w:bookmarkEnd w:id="77"/>
      <w:bookmarkEnd w:id="78"/>
      <w:r>
        <w:rPr>
          <w:rFonts w:hint="eastAsia" w:ascii="方正黑体_GBK" w:hAnsi="方正黑体_GBK" w:eastAsia="方正黑体_GBK" w:cs="方正黑体_GBK"/>
          <w:kern w:val="0"/>
          <w:sz w:val="36"/>
          <w:szCs w:val="36"/>
        </w:rPr>
        <w:t>主要任务</w:t>
      </w:r>
      <w:bookmarkEnd w:id="79"/>
    </w:p>
    <w:p>
      <w:pPr>
        <w:spacing w:line="560" w:lineRule="exact"/>
        <w:ind w:firstLine="640" w:firstLineChars="200"/>
        <w:rPr>
          <w:rFonts w:ascii="方正仿宋_GBK" w:hAnsi="方正仿宋_GBK" w:eastAsia="方正仿宋_GBK" w:cs="方正仿宋_GBK"/>
          <w:smallCaps/>
          <w:kern w:val="0"/>
          <w:sz w:val="32"/>
          <w:szCs w:val="32"/>
        </w:rPr>
      </w:pPr>
      <w:bookmarkStart w:id="80" w:name="_Toc45016351"/>
      <w:r>
        <w:rPr>
          <w:rFonts w:hint="eastAsia" w:ascii="方正仿宋_GBK" w:hAnsi="方正仿宋_GBK" w:eastAsia="方正仿宋_GBK" w:cs="方正仿宋_GBK"/>
          <w:smallCaps/>
          <w:kern w:val="0"/>
          <w:sz w:val="32"/>
          <w:szCs w:val="32"/>
        </w:rPr>
        <w:t>着力探索融入新发展格局的有效路径，实施创新发展、融合发展、开放发展、协同发展，优化发展布局，推动服务业高质量发展。</w:t>
      </w:r>
    </w:p>
    <w:p>
      <w:pPr>
        <w:pStyle w:val="125"/>
        <w:overflowPunct w:val="0"/>
        <w:adjustRightInd w:val="0"/>
        <w:snapToGrid w:val="0"/>
        <w:spacing w:beforeLines="200" w:afterLines="50" w:line="560" w:lineRule="exact"/>
        <w:ind w:firstLine="0"/>
        <w:jc w:val="center"/>
        <w:outlineLvl w:val="1"/>
        <w:rPr>
          <w:rFonts w:ascii="方正黑体_GBK" w:hAnsi="方正黑体_GBK" w:eastAsia="方正黑体_GBK" w:cs="方正黑体_GBK"/>
          <w:kern w:val="0"/>
          <w:sz w:val="32"/>
          <w:szCs w:val="32"/>
        </w:rPr>
      </w:pPr>
      <w:bookmarkStart w:id="81" w:name="_Toc909"/>
      <w:bookmarkStart w:id="82" w:name="_Toc4415"/>
      <w:bookmarkStart w:id="83" w:name="_Toc12943"/>
      <w:bookmarkStart w:id="84" w:name="_Toc6959"/>
      <w:r>
        <w:rPr>
          <w:rFonts w:hint="eastAsia" w:ascii="方正黑体_GBK" w:hAnsi="方正黑体_GBK" w:eastAsia="方正黑体_GBK" w:cs="方正黑体_GBK"/>
          <w:kern w:val="0"/>
          <w:sz w:val="32"/>
          <w:szCs w:val="32"/>
        </w:rPr>
        <w:t>第五章</w:t>
      </w:r>
      <w:r>
        <w:rPr>
          <w:rFonts w:ascii="方正黑体_GBK" w:hAnsi="方正黑体_GBK" w:eastAsia="方正黑体_GBK" w:cs="方正黑体_GBK"/>
          <w:kern w:val="0"/>
          <w:sz w:val="32"/>
          <w:szCs w:val="32"/>
        </w:rPr>
        <w:t xml:space="preserve">  </w:t>
      </w:r>
      <w:r>
        <w:rPr>
          <w:rFonts w:hint="eastAsia" w:ascii="方正黑体_GBK" w:hAnsi="方正黑体_GBK" w:eastAsia="方正黑体_GBK" w:cs="方正黑体_GBK"/>
          <w:kern w:val="0"/>
          <w:sz w:val="32"/>
          <w:szCs w:val="32"/>
        </w:rPr>
        <w:t>推动创新发展</w:t>
      </w:r>
      <w:bookmarkEnd w:id="81"/>
      <w:bookmarkEnd w:id="82"/>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仿宋_GBK" w:hAnsi="方正仿宋_GBK" w:eastAsia="方正仿宋_GBK" w:cs="方正仿宋_GBK"/>
          <w:smallCaps/>
          <w:kern w:val="0"/>
          <w:sz w:val="32"/>
          <w:szCs w:val="32"/>
        </w:rPr>
        <w:t>把握新技术向新服务转化的大趋势，实施创新发展行动，</w:t>
      </w:r>
      <w:r>
        <w:rPr>
          <w:rFonts w:hint="eastAsia" w:ascii="方正仿宋_GBK" w:hAnsi="方正仿宋_GBK" w:eastAsia="方正仿宋_GBK" w:cs="方正仿宋_GBK"/>
          <w:smallCaps/>
          <w:kern w:val="0"/>
          <w:sz w:val="32"/>
          <w:szCs w:val="32"/>
          <w:lang w:val="zh-TW"/>
        </w:rPr>
        <w:t>培育壮大</w:t>
      </w:r>
      <w:r>
        <w:rPr>
          <w:rFonts w:hint="eastAsia" w:ascii="方正仿宋_GBK" w:hAnsi="方正仿宋_GBK" w:eastAsia="方正仿宋_GBK" w:cs="方正仿宋_GBK"/>
          <w:smallCaps/>
          <w:kern w:val="0"/>
          <w:sz w:val="32"/>
          <w:szCs w:val="32"/>
        </w:rPr>
        <w:t>总部经济、楼宇经济、数字经济、临空经济、</w:t>
      </w:r>
      <w:r>
        <w:rPr>
          <w:rFonts w:hint="eastAsia" w:ascii="方正仿宋_GBK" w:hAnsi="方正仿宋_GBK" w:eastAsia="方正仿宋_GBK" w:cs="方正仿宋_GBK"/>
          <w:smallCaps/>
          <w:kern w:val="0"/>
          <w:sz w:val="32"/>
          <w:szCs w:val="32"/>
          <w:lang w:val="zh-TW"/>
        </w:rPr>
        <w:t>平台经济</w:t>
      </w:r>
      <w:r>
        <w:rPr>
          <w:rFonts w:hint="eastAsia" w:ascii="方正仿宋_GBK" w:hAnsi="方正仿宋_GBK" w:eastAsia="方正仿宋_GBK" w:cs="方正仿宋_GBK"/>
          <w:smallCaps/>
          <w:kern w:val="0"/>
          <w:sz w:val="32"/>
          <w:szCs w:val="32"/>
        </w:rPr>
        <w:t>五大</w:t>
      </w:r>
      <w:r>
        <w:rPr>
          <w:rFonts w:hint="eastAsia" w:ascii="方正仿宋_GBK" w:hAnsi="方正仿宋_GBK" w:eastAsia="方正仿宋_GBK" w:cs="方正仿宋_GBK"/>
          <w:smallCaps/>
          <w:kern w:val="0"/>
          <w:sz w:val="32"/>
          <w:szCs w:val="32"/>
          <w:lang w:val="zh-TW"/>
        </w:rPr>
        <w:t>新</w:t>
      </w:r>
      <w:r>
        <w:rPr>
          <w:rFonts w:hint="eastAsia" w:ascii="方正仿宋_GBK" w:hAnsi="方正仿宋_GBK" w:eastAsia="方正仿宋_GBK" w:cs="方正仿宋_GBK"/>
          <w:smallCaps/>
          <w:kern w:val="0"/>
          <w:sz w:val="32"/>
          <w:szCs w:val="32"/>
        </w:rPr>
        <w:t>经济形态</w:t>
      </w:r>
      <w:r>
        <w:rPr>
          <w:rFonts w:hint="eastAsia" w:ascii="方正仿宋_GBK" w:hAnsi="方正仿宋_GBK" w:eastAsia="方正仿宋_GBK" w:cs="方正仿宋_GBK"/>
          <w:smallCaps/>
          <w:kern w:val="0"/>
          <w:sz w:val="32"/>
          <w:szCs w:val="32"/>
          <w:lang w:val="zh-TW"/>
        </w:rPr>
        <w:t>，</w:t>
      </w:r>
      <w:r>
        <w:rPr>
          <w:rFonts w:hint="eastAsia" w:ascii="方正仿宋_GBK" w:hAnsi="方正仿宋_GBK" w:eastAsia="方正仿宋_GBK" w:cs="方正仿宋_GBK"/>
          <w:smallCaps/>
          <w:kern w:val="0"/>
          <w:sz w:val="32"/>
          <w:szCs w:val="32"/>
        </w:rPr>
        <w:t>延伸产业链价值链创新链。</w:t>
      </w: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85" w:name="_Toc32489"/>
      <w:r>
        <w:rPr>
          <w:rFonts w:hint="eastAsia" w:ascii="方正楷体_GBK" w:hAnsi="方正楷体_GBK" w:eastAsia="方正楷体_GBK" w:cs="方正楷体_GBK"/>
          <w:kern w:val="0"/>
          <w:sz w:val="32"/>
          <w:szCs w:val="32"/>
        </w:rPr>
        <w:t>第一节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加快发展总部经济</w:t>
      </w:r>
      <w:bookmarkEnd w:id="83"/>
      <w:bookmarkEnd w:id="85"/>
    </w:p>
    <w:p>
      <w:pPr>
        <w:spacing w:line="560" w:lineRule="exact"/>
        <w:ind w:firstLine="640" w:firstLineChars="200"/>
        <w:rPr>
          <w:rFonts w:eastAsia="方正仿宋_GBK"/>
          <w:sz w:val="32"/>
          <w:szCs w:val="32"/>
        </w:rPr>
      </w:pPr>
      <w:r>
        <w:rPr>
          <w:rFonts w:hint="eastAsia" w:eastAsia="方正仿宋_GBK"/>
          <w:sz w:val="32"/>
          <w:szCs w:val="32"/>
        </w:rPr>
        <w:t>发挥临空优势，依托自贸试验区和中新互联互通项目建设，优化总部经济发展环境，引进和培育一批国内外大型总部企业，增强全球资源要素配置能力，</w:t>
      </w:r>
      <w:r>
        <w:rPr>
          <w:rFonts w:hint="eastAsia" w:ascii="方正仿宋_GBK" w:hAnsi="方正仿宋_GBK" w:eastAsia="方正仿宋_GBK" w:cs="方正仿宋_GBK"/>
          <w:smallCaps/>
          <w:kern w:val="0"/>
          <w:sz w:val="32"/>
          <w:szCs w:val="32"/>
        </w:rPr>
        <w:t>提高服务全球的竞争力。</w:t>
      </w:r>
      <w:r>
        <w:rPr>
          <w:rFonts w:hint="eastAsia" w:eastAsia="方正仿宋_GBK"/>
          <w:sz w:val="32"/>
          <w:szCs w:val="32"/>
        </w:rPr>
        <w:t>着力构建完善总部经济政策体系、服务体系，瞄准世界</w:t>
      </w:r>
      <w:r>
        <w:rPr>
          <w:rFonts w:eastAsia="方正仿宋_GBK"/>
          <w:sz w:val="32"/>
          <w:szCs w:val="32"/>
        </w:rPr>
        <w:t>500</w:t>
      </w:r>
      <w:r>
        <w:rPr>
          <w:rFonts w:hint="eastAsia" w:eastAsia="方正仿宋_GBK"/>
          <w:sz w:val="32"/>
          <w:szCs w:val="32"/>
        </w:rPr>
        <w:t>强、中国</w:t>
      </w:r>
      <w:r>
        <w:rPr>
          <w:rFonts w:eastAsia="方正仿宋_GBK"/>
          <w:sz w:val="32"/>
          <w:szCs w:val="32"/>
        </w:rPr>
        <w:t>500</w:t>
      </w:r>
      <w:r>
        <w:rPr>
          <w:rFonts w:hint="eastAsia" w:eastAsia="方正仿宋_GBK"/>
          <w:sz w:val="32"/>
          <w:szCs w:val="32"/>
        </w:rPr>
        <w:t>强、行业</w:t>
      </w:r>
      <w:r>
        <w:rPr>
          <w:rFonts w:eastAsia="方正仿宋_GBK"/>
          <w:sz w:val="32"/>
          <w:szCs w:val="32"/>
        </w:rPr>
        <w:t>100</w:t>
      </w:r>
      <w:r>
        <w:rPr>
          <w:rFonts w:hint="eastAsia" w:eastAsia="方正仿宋_GBK"/>
          <w:sz w:val="32"/>
          <w:szCs w:val="32"/>
        </w:rPr>
        <w:t>强等“头部”企业，积极引进国内外知名企业总部、区域总部、采购中心、研发中心、</w:t>
      </w:r>
      <w:r>
        <w:rPr>
          <w:rFonts w:hint="eastAsia" w:eastAsia="方正仿宋_GBK" w:cs="方正仿宋_GBK"/>
          <w:sz w:val="32"/>
          <w:szCs w:val="32"/>
        </w:rPr>
        <w:t>产品定制中心、</w:t>
      </w:r>
      <w:r>
        <w:rPr>
          <w:rFonts w:hint="eastAsia" w:ascii="方正仿宋_GBK" w:hAnsi="方正仿宋_GBK" w:eastAsia="方正仿宋_GBK" w:cs="方正仿宋_GBK"/>
          <w:smallCaps/>
          <w:kern w:val="0"/>
          <w:sz w:val="32"/>
          <w:szCs w:val="32"/>
        </w:rPr>
        <w:t>销售中心、结算中心、</w:t>
      </w:r>
      <w:r>
        <w:rPr>
          <w:rFonts w:hint="eastAsia" w:eastAsia="方正仿宋_GBK" w:cs="方正仿宋_GBK"/>
          <w:sz w:val="32"/>
          <w:szCs w:val="32"/>
        </w:rPr>
        <w:t>运营管理中心</w:t>
      </w:r>
      <w:r>
        <w:rPr>
          <w:rFonts w:hint="eastAsia" w:eastAsia="方正仿宋_GBK"/>
          <w:sz w:val="32"/>
          <w:szCs w:val="32"/>
        </w:rPr>
        <w:t>等。</w:t>
      </w:r>
      <w:r>
        <w:rPr>
          <w:rFonts w:hint="eastAsia" w:ascii="方正仿宋_GBK" w:hAnsi="方正仿宋_GBK" w:eastAsia="方正仿宋_GBK" w:cs="方正仿宋_GBK"/>
          <w:smallCaps/>
          <w:kern w:val="0"/>
          <w:sz w:val="32"/>
          <w:szCs w:val="32"/>
        </w:rPr>
        <w:t>大力培育和吸引新生代企业总部、民营企业总部。</w:t>
      </w:r>
      <w:r>
        <w:rPr>
          <w:rFonts w:hint="eastAsia" w:eastAsia="方正仿宋_GBK"/>
          <w:sz w:val="32"/>
          <w:szCs w:val="32"/>
        </w:rPr>
        <w:t>推动存量总部企业增资扩产，积极融入全球产业分工合作，争取将更多入驻渝北的机构升级为全国总部或功能总部。</w:t>
      </w:r>
      <w:r>
        <w:rPr>
          <w:rFonts w:hint="eastAsia" w:ascii="方正仿宋_GBK" w:hAnsi="方正仿宋_GBK" w:eastAsia="方正仿宋_GBK" w:cs="方正仿宋_GBK"/>
          <w:smallCaps/>
          <w:kern w:val="0"/>
          <w:sz w:val="32"/>
          <w:szCs w:val="32"/>
        </w:rPr>
        <w:t>对已落户的总部企业完善服务提升，落实资金管理、通关便利、人才引进及出入境等方面的优惠政策，助推提升能级。</w:t>
      </w:r>
      <w:r>
        <w:rPr>
          <w:rFonts w:hint="eastAsia" w:eastAsia="方正仿宋_GBK"/>
          <w:sz w:val="32"/>
          <w:szCs w:val="32"/>
        </w:rPr>
        <w:t>力争到</w:t>
      </w:r>
      <w:r>
        <w:rPr>
          <w:rFonts w:eastAsia="方正仿宋_GBK"/>
          <w:sz w:val="32"/>
          <w:szCs w:val="32"/>
        </w:rPr>
        <w:t>2025</w:t>
      </w:r>
      <w:r>
        <w:rPr>
          <w:rFonts w:hint="eastAsia" w:eastAsia="方正仿宋_GBK"/>
          <w:sz w:val="32"/>
          <w:szCs w:val="32"/>
        </w:rPr>
        <w:t>年，全区总部企业数量超过</w:t>
      </w:r>
      <w:r>
        <w:rPr>
          <w:rFonts w:eastAsia="方正仿宋_GBK"/>
          <w:sz w:val="32"/>
          <w:szCs w:val="32"/>
        </w:rPr>
        <w:t>90</w:t>
      </w:r>
      <w:r>
        <w:rPr>
          <w:rFonts w:hint="eastAsia" w:eastAsia="方正仿宋_GBK"/>
          <w:sz w:val="32"/>
          <w:szCs w:val="32"/>
        </w:rPr>
        <w:t>家，培育发展亿元级、十亿元级高端商务楼宇</w:t>
      </w:r>
      <w:r>
        <w:rPr>
          <w:rFonts w:eastAsia="方正仿宋_GBK"/>
          <w:sz w:val="32"/>
          <w:szCs w:val="32"/>
        </w:rPr>
        <w:t>4</w:t>
      </w:r>
      <w:r>
        <w:rPr>
          <w:rFonts w:hint="eastAsia" w:eastAsia="方正仿宋_GBK"/>
          <w:sz w:val="32"/>
          <w:szCs w:val="32"/>
        </w:rPr>
        <w:t>栋以上，总部经济对地方经济贡献占比达到</w:t>
      </w:r>
      <w:r>
        <w:rPr>
          <w:rFonts w:eastAsia="方正仿宋_GBK"/>
          <w:sz w:val="32"/>
          <w:szCs w:val="32"/>
        </w:rPr>
        <w:t>13%</w:t>
      </w:r>
      <w:r>
        <w:rPr>
          <w:rFonts w:hint="eastAsia" w:eastAsia="方正仿宋_GBK"/>
          <w:sz w:val="32"/>
          <w:szCs w:val="32"/>
        </w:rPr>
        <w:t>，建成</w:t>
      </w:r>
      <w:r>
        <w:rPr>
          <w:rFonts w:hint="eastAsia" w:ascii="方正仿宋_GBK" w:hAnsi="方正仿宋_GBK" w:eastAsia="方正仿宋_GBK" w:cs="方正仿宋_GBK"/>
          <w:smallCaps/>
          <w:kern w:val="0"/>
          <w:sz w:val="32"/>
          <w:szCs w:val="32"/>
        </w:rPr>
        <w:t>重庆乃至中西部地区具有影响力的总部经济集聚区。</w:t>
      </w:r>
    </w:p>
    <w:p>
      <w:pPr>
        <w:widowControl/>
        <w:ind w:firstLine="320" w:firstLineChars="100"/>
        <w:jc w:val="center"/>
        <w:rPr>
          <w:rFonts w:ascii="方正黑体_GBK" w:hAnsi="方正黑体_GBK" w:eastAsia="方正黑体_GBK" w:cs="方正黑体_GBK"/>
          <w:smallCaps/>
          <w:kern w:val="0"/>
          <w:sz w:val="32"/>
          <w:szCs w:val="32"/>
        </w:rPr>
      </w:pPr>
      <w:r>
        <w:rPr>
          <w:rFonts w:hint="eastAsia" w:ascii="方正黑体_GBK" w:hAnsi="方正黑体_GBK" w:eastAsia="方正黑体_GBK" w:cs="方正黑体_GBK"/>
          <w:smallCaps/>
          <w:kern w:val="0"/>
          <w:sz w:val="32"/>
          <w:szCs w:val="32"/>
        </w:rPr>
        <w:t>专栏</w:t>
      </w:r>
      <w:r>
        <w:rPr>
          <w:rFonts w:ascii="方正黑体_GBK" w:hAnsi="方正黑体_GBK" w:eastAsia="方正黑体_GBK" w:cs="方正黑体_GBK"/>
          <w:smallCaps/>
          <w:kern w:val="0"/>
          <w:sz w:val="32"/>
          <w:szCs w:val="32"/>
        </w:rPr>
        <w:t xml:space="preserve">12  </w:t>
      </w:r>
      <w:r>
        <w:rPr>
          <w:rFonts w:hint="eastAsia" w:ascii="方正黑体_GBK" w:hAnsi="方正黑体_GBK" w:eastAsia="方正黑体_GBK" w:cs="方正黑体_GBK"/>
          <w:smallCaps/>
          <w:kern w:val="0"/>
          <w:sz w:val="32"/>
          <w:szCs w:val="32"/>
        </w:rPr>
        <w:t>总部经济发展重点</w:t>
      </w:r>
    </w:p>
    <w:tbl>
      <w:tblPr>
        <w:tblStyle w:val="32"/>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tcPr>
          <w:p>
            <w:pPr>
              <w:spacing w:line="40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1.</w:t>
            </w:r>
            <w:r>
              <w:rPr>
                <w:rFonts w:hint="eastAsia" w:ascii="方正黑体_GBK" w:hAnsi="方正黑体_GBK" w:eastAsia="方正黑体_GBK" w:cs="方正黑体_GBK"/>
                <w:sz w:val="24"/>
                <w:szCs w:val="24"/>
              </w:rPr>
              <w:t>推进总部企业集聚发展计划</w:t>
            </w:r>
          </w:p>
          <w:p>
            <w:pPr>
              <w:pStyle w:val="17"/>
              <w:ind w:firstLine="480" w:firstLineChars="200"/>
              <w:rPr>
                <w:rFonts w:ascii="宋体" w:cs="宋体"/>
                <w:sz w:val="24"/>
                <w:szCs w:val="24"/>
              </w:rPr>
            </w:pPr>
            <w:r>
              <w:rPr>
                <w:rFonts w:hint="eastAsia" w:ascii="宋体" w:hAnsi="宋体" w:cs="宋体"/>
                <w:sz w:val="24"/>
                <w:szCs w:val="24"/>
              </w:rPr>
              <w:t>积极协调在海关、保税、服务等方面提供更加开放的环境。提升对总部企业的服务水平，落实资金管理、通关便利、人才引进及出入境等优惠政策。加快推进国际医院、国际学校等基础设施建设，完善国际人才交流、出入境等服务便利措施。</w:t>
            </w:r>
          </w:p>
          <w:p>
            <w:pPr>
              <w:spacing w:line="40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2.</w:t>
            </w:r>
            <w:r>
              <w:rPr>
                <w:rFonts w:hint="eastAsia" w:ascii="方正黑体_GBK" w:hAnsi="方正黑体_GBK" w:eastAsia="方正黑体_GBK" w:cs="方正黑体_GBK"/>
                <w:sz w:val="24"/>
                <w:szCs w:val="24"/>
              </w:rPr>
              <w:t>推动重点区域重点领域总部经济发展</w:t>
            </w:r>
          </w:p>
          <w:p>
            <w:pPr>
              <w:pStyle w:val="17"/>
              <w:ind w:firstLine="480" w:firstLineChars="200"/>
              <w:rPr>
                <w:rFonts w:ascii="宋体" w:cs="宋体"/>
                <w:sz w:val="24"/>
                <w:szCs w:val="24"/>
              </w:rPr>
            </w:pPr>
            <w:r>
              <w:rPr>
                <w:rFonts w:hint="eastAsia" w:ascii="宋体" w:hAnsi="宋体" w:cs="宋体"/>
                <w:sz w:val="24"/>
                <w:szCs w:val="24"/>
              </w:rPr>
              <w:t>重点推动“三龙”片区、两江国际商务中心、仙桃国际大数据谷、国博中心、国际航空物流园等打造总部基地，围绕“</w:t>
            </w:r>
            <w:r>
              <w:rPr>
                <w:rFonts w:ascii="宋体" w:hAnsi="宋体" w:cs="宋体"/>
                <w:sz w:val="24"/>
                <w:szCs w:val="24"/>
              </w:rPr>
              <w:t>5+3+1</w:t>
            </w:r>
            <w:r>
              <w:rPr>
                <w:rFonts w:hint="eastAsia" w:ascii="宋体" w:hAnsi="宋体" w:cs="宋体"/>
                <w:sz w:val="24"/>
                <w:szCs w:val="24"/>
              </w:rPr>
              <w:t>”为主的现代服务业体系推进总部企业集聚。创新金融类：培育互联网金融总部、投资企业总部、银证保等金融总部。现代物流类：引育航空、物流、供应链、国际贸易、进出口结算等企业总部。科技信息服务类：引进“世界</w:t>
            </w:r>
            <w:r>
              <w:rPr>
                <w:rFonts w:ascii="宋体" w:hAnsi="宋体" w:cs="宋体"/>
                <w:sz w:val="24"/>
                <w:szCs w:val="24"/>
              </w:rPr>
              <w:t>IT</w:t>
            </w:r>
            <w:r>
              <w:rPr>
                <w:rFonts w:hint="eastAsia" w:ascii="宋体" w:hAnsi="宋体" w:cs="宋体"/>
                <w:sz w:val="24"/>
                <w:szCs w:val="24"/>
              </w:rPr>
              <w:t>百强”和“中国软件百强”企业总部或区域总部、功能性总部。专业服务类：引育国际化律师事务所、会计师事务所、税务咨询、商务咨询等专业服务企业。国际贸易类：引进国际贸易、国际服务企业总部积聚。</w:t>
            </w:r>
          </w:p>
          <w:p>
            <w:pPr>
              <w:spacing w:line="40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3.</w:t>
            </w:r>
            <w:r>
              <w:rPr>
                <w:rFonts w:hint="eastAsia" w:ascii="方正黑体_GBK" w:hAnsi="方正黑体_GBK" w:eastAsia="方正黑体_GBK" w:cs="方正黑体_GBK"/>
                <w:sz w:val="24"/>
                <w:szCs w:val="24"/>
              </w:rPr>
              <w:t>支持高成长性企业向总部化转型发展</w:t>
            </w:r>
          </w:p>
          <w:p>
            <w:pPr>
              <w:pStyle w:val="17"/>
              <w:ind w:firstLine="480" w:firstLineChars="200"/>
            </w:pPr>
            <w:r>
              <w:rPr>
                <w:rFonts w:hint="eastAsia" w:ascii="宋体" w:hAnsi="宋体" w:cs="宋体"/>
                <w:sz w:val="24"/>
                <w:szCs w:val="24"/>
              </w:rPr>
              <w:t>支持“个转企”“小升规”“规变总”，支持科创型高成长性企业、新生代互联网企业做大做强，培育和集聚隐形冠军，支持一批新经济头部企业做大做强，推动独角兽等高成长性总部企业发展。建设成渝地区双城经济圈民营企业总部基地。</w:t>
            </w:r>
          </w:p>
        </w:tc>
      </w:tr>
    </w:tbl>
    <w:p>
      <w:pPr>
        <w:pStyle w:val="17"/>
      </w:pP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86" w:name="_Toc2992"/>
      <w:r>
        <w:rPr>
          <w:rFonts w:hint="eastAsia" w:ascii="方正楷体_GBK" w:hAnsi="方正楷体_GBK" w:eastAsia="方正楷体_GBK" w:cs="方正楷体_GBK"/>
          <w:kern w:val="0"/>
          <w:sz w:val="32"/>
          <w:szCs w:val="32"/>
        </w:rPr>
        <w:t>第二节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提质增效楼宇经济</w:t>
      </w:r>
      <w:bookmarkEnd w:id="86"/>
    </w:p>
    <w:p>
      <w:pPr>
        <w:spacing w:line="560" w:lineRule="exact"/>
        <w:ind w:firstLine="640" w:firstLineChars="200"/>
        <w:rPr>
          <w:rFonts w:eastAsia="方正仿宋_GBK"/>
          <w:sz w:val="32"/>
          <w:szCs w:val="32"/>
        </w:rPr>
      </w:pPr>
      <w:r>
        <w:rPr>
          <w:rFonts w:hint="eastAsia" w:eastAsia="方正仿宋_GBK"/>
          <w:sz w:val="32"/>
          <w:szCs w:val="32"/>
        </w:rPr>
        <w:t>全力打造楼宇经济“升级版”，成为推动总部经济高质量发展的重要支撑。大力打造品牌总部大厦，推动建设“亿元”税收楼宇。加强楼宇招商引资和企划，强化优质产业导入和企业聚集，培育特色楼宇。大力提升楼宇载体，重视楼宇硬件的更新迭代及环境的改善，全面摸排、改造升级老旧商务楼宇，提升楼宇载体品质。支持低效工业楼宇转型发展文创、工业设计、康养产业。加强楼宇运营管理，培育高标准的物业管理，建立重点楼宇企业服务驿站，推广提供一站式“全生命周期”楼宇企业服务。推进白领早午餐工程，服务楼宇发展。培育一批数字化特色楼宇、智慧楼宇，推动楼宇经济提质增效，全面提升楼宇资源利用水平、楼宇企业集聚层级、楼宇综合产出效益和楼宇功能形象品质，促进楼宇产业集聚、税源增长，让楼宇成为产业发展的园区、商务发展的载体、品质城市的标杆。</w:t>
      </w:r>
    </w:p>
    <w:bookmarkEnd w:id="84"/>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87" w:name="_Toc1789"/>
      <w:bookmarkStart w:id="88" w:name="_Toc31415"/>
      <w:r>
        <w:rPr>
          <w:rFonts w:hint="eastAsia" w:ascii="方正楷体_GBK" w:hAnsi="方正楷体_GBK" w:eastAsia="方正楷体_GBK" w:cs="方正楷体_GBK"/>
          <w:kern w:val="0"/>
          <w:sz w:val="32"/>
          <w:szCs w:val="32"/>
        </w:rPr>
        <w:t>第三节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加快推进临空经济</w:t>
      </w:r>
      <w:bookmarkEnd w:id="87"/>
      <w:bookmarkEnd w:id="88"/>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仿宋_GBK" w:hAnsi="方正仿宋_GBK" w:eastAsia="方正仿宋_GBK" w:cs="方正仿宋_GBK"/>
          <w:smallCaps/>
          <w:kern w:val="0"/>
          <w:sz w:val="32"/>
          <w:szCs w:val="32"/>
        </w:rPr>
        <w:t>围绕国家临空经济示范区建设，立足国际航空港功能定位，积极发展临空物流、临空保税、国际贸易、航空维修、国际会展、临空商贸商务、临空总部经济等临空服务业。大力发展临空物流，推进航空物流分拨中心建设，进一步丰富机场口岸功能，增强已有进境水果口岸、食用水生生物口岸和冰鲜水产品口岸功能，大力发展冷链物流业务。完善跨境电商服务功能，争取跨境电商进口药品和医疗器械试点，探索扩大跨境电商进口商品种类，依托临空国际贸易示范园、药品器械交易中心等重大项目，做大国际贸易，打造辐射西部、服务全国、连接全球的国际贸易高地。培育壮大航空基地服务、航空商务、航空培训、航空维修等航空服务业。大力发展“保税</w:t>
      </w:r>
      <w:r>
        <w:rPr>
          <w:rFonts w:ascii="方正仿宋_GBK" w:hAnsi="方正仿宋_GBK" w:eastAsia="方正仿宋_GBK" w:cs="方正仿宋_GBK"/>
          <w:smallCaps/>
          <w:kern w:val="0"/>
          <w:sz w:val="32"/>
          <w:szCs w:val="32"/>
        </w:rPr>
        <w:t>+</w:t>
      </w:r>
      <w:r>
        <w:rPr>
          <w:rFonts w:hint="eastAsia" w:ascii="方正仿宋_GBK" w:hAnsi="方正仿宋_GBK" w:eastAsia="方正仿宋_GBK" w:cs="方正仿宋_GBK"/>
          <w:smallCaps/>
          <w:kern w:val="0"/>
          <w:sz w:val="32"/>
          <w:szCs w:val="32"/>
        </w:rPr>
        <w:t>展示交易、跨境电商、航材包修”以及“金融</w:t>
      </w:r>
      <w:r>
        <w:rPr>
          <w:rFonts w:ascii="方正仿宋_GBK" w:hAnsi="方正仿宋_GBK" w:eastAsia="方正仿宋_GBK" w:cs="方正仿宋_GBK"/>
          <w:smallCaps/>
          <w:kern w:val="0"/>
          <w:sz w:val="32"/>
          <w:szCs w:val="32"/>
        </w:rPr>
        <w:t>+</w:t>
      </w:r>
      <w:r>
        <w:rPr>
          <w:rFonts w:hint="eastAsia" w:ascii="方正仿宋_GBK" w:hAnsi="方正仿宋_GBK" w:eastAsia="方正仿宋_GBK" w:cs="方正仿宋_GBK"/>
          <w:smallCaps/>
          <w:kern w:val="0"/>
          <w:sz w:val="32"/>
          <w:szCs w:val="32"/>
        </w:rPr>
        <w:t>”等新业态，大力推进飞机融资租赁、保税航材、保税维修，推动一批全球保税维修项目先行先试，增加通讯设备、医疗器械、精密电子、数控机床、工程机械、运输设备等维修品类。大力发展临空高端商贸，打造保税商品、进口商品批发零售中心。推进江北机场、嘉州商圈、两路空港商圈离境退税商店全覆盖，推行离境退税便捷支付、“即买即退”等便利化措施。大力发展临空商务，依托悦来国际会展城、两江国际商务中心，发展航空会展会议及关联产业，临空服务经济迈入全国领先行列。</w:t>
      </w: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89" w:name="_Toc30651"/>
      <w:bookmarkStart w:id="90" w:name="_Toc1172"/>
      <w:r>
        <w:rPr>
          <w:rFonts w:hint="eastAsia" w:ascii="方正楷体_GBK" w:hAnsi="方正楷体_GBK" w:eastAsia="方正楷体_GBK" w:cs="方正楷体_GBK"/>
          <w:kern w:val="0"/>
          <w:sz w:val="32"/>
          <w:szCs w:val="32"/>
        </w:rPr>
        <w:t>第四节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大力发展平台经济</w:t>
      </w:r>
      <w:bookmarkEnd w:id="89"/>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仿宋_GBK" w:hAnsi="方正仿宋_GBK" w:eastAsia="方正仿宋_GBK" w:cs="方正仿宋_GBK"/>
          <w:smallCaps/>
          <w:kern w:val="0"/>
          <w:sz w:val="32"/>
          <w:szCs w:val="32"/>
        </w:rPr>
        <w:t>强化平台对上下游产业的双向带动和统筹整合能力。加快建设一批综合服务平台，打造工业互联网、电商物流、创新创业、金融服务、信息服务等生产性服务平台和休闲娱乐、文化艺术、教育医疗、健康养老、家政服务等生活性服务平台。加快发展供应链管理平台，培育一批具有全球采购、跨境分销、全球配送能力的国际供应链服务商，推动形成高效协同的全球供应链体系。推动</w:t>
      </w:r>
      <w:r>
        <w:rPr>
          <w:rFonts w:ascii="方正仿宋_GBK" w:hAnsi="方正仿宋_GBK" w:eastAsia="方正仿宋_GBK" w:cs="方正仿宋_GBK"/>
          <w:smallCaps/>
          <w:kern w:val="0"/>
          <w:sz w:val="32"/>
          <w:szCs w:val="32"/>
        </w:rPr>
        <w:t>B2B</w:t>
      </w:r>
      <w:r>
        <w:rPr>
          <w:rFonts w:hint="eastAsia" w:ascii="方正仿宋_GBK" w:hAnsi="方正仿宋_GBK" w:eastAsia="方正仿宋_GBK" w:cs="方正仿宋_GBK"/>
          <w:smallCaps/>
          <w:kern w:val="0"/>
          <w:sz w:val="32"/>
          <w:szCs w:val="32"/>
        </w:rPr>
        <w:t>平台从交易型平台向供应链服务型平台转型。开展供应链服务示范创建，推动设计、采购、制造、销售、消费形成高效协同的智慧供应链网络。支持平台企业做大做强，主动对接市“平台企业培育”工程和“平台示范园区建设”工程，加快行业级、区域级产业技术服务平台、产业孵化服务平台的引进培育，鼓励总部型服务业企业平台化发展，形成以平台经济形态为鲜明特征的服务经济产业结构，平台经济领先全市发展。</w:t>
      </w:r>
      <w:bookmarkEnd w:id="80"/>
      <w:bookmarkEnd w:id="90"/>
      <w:bookmarkStart w:id="91" w:name="_Toc27462"/>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92" w:name="_Toc17362"/>
      <w:r>
        <w:rPr>
          <w:rFonts w:hint="eastAsia" w:ascii="方正楷体_GBK" w:hAnsi="方正楷体_GBK" w:eastAsia="方正楷体_GBK" w:cs="方正楷体_GBK"/>
          <w:kern w:val="0"/>
          <w:sz w:val="32"/>
          <w:szCs w:val="32"/>
        </w:rPr>
        <w:t>第五节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全面推进数字经济</w:t>
      </w:r>
      <w:bookmarkEnd w:id="92"/>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仿宋_GBK" w:hAnsi="方正仿宋_GBK" w:eastAsia="方正仿宋_GBK" w:cs="方正仿宋_GBK"/>
          <w:smallCaps/>
          <w:kern w:val="0"/>
          <w:sz w:val="32"/>
          <w:szCs w:val="32"/>
        </w:rPr>
        <w:t>顺应数字经济快速发展趋势，以大数据智能化为引领，突出数字产业化、产业数字化，全面推动数字服务业发展。依托仙桃国际大数据谷等核心载体，发展移动互联网、大数据、软件服务等新兴服务业。加快服务业数字化转型，推动服务业企业“上云用数赋智”，实施服务业上云上线培育平台行动计划，推进云服务发展。推动重点领域“数字</w:t>
      </w:r>
      <w:r>
        <w:rPr>
          <w:rFonts w:ascii="方正仿宋_GBK" w:hAnsi="方正仿宋_GBK" w:eastAsia="方正仿宋_GBK" w:cs="方正仿宋_GBK"/>
          <w:smallCaps/>
          <w:kern w:val="0"/>
          <w:sz w:val="32"/>
          <w:szCs w:val="32"/>
        </w:rPr>
        <w:t>+</w:t>
      </w:r>
      <w:r>
        <w:rPr>
          <w:rFonts w:hint="eastAsia" w:ascii="方正仿宋_GBK" w:hAnsi="方正仿宋_GBK" w:eastAsia="方正仿宋_GBK" w:cs="方正仿宋_GBK"/>
          <w:smallCaps/>
          <w:kern w:val="0"/>
          <w:sz w:val="32"/>
          <w:szCs w:val="32"/>
        </w:rPr>
        <w:t>服务”变革，围绕金融、物流、交通出行、商圈、文旅、教育、医疗健康以及生活服务等重点领域，创建服务业数字化转型示范项目。深入推进数字赋能应用场景示范，构建</w:t>
      </w:r>
      <w:r>
        <w:rPr>
          <w:rFonts w:ascii="方正仿宋_GBK" w:hAnsi="方正仿宋_GBK" w:eastAsia="方正仿宋_GBK" w:cs="方正仿宋_GBK"/>
          <w:smallCaps/>
          <w:kern w:val="0"/>
          <w:sz w:val="32"/>
          <w:szCs w:val="32"/>
        </w:rPr>
        <w:t>5G</w:t>
      </w:r>
      <w:r>
        <w:rPr>
          <w:rFonts w:hint="eastAsia" w:ascii="方正仿宋_GBK" w:hAnsi="方正仿宋_GBK" w:eastAsia="方正仿宋_GBK" w:cs="方正仿宋_GBK"/>
          <w:smallCaps/>
          <w:kern w:val="0"/>
          <w:sz w:val="32"/>
          <w:szCs w:val="32"/>
        </w:rPr>
        <w:t>、</w:t>
      </w:r>
      <w:r>
        <w:rPr>
          <w:rFonts w:ascii="方正仿宋_GBK" w:hAnsi="方正仿宋_GBK" w:eastAsia="方正仿宋_GBK" w:cs="方正仿宋_GBK"/>
          <w:smallCaps/>
          <w:kern w:val="0"/>
          <w:sz w:val="32"/>
          <w:szCs w:val="32"/>
        </w:rPr>
        <w:t>AI</w:t>
      </w:r>
      <w:r>
        <w:rPr>
          <w:rFonts w:hint="eastAsia" w:ascii="方正仿宋_GBK" w:hAnsi="方正仿宋_GBK" w:eastAsia="方正仿宋_GBK" w:cs="方正仿宋_GBK"/>
          <w:smallCaps/>
          <w:kern w:val="0"/>
          <w:sz w:val="32"/>
          <w:szCs w:val="32"/>
        </w:rPr>
        <w:t>、</w:t>
      </w:r>
      <w:r>
        <w:rPr>
          <w:rFonts w:ascii="方正仿宋_GBK" w:hAnsi="方正仿宋_GBK" w:eastAsia="方正仿宋_GBK" w:cs="方正仿宋_GBK"/>
          <w:smallCaps/>
          <w:kern w:val="0"/>
          <w:sz w:val="32"/>
          <w:szCs w:val="32"/>
        </w:rPr>
        <w:t>VR</w:t>
      </w:r>
      <w:r>
        <w:rPr>
          <w:rFonts w:hint="eastAsia" w:ascii="方正仿宋_GBK" w:hAnsi="方正仿宋_GBK" w:eastAsia="方正仿宋_GBK" w:cs="方正仿宋_GBK"/>
          <w:smallCaps/>
          <w:kern w:val="0"/>
          <w:sz w:val="32"/>
          <w:szCs w:val="32"/>
        </w:rPr>
        <w:t>、物联网等融合应用场景和服务生态，在仙桃大数据谷、两江国际商务中心、嘉州商圈、重要旅游景点、特色商业街、航空物流园、三甲医院、学校、重点社区等率先植入应用场景。完善数字化生态，支持数字化服务业企业主体发展，推动服务业企业数字化能力提升。加强数字服务管理，推动数字服务标准和数字服务业指标体系建设与评估，形成在西部以至全国领先数字服务经济体系。</w:t>
      </w:r>
    </w:p>
    <w:p>
      <w:pPr>
        <w:pStyle w:val="125"/>
        <w:overflowPunct w:val="0"/>
        <w:adjustRightInd w:val="0"/>
        <w:snapToGrid w:val="0"/>
        <w:spacing w:beforeLines="200" w:afterLines="50" w:line="560" w:lineRule="exact"/>
        <w:ind w:firstLine="0"/>
        <w:jc w:val="center"/>
        <w:outlineLvl w:val="1"/>
        <w:rPr>
          <w:rFonts w:ascii="方正黑体_GBK" w:hAnsi="方正黑体_GBK" w:eastAsia="方正黑体_GBK" w:cs="方正黑体_GBK"/>
          <w:kern w:val="0"/>
          <w:sz w:val="32"/>
          <w:szCs w:val="32"/>
        </w:rPr>
      </w:pPr>
      <w:bookmarkStart w:id="93" w:name="_Toc29141"/>
      <w:r>
        <w:rPr>
          <w:rFonts w:hint="eastAsia" w:ascii="方正黑体_GBK" w:hAnsi="方正黑体_GBK" w:eastAsia="方正黑体_GBK" w:cs="方正黑体_GBK"/>
          <w:kern w:val="0"/>
          <w:sz w:val="32"/>
          <w:szCs w:val="32"/>
        </w:rPr>
        <w:t>第</w:t>
      </w:r>
      <w:bookmarkStart w:id="94" w:name="_Toc45014404"/>
      <w:bookmarkStart w:id="95" w:name="_Toc45016353"/>
      <w:r>
        <w:rPr>
          <w:rFonts w:hint="eastAsia" w:ascii="方正黑体_GBK" w:hAnsi="方正黑体_GBK" w:eastAsia="方正黑体_GBK" w:cs="方正黑体_GBK"/>
          <w:kern w:val="0"/>
          <w:sz w:val="32"/>
          <w:szCs w:val="32"/>
        </w:rPr>
        <w:t>六章</w:t>
      </w:r>
      <w:r>
        <w:rPr>
          <w:rFonts w:ascii="方正黑体_GBK" w:hAnsi="方正黑体_GBK" w:eastAsia="方正黑体_GBK" w:cs="方正黑体_GBK"/>
          <w:kern w:val="0"/>
          <w:sz w:val="32"/>
          <w:szCs w:val="32"/>
        </w:rPr>
        <w:t xml:space="preserve">  </w:t>
      </w:r>
      <w:r>
        <w:rPr>
          <w:rFonts w:hint="eastAsia" w:ascii="方正黑体_GBK" w:hAnsi="方正黑体_GBK" w:eastAsia="方正黑体_GBK" w:cs="方正黑体_GBK"/>
          <w:kern w:val="0"/>
          <w:sz w:val="32"/>
          <w:szCs w:val="32"/>
        </w:rPr>
        <w:t>推动融合发展</w:t>
      </w:r>
      <w:bookmarkEnd w:id="93"/>
      <w:bookmarkEnd w:id="94"/>
      <w:bookmarkEnd w:id="95"/>
    </w:p>
    <w:bookmarkEnd w:id="91"/>
    <w:p>
      <w:pPr>
        <w:spacing w:line="560" w:lineRule="exact"/>
        <w:ind w:firstLine="640" w:firstLineChars="200"/>
        <w:rPr>
          <w:rFonts w:ascii="方正仿宋_GBK" w:hAnsi="方正仿宋_GBK" w:eastAsia="方正仿宋_GBK" w:cs="方正仿宋_GBK"/>
          <w:smallCaps/>
          <w:kern w:val="0"/>
          <w:sz w:val="32"/>
          <w:szCs w:val="32"/>
        </w:rPr>
      </w:pPr>
      <w:bookmarkStart w:id="96" w:name="_Toc45014405"/>
      <w:bookmarkStart w:id="97" w:name="_Toc45016354"/>
      <w:r>
        <w:rPr>
          <w:rFonts w:hint="eastAsia" w:ascii="方正仿宋_GBK" w:hAnsi="方正仿宋_GBK" w:eastAsia="方正仿宋_GBK" w:cs="方正仿宋_GBK"/>
          <w:smallCaps/>
          <w:kern w:val="0"/>
          <w:sz w:val="32"/>
          <w:szCs w:val="32"/>
        </w:rPr>
        <w:t>深挖服务业跨界价值，推动服务业与制造业、农业以及服务业内部的跨领域、跨行业融合发展，催生新产业、新模式、新业态，创造新需求，提升产业链供应链现代化水平。</w:t>
      </w: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98" w:name="_Toc20506"/>
      <w:bookmarkStart w:id="99" w:name="_Toc24041"/>
      <w:r>
        <w:rPr>
          <w:rFonts w:hint="eastAsia" w:ascii="方正楷体_GBK" w:hAnsi="方正楷体_GBK" w:eastAsia="方正楷体_GBK" w:cs="方正楷体_GBK"/>
          <w:kern w:val="0"/>
          <w:sz w:val="32"/>
          <w:szCs w:val="32"/>
        </w:rPr>
        <w:t>第一节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推动</w:t>
      </w:r>
      <w:bookmarkEnd w:id="98"/>
      <w:r>
        <w:rPr>
          <w:rFonts w:hint="eastAsia" w:ascii="方正楷体_GBK" w:hAnsi="方正楷体_GBK" w:eastAsia="方正楷体_GBK" w:cs="方正楷体_GBK"/>
          <w:kern w:val="0"/>
          <w:sz w:val="32"/>
          <w:szCs w:val="32"/>
        </w:rPr>
        <w:t>先进制造业和现代服务业深度融合</w:t>
      </w:r>
      <w:bookmarkEnd w:id="99"/>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仿宋_GBK" w:hAnsi="方正仿宋_GBK" w:eastAsia="方正仿宋_GBK" w:cs="方正仿宋_GBK"/>
          <w:smallCaps/>
          <w:kern w:val="0"/>
          <w:sz w:val="32"/>
          <w:szCs w:val="32"/>
        </w:rPr>
        <w:t>深入推进先进制造业和现代服务业“两业”融合发展试点，推动双向融合，促进制造企业由生产型向生产服务型转变、服务企业向制造环节延伸。发展服务型制造，促进装备、汽车、电子、消费品等制造企业向创意孵化、研发设计、品牌营销、售后服务等产业链两端延伸。建立产品、服务协同盈利新模式。加快建设服务型制造公共服务平台，培育共享制造、共享设计和共享数据平台，推动工业互联网为制造业赋能。积极培育服务衍生制造新业态，鼓励电商、研发设计、文化旅游等服务企业，发挥大数据、技术、渠道、创意等要素优势，通过委托制造、品牌授权等方式向制造环节拓展。推进金融、科技、现代物流和制造业高效融合，持续推进降本增效。</w:t>
      </w: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100" w:name="_Toc28807"/>
      <w:r>
        <w:rPr>
          <w:rFonts w:hint="eastAsia" w:ascii="方正楷体_GBK" w:hAnsi="方正楷体_GBK" w:eastAsia="方正楷体_GBK" w:cs="方正楷体_GBK"/>
          <w:kern w:val="0"/>
          <w:sz w:val="32"/>
          <w:szCs w:val="32"/>
        </w:rPr>
        <w:t>第二节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促进服务业与现代农业全产业链深度融合</w:t>
      </w:r>
      <w:bookmarkEnd w:id="100"/>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仿宋_GBK" w:hAnsi="方正仿宋_GBK" w:eastAsia="方正仿宋_GBK" w:cs="方正仿宋_GBK"/>
          <w:smallCaps/>
          <w:kern w:val="0"/>
          <w:sz w:val="32"/>
          <w:szCs w:val="32"/>
        </w:rPr>
        <w:t>全力升级建设国家农业高新技术产业示范区，大力发展农业科技，聚焦种子孵化、种苗培育、示范种植等技术研发和推广应用，引进培育一批研发机构、测试检测中心等创新服务平台。支持产业化农业龙头企业完善产业链，形成产加销一体化发展格局。支持农商融合、农餐融合，推动品牌餐饮企业加强生产基地建设，形成“生产基地</w:t>
      </w:r>
      <w:r>
        <w:rPr>
          <w:rFonts w:ascii="方正仿宋_GBK" w:hAnsi="方正仿宋_GBK" w:eastAsia="方正仿宋_GBK" w:cs="方正仿宋_GBK"/>
          <w:smallCaps/>
          <w:kern w:val="0"/>
          <w:sz w:val="32"/>
          <w:szCs w:val="32"/>
        </w:rPr>
        <w:t>+</w:t>
      </w:r>
      <w:r>
        <w:rPr>
          <w:rFonts w:hint="eastAsia" w:ascii="方正仿宋_GBK" w:hAnsi="方正仿宋_GBK" w:eastAsia="方正仿宋_GBK" w:cs="方正仿宋_GBK"/>
          <w:smallCaps/>
          <w:kern w:val="0"/>
          <w:sz w:val="32"/>
          <w:szCs w:val="32"/>
        </w:rPr>
        <w:t>中央厨房</w:t>
      </w:r>
      <w:r>
        <w:rPr>
          <w:rFonts w:ascii="方正仿宋_GBK" w:hAnsi="方正仿宋_GBK" w:eastAsia="方正仿宋_GBK" w:cs="方正仿宋_GBK"/>
          <w:smallCaps/>
          <w:kern w:val="0"/>
          <w:sz w:val="32"/>
          <w:szCs w:val="32"/>
        </w:rPr>
        <w:t>+</w:t>
      </w:r>
      <w:r>
        <w:rPr>
          <w:rFonts w:hint="eastAsia" w:ascii="方正仿宋_GBK" w:hAnsi="方正仿宋_GBK" w:eastAsia="方正仿宋_GBK" w:cs="方正仿宋_GBK"/>
          <w:smallCaps/>
          <w:kern w:val="0"/>
          <w:sz w:val="32"/>
          <w:szCs w:val="32"/>
        </w:rPr>
        <w:t>餐饮门店</w:t>
      </w:r>
      <w:r>
        <w:rPr>
          <w:rFonts w:ascii="方正仿宋_GBK" w:hAnsi="方正仿宋_GBK" w:eastAsia="方正仿宋_GBK" w:cs="方正仿宋_GBK"/>
          <w:smallCaps/>
          <w:kern w:val="0"/>
          <w:sz w:val="32"/>
          <w:szCs w:val="32"/>
        </w:rPr>
        <w:t>+</w:t>
      </w:r>
      <w:r>
        <w:rPr>
          <w:rFonts w:hint="eastAsia" w:ascii="方正仿宋_GBK" w:hAnsi="方正仿宋_GBK" w:eastAsia="方正仿宋_GBK" w:cs="方正仿宋_GBK"/>
          <w:smallCaps/>
          <w:kern w:val="0"/>
          <w:sz w:val="32"/>
          <w:szCs w:val="32"/>
        </w:rPr>
        <w:t>电商平台”的产销模式。大力发展航空航天食品加工业，发展临空农业智慧物流服务，着力打造从“田间”到“机舱”的航空食品全产业链，让渝北更多特色农产品走出农村、走向市场、走向世界。加强农旅融合，推动科技、教育、人文等元素融入农业，发展共享农庄体验农场、农产品个性化定制服务、农业创客空间、休闲农业、创意农业、会展农业等新业态，打造田园综合体等服务融合型载体，延伸农业价值链。</w:t>
      </w: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101" w:name="_Toc2386"/>
      <w:bookmarkStart w:id="102" w:name="_Toc18572"/>
      <w:r>
        <w:rPr>
          <w:rFonts w:hint="eastAsia" w:ascii="方正楷体_GBK" w:hAnsi="方正楷体_GBK" w:eastAsia="方正楷体_GBK" w:cs="方正楷体_GBK"/>
          <w:kern w:val="0"/>
          <w:sz w:val="32"/>
          <w:szCs w:val="32"/>
        </w:rPr>
        <w:t>第三节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促进服务业内部融合</w:t>
      </w:r>
      <w:bookmarkEnd w:id="101"/>
      <w:r>
        <w:rPr>
          <w:rFonts w:hint="eastAsia" w:ascii="方正楷体_GBK" w:hAnsi="方正楷体_GBK" w:eastAsia="方正楷体_GBK" w:cs="方正楷体_GBK"/>
          <w:kern w:val="0"/>
          <w:sz w:val="32"/>
          <w:szCs w:val="32"/>
        </w:rPr>
        <w:t>互动</w:t>
      </w:r>
      <w:bookmarkEnd w:id="102"/>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仿宋_GBK" w:hAnsi="方正仿宋_GBK" w:eastAsia="方正仿宋_GBK" w:cs="方正仿宋_GBK"/>
          <w:smallCaps/>
          <w:kern w:val="0"/>
          <w:sz w:val="32"/>
          <w:szCs w:val="32"/>
        </w:rPr>
        <w:t>改变监管方式，打破行业壁垒，推动服务业内部跨行业跨领域协同联动和跨界融合创新。以需求为引领，以消费场景带动服务业内部的融合，促进“设计</w:t>
      </w:r>
      <w:r>
        <w:rPr>
          <w:rFonts w:ascii="方正仿宋_GBK" w:hAnsi="方正仿宋_GBK" w:eastAsia="方正仿宋_GBK" w:cs="方正仿宋_GBK"/>
          <w:smallCaps/>
          <w:kern w:val="0"/>
          <w:sz w:val="32"/>
          <w:szCs w:val="32"/>
        </w:rPr>
        <w:t>+</w:t>
      </w:r>
      <w:r>
        <w:rPr>
          <w:rFonts w:hint="eastAsia" w:ascii="方正仿宋_GBK" w:hAnsi="方正仿宋_GBK" w:eastAsia="方正仿宋_GBK" w:cs="方正仿宋_GBK"/>
          <w:smallCaps/>
          <w:kern w:val="0"/>
          <w:sz w:val="32"/>
          <w:szCs w:val="32"/>
        </w:rPr>
        <w:t>”“文化</w:t>
      </w:r>
      <w:r>
        <w:rPr>
          <w:rFonts w:ascii="方正仿宋_GBK" w:hAnsi="方正仿宋_GBK" w:eastAsia="方正仿宋_GBK" w:cs="方正仿宋_GBK"/>
          <w:smallCaps/>
          <w:kern w:val="0"/>
          <w:sz w:val="32"/>
          <w:szCs w:val="32"/>
        </w:rPr>
        <w:t>+</w:t>
      </w:r>
      <w:r>
        <w:rPr>
          <w:rFonts w:hint="eastAsia" w:ascii="方正仿宋_GBK" w:hAnsi="方正仿宋_GBK" w:eastAsia="方正仿宋_GBK" w:cs="方正仿宋_GBK"/>
          <w:smallCaps/>
          <w:kern w:val="0"/>
          <w:sz w:val="32"/>
          <w:szCs w:val="32"/>
        </w:rPr>
        <w:t>”“物流</w:t>
      </w:r>
      <w:r>
        <w:rPr>
          <w:rFonts w:ascii="方正仿宋_GBK" w:hAnsi="方正仿宋_GBK" w:eastAsia="方正仿宋_GBK" w:cs="方正仿宋_GBK"/>
          <w:smallCaps/>
          <w:kern w:val="0"/>
          <w:sz w:val="32"/>
          <w:szCs w:val="32"/>
        </w:rPr>
        <w:t>+</w:t>
      </w:r>
      <w:r>
        <w:rPr>
          <w:rFonts w:hint="eastAsia" w:ascii="方正仿宋_GBK" w:hAnsi="方正仿宋_GBK" w:eastAsia="方正仿宋_GBK" w:cs="方正仿宋_GBK"/>
          <w:smallCaps/>
          <w:kern w:val="0"/>
          <w:sz w:val="32"/>
          <w:szCs w:val="32"/>
        </w:rPr>
        <w:t>”“旅游</w:t>
      </w:r>
      <w:r>
        <w:rPr>
          <w:rFonts w:ascii="方正仿宋_GBK" w:hAnsi="方正仿宋_GBK" w:eastAsia="方正仿宋_GBK" w:cs="方正仿宋_GBK"/>
          <w:smallCaps/>
          <w:kern w:val="0"/>
          <w:sz w:val="32"/>
          <w:szCs w:val="32"/>
        </w:rPr>
        <w:t>+</w:t>
      </w:r>
      <w:r>
        <w:rPr>
          <w:rFonts w:hint="eastAsia" w:ascii="方正仿宋_GBK" w:hAnsi="方正仿宋_GBK" w:eastAsia="方正仿宋_GBK" w:cs="方正仿宋_GBK"/>
          <w:smallCaps/>
          <w:kern w:val="0"/>
          <w:sz w:val="32"/>
          <w:szCs w:val="32"/>
        </w:rPr>
        <w:t>”“养老</w:t>
      </w:r>
      <w:r>
        <w:rPr>
          <w:rFonts w:ascii="方正仿宋_GBK" w:hAnsi="方正仿宋_GBK" w:eastAsia="方正仿宋_GBK" w:cs="方正仿宋_GBK"/>
          <w:smallCaps/>
          <w:kern w:val="0"/>
          <w:sz w:val="32"/>
          <w:szCs w:val="32"/>
        </w:rPr>
        <w:t>+</w:t>
      </w:r>
      <w:r>
        <w:rPr>
          <w:rFonts w:hint="eastAsia" w:ascii="方正仿宋_GBK" w:hAnsi="方正仿宋_GBK" w:eastAsia="方正仿宋_GBK" w:cs="方正仿宋_GBK"/>
          <w:smallCaps/>
          <w:kern w:val="0"/>
          <w:sz w:val="32"/>
          <w:szCs w:val="32"/>
        </w:rPr>
        <w:t>”等跨界融合新业态新模式不断涌现。加快“中国摩”等融合性服务载体建设，促进旅游、购物、餐饮、文化、体育、健康等各类服务消费联动。培育一批融艺术、人文、自然等个性化体验的新型商业综合体，打造一批满足“食、游、购、娱、体、展、演”等多元消费需求的产业融合特色专线、游购娱消费示范街区，积极构建项目共推、客流共享、标准共建、平台互联、主体互动、宣传互通的联动机制，强化资源整合。推进金融、科技、信息、商贸、商务、物流、文化、旅游、会展、健康等服务业产业融合联动，发展一批具有综合服务功能的大型企业集团或产业联盟。</w:t>
      </w:r>
    </w:p>
    <w:bookmarkEnd w:id="96"/>
    <w:bookmarkEnd w:id="97"/>
    <w:p>
      <w:pPr>
        <w:pStyle w:val="125"/>
        <w:overflowPunct w:val="0"/>
        <w:adjustRightInd w:val="0"/>
        <w:snapToGrid w:val="0"/>
        <w:spacing w:beforeLines="200" w:afterLines="50" w:line="560" w:lineRule="exact"/>
        <w:ind w:firstLine="0"/>
        <w:jc w:val="center"/>
        <w:outlineLvl w:val="1"/>
        <w:rPr>
          <w:rFonts w:ascii="方正黑体_GBK" w:hAnsi="方正黑体_GBK" w:eastAsia="方正黑体_GBK" w:cs="方正黑体_GBK"/>
          <w:kern w:val="0"/>
          <w:sz w:val="32"/>
          <w:szCs w:val="32"/>
        </w:rPr>
      </w:pPr>
      <w:bookmarkStart w:id="103" w:name="_Toc5004"/>
      <w:r>
        <w:rPr>
          <w:rFonts w:hint="eastAsia" w:ascii="方正黑体_GBK" w:hAnsi="方正黑体_GBK" w:eastAsia="方正黑体_GBK" w:cs="方正黑体_GBK"/>
          <w:kern w:val="0"/>
          <w:sz w:val="32"/>
          <w:szCs w:val="32"/>
        </w:rPr>
        <w:t>第七章　</w:t>
      </w:r>
      <w:bookmarkStart w:id="104" w:name="_Toc11104"/>
      <w:r>
        <w:rPr>
          <w:rFonts w:hint="eastAsia" w:ascii="方正黑体_GBK" w:hAnsi="方正黑体_GBK" w:eastAsia="方正黑体_GBK" w:cs="方正黑体_GBK"/>
          <w:kern w:val="0"/>
          <w:sz w:val="32"/>
          <w:szCs w:val="32"/>
        </w:rPr>
        <w:t>推动开放发展</w:t>
      </w:r>
      <w:bookmarkEnd w:id="103"/>
    </w:p>
    <w:bookmarkEnd w:id="104"/>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仿宋_GBK" w:hAnsi="方正仿宋_GBK" w:eastAsia="方正仿宋_GBK" w:cs="方正仿宋_GBK"/>
          <w:smallCaps/>
          <w:kern w:val="0"/>
          <w:sz w:val="32"/>
          <w:szCs w:val="32"/>
        </w:rPr>
        <w:t>抓住重庆市服务业扩大开放综合试点机遇，充分利用国内国际两个市场两种资源，推进服务业双向开放，深度融入全球服务业分工体系，以高水平对外开放促进我区服务业大发展。</w:t>
      </w: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105" w:name="_Toc29013"/>
      <w:r>
        <w:rPr>
          <w:rFonts w:hint="eastAsia" w:ascii="方正楷体_GBK" w:hAnsi="方正楷体_GBK" w:eastAsia="方正楷体_GBK" w:cs="方正楷体_GBK"/>
          <w:kern w:val="0"/>
          <w:sz w:val="32"/>
          <w:szCs w:val="32"/>
        </w:rPr>
        <w:t>第一节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推进服务业高水平国际合作</w:t>
      </w:r>
      <w:bookmarkEnd w:id="105"/>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仿宋_GBK" w:hAnsi="方正仿宋_GBK" w:eastAsia="方正仿宋_GBK" w:cs="方正仿宋_GBK"/>
          <w:smallCaps/>
          <w:kern w:val="0"/>
          <w:sz w:val="32"/>
          <w:szCs w:val="32"/>
        </w:rPr>
        <w:t>主动融入共建“一带一路”</w:t>
      </w:r>
      <w:r>
        <w:rPr>
          <w:rFonts w:hint="eastAsia" w:ascii="方正仿宋_GBK" w:hAnsi="方正仿宋_GBK" w:eastAsia="方正仿宋_GBK" w:cs="方正仿宋_GBK"/>
          <w:smallCaps/>
          <w:kern w:val="0"/>
          <w:sz w:val="32"/>
          <w:szCs w:val="32"/>
          <w:lang w:val="en-US" w:eastAsia="zh-CN"/>
        </w:rPr>
        <w:t>倡议</w:t>
      </w:r>
      <w:bookmarkStart w:id="155" w:name="_GoBack"/>
      <w:bookmarkEnd w:id="155"/>
      <w:r>
        <w:rPr>
          <w:rFonts w:hint="eastAsia" w:ascii="方正仿宋_GBK" w:hAnsi="方正仿宋_GBK" w:eastAsia="方正仿宋_GBK" w:cs="方正仿宋_GBK"/>
          <w:smallCaps/>
          <w:kern w:val="0"/>
          <w:sz w:val="32"/>
          <w:szCs w:val="32"/>
        </w:rPr>
        <w:t>，深化中国（重庆）自由贸易试验区建设，加快融入区域全面经济伙伴关系协定（</w:t>
      </w:r>
      <w:r>
        <w:rPr>
          <w:rFonts w:ascii="方正仿宋_GBK" w:hAnsi="方正仿宋_GBK" w:eastAsia="方正仿宋_GBK" w:cs="方正仿宋_GBK"/>
          <w:smallCaps/>
          <w:kern w:val="0"/>
          <w:sz w:val="32"/>
          <w:szCs w:val="32"/>
        </w:rPr>
        <w:t>RCEP</w:t>
      </w:r>
      <w:r>
        <w:rPr>
          <w:rFonts w:hint="eastAsia" w:ascii="方正仿宋_GBK" w:hAnsi="方正仿宋_GBK" w:eastAsia="方正仿宋_GBK" w:cs="方正仿宋_GBK"/>
          <w:smallCaps/>
          <w:kern w:val="0"/>
          <w:sz w:val="32"/>
          <w:szCs w:val="32"/>
        </w:rPr>
        <w:t>）等国际规则，依托中新（重庆）战略性互联互通示范项目和西部陆海新通道建设，推动服务业高水平国际合作。引导有条件的企业在全球范围配置资源、拓展市场，提升国际竞争力。支持服务企业以跨国并购、联合投资等方式，高效配置全球人才、技术、品牌等核心资源，鼓励引进一批前瞻性强、特色鲜明、产出率高的服务业战略性项目。积极引进知名跨国企业集团来渝北设立地区总部和区域性研发、物流、销售、结算等服务中心，集聚国际高端要素。</w:t>
      </w:r>
      <w:r>
        <w:rPr>
          <w:rFonts w:ascii="方正仿宋_GBK" w:hAnsi="方正仿宋_GBK" w:eastAsia="方正仿宋_GBK" w:cs="方正仿宋_GBK"/>
          <w:smallCaps/>
          <w:kern w:val="0"/>
          <w:sz w:val="32"/>
          <w:szCs w:val="32"/>
        </w:rPr>
        <w:t xml:space="preserve"> </w:t>
      </w:r>
      <w:r>
        <w:rPr>
          <w:rFonts w:hint="eastAsia" w:ascii="方正仿宋_GBK" w:hAnsi="方正仿宋_GBK" w:eastAsia="方正仿宋_GBK" w:cs="方正仿宋_GBK"/>
          <w:smallCaps/>
          <w:kern w:val="0"/>
          <w:sz w:val="32"/>
          <w:szCs w:val="32"/>
        </w:rPr>
        <w:t>鼓励服务业企业扩大金融科技、研发咨询、信息服务等高附加值服务出口，鼓励企业构建跨境服务产业链，设立境外研发中心、分销中心、物流中心、海外仓和售后服务体系，带动“渝北服务”深度融入国际产业链和供应链。</w:t>
      </w: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106" w:name="_Toc13264"/>
      <w:r>
        <w:rPr>
          <w:rFonts w:hint="eastAsia" w:ascii="方正楷体_GBK" w:hAnsi="方正楷体_GBK" w:eastAsia="方正楷体_GBK" w:cs="方正楷体_GBK"/>
          <w:kern w:val="0"/>
          <w:sz w:val="32"/>
          <w:szCs w:val="32"/>
        </w:rPr>
        <w:t>第二节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实施服务业扩大开放综合试点</w:t>
      </w:r>
      <w:bookmarkEnd w:id="106"/>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仿宋_GBK" w:hAnsi="方正仿宋_GBK" w:eastAsia="方正仿宋_GBK" w:cs="方正仿宋_GBK"/>
          <w:smallCaps/>
          <w:kern w:val="0"/>
          <w:sz w:val="32"/>
          <w:szCs w:val="32"/>
        </w:rPr>
        <w:t>深入推进服务业扩大开放综合试点，聚焦航空物流、通讯、金融、科技、商业、健康医疗、教育、文化旅游等重点领域，全面落实解禁即入。依托江北机场，加快建设空港型国家物流枢纽。结合渝北现代服务业发展重点方向，在深化科技成果使用权、处置权和收益权改革、支持在境外合规发行绿色债券、支持设立外商投资证券公司、探索和完善知识产权质押融资、推动知识产权、股权及相关实体资产组合式质押贷款新模式、支持境外知名仲裁及争议解决机构开展仲裁业务等方面进行积极探索。积极引进国际高尖端医疗和养老机构落户渝北，推进跨境医疗保险产品、互联网国际医疗服务及药品销售业务，加强与国外高水平应用技术大学合作办学，引入更多国际化高端教育资源，优化进口货物分送集报的贸易便利化流程，推进国际高端商品销售，鼓励举办国际性文娱演出、艺术品和体育用品展会（交易会）等，加快形成首创性、开拓性、可视化试点成果。</w:t>
      </w: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107" w:name="_Toc23853"/>
      <w:bookmarkStart w:id="108" w:name="_Toc20554"/>
      <w:r>
        <w:rPr>
          <w:rFonts w:hint="eastAsia" w:ascii="方正楷体_GBK" w:hAnsi="方正楷体_GBK" w:eastAsia="方正楷体_GBK" w:cs="方正楷体_GBK"/>
          <w:kern w:val="0"/>
          <w:sz w:val="32"/>
          <w:szCs w:val="32"/>
        </w:rPr>
        <w:t>第三节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加快发展服务贸易</w:t>
      </w:r>
      <w:bookmarkEnd w:id="107"/>
      <w:bookmarkEnd w:id="108"/>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仿宋_GBK" w:hAnsi="方正仿宋_GBK" w:eastAsia="方正仿宋_GBK" w:cs="方正仿宋_GBK"/>
          <w:smallCaps/>
          <w:kern w:val="0"/>
          <w:sz w:val="32"/>
          <w:szCs w:val="32"/>
        </w:rPr>
        <w:t>深入落实全市服务贸易创新发展试点方案，加强服务贸易与货物贸易、对外投资、高端服务业联动发展。巩固运输、旅行和建筑服务等传统服务贸易，加快发展保险服务、金融服务、软件和信息服务、专业和管理咨询服务、文化和娱乐服务等高附加值新兴服务贸易。加快打造临空服务贸易体系，推动航空服务、供应链金融、跨境结算业务、保税展示交易、融资租赁等新业态发展。积极发展离岸服务外包，增加“国际一手单”比例。巩固知识流程外包（</w:t>
      </w:r>
      <w:r>
        <w:rPr>
          <w:rFonts w:ascii="方正仿宋_GBK" w:hAnsi="方正仿宋_GBK" w:eastAsia="方正仿宋_GBK" w:cs="方正仿宋_GBK"/>
          <w:smallCaps/>
          <w:kern w:val="0"/>
          <w:sz w:val="32"/>
          <w:szCs w:val="32"/>
        </w:rPr>
        <w:t>KPO</w:t>
      </w:r>
      <w:r>
        <w:rPr>
          <w:rFonts w:hint="eastAsia" w:ascii="方正仿宋_GBK" w:hAnsi="方正仿宋_GBK" w:eastAsia="方正仿宋_GBK" w:cs="方正仿宋_GBK"/>
          <w:smallCaps/>
          <w:kern w:val="0"/>
          <w:sz w:val="32"/>
          <w:szCs w:val="32"/>
        </w:rPr>
        <w:t>）优势，做强做大工业设计服务外包。持续推进仙桃大数据服务贸易特色产业园建设，拓展信息技术研发服务发展空间，推动供应链管理服务特色发展，提高信息技术外包（</w:t>
      </w:r>
      <w:r>
        <w:rPr>
          <w:rFonts w:ascii="方正仿宋_GBK" w:hAnsi="方正仿宋_GBK" w:eastAsia="方正仿宋_GBK" w:cs="方正仿宋_GBK"/>
          <w:smallCaps/>
          <w:kern w:val="0"/>
          <w:sz w:val="32"/>
          <w:szCs w:val="32"/>
        </w:rPr>
        <w:t>ITO</w:t>
      </w:r>
      <w:r>
        <w:rPr>
          <w:rFonts w:hint="eastAsia" w:ascii="方正仿宋_GBK" w:hAnsi="方正仿宋_GBK" w:eastAsia="方正仿宋_GBK" w:cs="方正仿宋_GBK"/>
          <w:smallCaps/>
          <w:kern w:val="0"/>
          <w:sz w:val="32"/>
          <w:szCs w:val="32"/>
        </w:rPr>
        <w:t>）、业务流程外包（</w:t>
      </w:r>
      <w:r>
        <w:rPr>
          <w:rFonts w:ascii="方正仿宋_GBK" w:hAnsi="方正仿宋_GBK" w:eastAsia="方正仿宋_GBK" w:cs="方正仿宋_GBK"/>
          <w:smallCaps/>
          <w:kern w:val="0"/>
          <w:sz w:val="32"/>
          <w:szCs w:val="32"/>
        </w:rPr>
        <w:t>BPO</w:t>
      </w:r>
      <w:r>
        <w:rPr>
          <w:rFonts w:hint="eastAsia" w:ascii="方正仿宋_GBK" w:hAnsi="方正仿宋_GBK" w:eastAsia="方正仿宋_GBK" w:cs="方正仿宋_GBK"/>
          <w:smallCaps/>
          <w:kern w:val="0"/>
          <w:sz w:val="32"/>
          <w:szCs w:val="32"/>
        </w:rPr>
        <w:t>）水平。培育服务贸易领域龙头企业，推动企业从单一外包向整体解决方案转型，依托</w:t>
      </w:r>
      <w:r>
        <w:rPr>
          <w:rFonts w:ascii="方正仿宋_GBK" w:hAnsi="方正仿宋_GBK" w:eastAsia="方正仿宋_GBK" w:cs="方正仿宋_GBK"/>
          <w:smallCaps/>
          <w:kern w:val="0"/>
          <w:sz w:val="32"/>
          <w:szCs w:val="32"/>
        </w:rPr>
        <w:t>5g</w:t>
      </w:r>
      <w:r>
        <w:rPr>
          <w:rFonts w:hint="eastAsia" w:ascii="方正仿宋_GBK" w:hAnsi="方正仿宋_GBK" w:eastAsia="方正仿宋_GBK" w:cs="方正仿宋_GBK"/>
          <w:smallCaps/>
          <w:kern w:val="0"/>
          <w:sz w:val="32"/>
          <w:szCs w:val="32"/>
        </w:rPr>
        <w:t>技术，大力发展众包、云外包、平台分包等新业态。到</w:t>
      </w:r>
      <w:r>
        <w:rPr>
          <w:rFonts w:ascii="方正仿宋_GBK" w:hAnsi="方正仿宋_GBK" w:eastAsia="方正仿宋_GBK" w:cs="方正仿宋_GBK"/>
          <w:smallCaps/>
          <w:kern w:val="0"/>
          <w:sz w:val="32"/>
          <w:szCs w:val="32"/>
        </w:rPr>
        <w:t>2025</w:t>
      </w:r>
      <w:r>
        <w:rPr>
          <w:rFonts w:hint="eastAsia" w:ascii="方正仿宋_GBK" w:hAnsi="方正仿宋_GBK" w:eastAsia="方正仿宋_GBK" w:cs="方正仿宋_GBK"/>
          <w:smallCaps/>
          <w:kern w:val="0"/>
          <w:sz w:val="32"/>
          <w:szCs w:val="32"/>
        </w:rPr>
        <w:t>年，培育</w:t>
      </w:r>
      <w:r>
        <w:rPr>
          <w:rFonts w:ascii="方正仿宋_GBK" w:hAnsi="方正仿宋_GBK" w:eastAsia="方正仿宋_GBK" w:cs="方正仿宋_GBK"/>
          <w:smallCaps/>
          <w:kern w:val="0"/>
          <w:sz w:val="32"/>
          <w:szCs w:val="32"/>
        </w:rPr>
        <w:t>2-3</w:t>
      </w:r>
      <w:r>
        <w:rPr>
          <w:rFonts w:hint="eastAsia" w:ascii="方正仿宋_GBK" w:hAnsi="方正仿宋_GBK" w:eastAsia="方正仿宋_GBK" w:cs="方正仿宋_GBK"/>
          <w:smallCaps/>
          <w:kern w:val="0"/>
          <w:sz w:val="32"/>
          <w:szCs w:val="32"/>
        </w:rPr>
        <w:t>家具有自主知识产权、自主品牌、高增值服务能力的服务外包企业，服务进出口总额突破</w:t>
      </w:r>
      <w:r>
        <w:rPr>
          <w:rFonts w:ascii="方正仿宋_GBK" w:hAnsi="方正仿宋_GBK" w:eastAsia="方正仿宋_GBK" w:cs="方正仿宋_GBK"/>
          <w:smallCaps/>
          <w:kern w:val="0"/>
          <w:sz w:val="32"/>
          <w:szCs w:val="32"/>
        </w:rPr>
        <w:t>60</w:t>
      </w:r>
      <w:r>
        <w:rPr>
          <w:rFonts w:hint="eastAsia" w:ascii="方正仿宋_GBK" w:hAnsi="方正仿宋_GBK" w:eastAsia="方正仿宋_GBK" w:cs="方正仿宋_GBK"/>
          <w:smallCaps/>
          <w:kern w:val="0"/>
          <w:sz w:val="32"/>
          <w:szCs w:val="32"/>
        </w:rPr>
        <w:t>亿美元，服务外包离岸执行额达</w:t>
      </w:r>
      <w:r>
        <w:rPr>
          <w:rFonts w:ascii="方正仿宋_GBK" w:hAnsi="方正仿宋_GBK" w:eastAsia="方正仿宋_GBK" w:cs="方正仿宋_GBK"/>
          <w:smallCaps/>
          <w:kern w:val="0"/>
          <w:sz w:val="32"/>
          <w:szCs w:val="32"/>
        </w:rPr>
        <w:t>1.5</w:t>
      </w:r>
      <w:r>
        <w:rPr>
          <w:rFonts w:hint="eastAsia" w:ascii="方正仿宋_GBK" w:hAnsi="方正仿宋_GBK" w:eastAsia="方正仿宋_GBK" w:cs="方正仿宋_GBK"/>
          <w:smallCaps/>
          <w:kern w:val="0"/>
          <w:sz w:val="32"/>
          <w:szCs w:val="32"/>
        </w:rPr>
        <w:t>亿美元，知识流程外包（</w:t>
      </w:r>
      <w:r>
        <w:rPr>
          <w:rFonts w:ascii="方正仿宋_GBK" w:hAnsi="方正仿宋_GBK" w:eastAsia="方正仿宋_GBK" w:cs="方正仿宋_GBK"/>
          <w:smallCaps/>
          <w:kern w:val="0"/>
          <w:sz w:val="32"/>
          <w:szCs w:val="32"/>
        </w:rPr>
        <w:t>KPO</w:t>
      </w:r>
      <w:r>
        <w:rPr>
          <w:rFonts w:hint="eastAsia" w:ascii="方正仿宋_GBK" w:hAnsi="方正仿宋_GBK" w:eastAsia="方正仿宋_GBK" w:cs="方正仿宋_GBK"/>
          <w:smallCaps/>
          <w:kern w:val="0"/>
          <w:sz w:val="32"/>
          <w:szCs w:val="32"/>
        </w:rPr>
        <w:t>）离岸业务占离岸服务外包总量的</w:t>
      </w:r>
      <w:r>
        <w:rPr>
          <w:rFonts w:ascii="方正仿宋_GBK" w:hAnsi="方正仿宋_GBK" w:eastAsia="方正仿宋_GBK" w:cs="方正仿宋_GBK"/>
          <w:smallCaps/>
          <w:kern w:val="0"/>
          <w:sz w:val="32"/>
          <w:szCs w:val="32"/>
        </w:rPr>
        <w:t>40%</w:t>
      </w:r>
      <w:r>
        <w:rPr>
          <w:rFonts w:hint="eastAsia" w:ascii="方正仿宋_GBK" w:hAnsi="方正仿宋_GBK" w:eastAsia="方正仿宋_GBK" w:cs="方正仿宋_GBK"/>
          <w:smallCaps/>
          <w:kern w:val="0"/>
          <w:sz w:val="32"/>
          <w:szCs w:val="32"/>
        </w:rPr>
        <w:t>以上。</w:t>
      </w:r>
    </w:p>
    <w:p>
      <w:pPr>
        <w:pStyle w:val="125"/>
        <w:overflowPunct w:val="0"/>
        <w:adjustRightInd w:val="0"/>
        <w:snapToGrid w:val="0"/>
        <w:spacing w:beforeLines="200" w:afterLines="50" w:line="560" w:lineRule="exact"/>
        <w:ind w:firstLine="0"/>
        <w:jc w:val="center"/>
        <w:outlineLvl w:val="1"/>
        <w:rPr>
          <w:rFonts w:ascii="方正黑体_GBK" w:hAnsi="方正黑体_GBK" w:eastAsia="方正黑体_GBK" w:cs="方正黑体_GBK"/>
          <w:kern w:val="0"/>
          <w:sz w:val="32"/>
          <w:szCs w:val="32"/>
        </w:rPr>
      </w:pPr>
      <w:bookmarkStart w:id="109" w:name="_Toc10443"/>
      <w:bookmarkStart w:id="110" w:name="_Toc6117"/>
      <w:r>
        <w:rPr>
          <w:rFonts w:hint="eastAsia" w:ascii="方正黑体_GBK" w:hAnsi="方正黑体_GBK" w:eastAsia="方正黑体_GBK" w:cs="方正黑体_GBK"/>
          <w:kern w:val="0"/>
          <w:sz w:val="32"/>
          <w:szCs w:val="32"/>
        </w:rPr>
        <w:t>第八章</w:t>
      </w:r>
      <w:r>
        <w:rPr>
          <w:rFonts w:ascii="方正黑体_GBK" w:hAnsi="方正黑体_GBK" w:eastAsia="方正黑体_GBK" w:cs="方正黑体_GBK"/>
          <w:kern w:val="0"/>
          <w:sz w:val="32"/>
          <w:szCs w:val="32"/>
        </w:rPr>
        <w:t xml:space="preserve">  </w:t>
      </w:r>
      <w:r>
        <w:rPr>
          <w:rFonts w:hint="eastAsia" w:ascii="方正黑体_GBK" w:hAnsi="方正黑体_GBK" w:eastAsia="方正黑体_GBK" w:cs="方正黑体_GBK"/>
          <w:kern w:val="0"/>
          <w:sz w:val="32"/>
          <w:szCs w:val="32"/>
        </w:rPr>
        <w:t>推动协同发展</w:t>
      </w:r>
      <w:bookmarkEnd w:id="109"/>
      <w:bookmarkEnd w:id="110"/>
    </w:p>
    <w:p>
      <w:pPr>
        <w:spacing w:line="560" w:lineRule="exact"/>
        <w:ind w:firstLine="640" w:firstLineChars="200"/>
        <w:rPr>
          <w:rFonts w:ascii="方正仿宋_GBK" w:hAnsi="方正仿宋_GBK" w:eastAsia="方正仿宋_GBK" w:cs="方正仿宋_GBK"/>
          <w:smallCaps/>
          <w:kern w:val="0"/>
          <w:sz w:val="32"/>
          <w:szCs w:val="32"/>
        </w:rPr>
      </w:pPr>
      <w:bookmarkStart w:id="111" w:name="_Toc25786"/>
      <w:bookmarkStart w:id="112" w:name="_Toc24323"/>
      <w:bookmarkStart w:id="113" w:name="_Toc8164"/>
      <w:r>
        <w:rPr>
          <w:rFonts w:hint="eastAsia" w:ascii="方正仿宋_GBK" w:hAnsi="方正仿宋_GBK" w:eastAsia="方正仿宋_GBK" w:cs="方正仿宋_GBK"/>
          <w:smallCaps/>
          <w:kern w:val="0"/>
          <w:sz w:val="32"/>
          <w:szCs w:val="32"/>
        </w:rPr>
        <w:t>深化成渝双城经济圈服务业合作，承接川渝自贸试验区协同开放示范功能，加强与两江新区及市级平台的协同，互利共赢，共谋发展。</w:t>
      </w: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114" w:name="_Toc18537"/>
      <w:r>
        <w:rPr>
          <w:rFonts w:hint="eastAsia" w:ascii="方正楷体_GBK" w:hAnsi="方正楷体_GBK" w:eastAsia="方正楷体_GBK" w:cs="方正楷体_GBK"/>
          <w:kern w:val="0"/>
          <w:sz w:val="32"/>
          <w:szCs w:val="32"/>
        </w:rPr>
        <w:t>第一节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深化成渝地区双城经济圈合作</w:t>
      </w:r>
      <w:bookmarkEnd w:id="114"/>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仿宋_GBK" w:hAnsi="方正仿宋_GBK" w:eastAsia="方正仿宋_GBK" w:cs="方正仿宋_GBK"/>
          <w:smallCaps/>
          <w:kern w:val="0"/>
          <w:sz w:val="32"/>
          <w:szCs w:val="32"/>
        </w:rPr>
        <w:t>积极融入成渝地区双城经济圈建设，加强两地现代服务业协同发展。依托江北国际机场大流量、保税港区大口岸，用好双城经济圈大市场，加快实施市场拓展、协同招商、商贸物流、会展发展、对外贸易和餐饮等多个领域内一批服务业重大项目和事项，积极争取成渝地区高新技术交流展示中心、服务贸易中心、保税物流中心等重大项目布局渝北，鼓励仙桃智能样机中心等十大公共服务平台面向四川地区共建共享。争取承接川渝自贸试验区协同开放示范功能，探索创新试点试验，互认创新试点政策。加强养老、教育、健康服务、家庭服务等合作联动。推动消费协作联动，建成川渝特色美食街、友好城市商品展销馆等一批重点合作项目，支持特色小吃、知名餐饮、休闲食品及渝北本土产品进入川渝市场。合力推动建设巴蜀文化旅游走廊，积极争取成渝地区文化行业联盟将我区作为定点展示区，引进川渝旅游文化节、博览会等活动常驻国博中心。围绕文物、景区、巴蜀文化、自然遗产、康养、医疗等资源，整体规划、协同打造文旅康养项目，集中宣传和联合营销。促进川渝毗邻地区协同，支持川渝高竹新区服务业发展</w:t>
      </w:r>
      <w:r>
        <w:rPr>
          <w:rFonts w:hint="eastAsia" w:ascii="宋体" w:hAnsi="宋体" w:cs="宋体"/>
          <w:sz w:val="24"/>
          <w:szCs w:val="24"/>
          <w:shd w:val="clear" w:color="auto" w:fill="FFFFFF"/>
        </w:rPr>
        <w:t>。</w:t>
      </w: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115" w:name="_Toc5472"/>
      <w:r>
        <w:rPr>
          <w:rFonts w:hint="eastAsia" w:ascii="方正楷体_GBK" w:hAnsi="方正楷体_GBK" w:eastAsia="方正楷体_GBK" w:cs="方正楷体_GBK"/>
          <w:kern w:val="0"/>
          <w:sz w:val="32"/>
          <w:szCs w:val="32"/>
        </w:rPr>
        <w:t>第二节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加强与市级平台的协同合作</w:t>
      </w:r>
      <w:bookmarkEnd w:id="115"/>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仿宋_GBK" w:hAnsi="方正仿宋_GBK" w:eastAsia="方正仿宋_GBK" w:cs="方正仿宋_GBK"/>
          <w:smallCaps/>
          <w:kern w:val="0"/>
          <w:sz w:val="32"/>
          <w:szCs w:val="32"/>
        </w:rPr>
        <w:t>与两江新区协同发展，联合打造创新金融、现代物流、专业服务、文化旅游、商务会展等现代服务业集聚区，落实重点产业协同推进制度，增强全区服务业集聚效应。加强与机场集团、悦来集团、保税港区空港功能区、龙兴工业园等平台联动发展，强化服务业布局和产业价值链协同，增强政策的互补性和兼容性，统筹推进全区服务业高质量发展。</w:t>
      </w:r>
    </w:p>
    <w:bookmarkEnd w:id="111"/>
    <w:bookmarkEnd w:id="112"/>
    <w:bookmarkEnd w:id="113"/>
    <w:p>
      <w:pPr>
        <w:pStyle w:val="125"/>
        <w:overflowPunct w:val="0"/>
        <w:adjustRightInd w:val="0"/>
        <w:snapToGrid w:val="0"/>
        <w:spacing w:beforeLines="200" w:afterLines="50" w:line="560" w:lineRule="exact"/>
        <w:ind w:firstLine="0"/>
        <w:jc w:val="center"/>
        <w:outlineLvl w:val="1"/>
        <w:rPr>
          <w:rFonts w:ascii="方正黑体_GBK" w:hAnsi="方正黑体_GBK" w:eastAsia="方正黑体_GBK" w:cs="方正黑体_GBK"/>
          <w:kern w:val="0"/>
          <w:sz w:val="32"/>
          <w:szCs w:val="32"/>
        </w:rPr>
      </w:pPr>
      <w:bookmarkStart w:id="116" w:name="_Toc30075"/>
      <w:r>
        <w:rPr>
          <w:rFonts w:hint="eastAsia" w:ascii="方正黑体_GBK" w:hAnsi="方正黑体_GBK" w:eastAsia="方正黑体_GBK" w:cs="方正黑体_GBK"/>
          <w:kern w:val="0"/>
          <w:sz w:val="32"/>
          <w:szCs w:val="32"/>
        </w:rPr>
        <w:t>第九章</w:t>
      </w:r>
      <w:r>
        <w:rPr>
          <w:rFonts w:ascii="方正黑体_GBK" w:hAnsi="方正黑体_GBK" w:eastAsia="方正黑体_GBK" w:cs="方正黑体_GBK"/>
          <w:kern w:val="0"/>
          <w:sz w:val="32"/>
          <w:szCs w:val="32"/>
        </w:rPr>
        <w:t xml:space="preserve"> </w:t>
      </w:r>
      <w:r>
        <w:rPr>
          <w:rFonts w:hint="eastAsia" w:ascii="方正黑体_GBK" w:hAnsi="方正黑体_GBK" w:eastAsia="方正黑体_GBK" w:cs="方正黑体_GBK"/>
          <w:kern w:val="0"/>
          <w:sz w:val="32"/>
          <w:szCs w:val="32"/>
        </w:rPr>
        <w:t>优化发展布局</w:t>
      </w:r>
      <w:bookmarkEnd w:id="116"/>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仿宋_GBK" w:hAnsi="方正仿宋_GBK" w:eastAsia="方正仿宋_GBK" w:cs="方正仿宋_GBK"/>
          <w:smallCaps/>
          <w:kern w:val="0"/>
          <w:sz w:val="32"/>
          <w:szCs w:val="32"/>
        </w:rPr>
        <w:t>按照集群集聚集约发展原则，产城融合、良性互动，培育高质量增长极，推进各区域因地制宜、突出优势、错位发展、协调发展。</w:t>
      </w: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117" w:name="_Toc24792"/>
      <w:r>
        <w:rPr>
          <w:rFonts w:hint="eastAsia" w:ascii="方正楷体_GBK" w:hAnsi="方正楷体_GBK" w:eastAsia="方正楷体_GBK" w:cs="方正楷体_GBK"/>
          <w:kern w:val="0"/>
          <w:sz w:val="32"/>
          <w:szCs w:val="32"/>
        </w:rPr>
        <w:t>第一节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优化总体空间布局</w:t>
      </w:r>
      <w:bookmarkEnd w:id="117"/>
    </w:p>
    <w:p>
      <w:pPr>
        <w:spacing w:line="560" w:lineRule="exact"/>
        <w:ind w:firstLine="640" w:firstLineChars="200"/>
        <w:rPr>
          <w:rFonts w:ascii="方正仿宋_GBK" w:hAnsi="方正仿宋_GBK" w:eastAsia="方正仿宋_GBK" w:cs="方正仿宋_GBK"/>
          <w:smallCaps/>
          <w:kern w:val="0"/>
          <w:sz w:val="32"/>
          <w:szCs w:val="32"/>
        </w:rPr>
      </w:pPr>
      <w:bookmarkStart w:id="118" w:name="_Toc7336"/>
      <w:r>
        <w:rPr>
          <w:rFonts w:hint="eastAsia" w:ascii="方正仿宋_GBK" w:hAnsi="方正仿宋_GBK" w:eastAsia="方正仿宋_GBK" w:cs="方正仿宋_GBK"/>
          <w:smallCaps/>
          <w:kern w:val="0"/>
          <w:sz w:val="32"/>
          <w:szCs w:val="32"/>
        </w:rPr>
        <w:t>通过规划建设、优化提升和改造完善，总体形成“一核四极一廊两带”的服务业功能板块与空间布局，形成一核集聚、四极引领、一廊发力，两带联动的现代服务业空间发展格局。</w:t>
      </w:r>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楷体_GBK" w:hAnsi="方正楷体_GBK" w:eastAsia="方正楷体_GBK" w:cs="方正楷体_GBK"/>
          <w:smallCaps/>
          <w:kern w:val="0"/>
          <w:sz w:val="32"/>
          <w:szCs w:val="32"/>
        </w:rPr>
        <w:t>（一）一核。</w:t>
      </w:r>
      <w:r>
        <w:rPr>
          <w:rFonts w:hint="eastAsia" w:ascii="方正仿宋_GBK" w:hAnsi="方正仿宋_GBK" w:eastAsia="方正仿宋_GBK" w:cs="方正仿宋_GBK"/>
          <w:smallCaps/>
          <w:kern w:val="0"/>
          <w:sz w:val="32"/>
          <w:szCs w:val="32"/>
        </w:rPr>
        <w:t>即“三龙”现代都市高端服务业核心区。以龙溪龙山龙塔“三龙”地区为核心，集聚发展都市高端现代服务业。持续推动新牌坊金融服务集聚示范区发展，推动嘉州商圈建成国际消费标志性商圈；围绕渝北区总部贸易基地、海归创业孵化园等，升级软件信息、总部贸易、专业服务等现代服务业高端业态，加快规上现代服务业企业集聚，打造软件信息及互联网服务创新发展区、创新金融与现代商贸商务集聚区，建成全市有影响力的高品质现代服务业集聚地。</w:t>
      </w:r>
    </w:p>
    <w:p>
      <w:pPr>
        <w:spacing w:line="560" w:lineRule="exact"/>
        <w:ind w:firstLine="640" w:firstLineChars="200"/>
        <w:rPr>
          <w:rFonts w:ascii="方正仿宋_GBK" w:hAnsi="方正仿宋_GBK" w:eastAsia="方正仿宋_GBK" w:cs="方正仿宋_GBK"/>
          <w:smallCaps/>
          <w:kern w:val="0"/>
          <w:sz w:val="32"/>
          <w:szCs w:val="32"/>
        </w:rPr>
      </w:pPr>
      <w:bookmarkStart w:id="119" w:name="_Toc26810"/>
      <w:r>
        <w:rPr>
          <w:rFonts w:hint="eastAsia" w:ascii="方正楷体_GBK" w:hAnsi="方正楷体_GBK" w:eastAsia="方正楷体_GBK" w:cs="方正楷体_GBK"/>
          <w:smallCaps/>
          <w:kern w:val="0"/>
          <w:sz w:val="32"/>
          <w:szCs w:val="32"/>
        </w:rPr>
        <w:t>（二）四极。</w:t>
      </w:r>
      <w:r>
        <w:rPr>
          <w:rFonts w:hint="eastAsia" w:ascii="方正仿宋_GBK" w:hAnsi="方正仿宋_GBK" w:eastAsia="方正仿宋_GBK" w:cs="方正仿宋_GBK"/>
          <w:smallCaps/>
          <w:kern w:val="0"/>
          <w:sz w:val="32"/>
          <w:szCs w:val="32"/>
        </w:rPr>
        <w:t>聚力两江国际商务中心、国际航空物流园、仙桃国际大数据谷、悦来国际会展城，打造现代服务业高质量发展核心增长极。</w:t>
      </w:r>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仿宋_GBK" w:hAnsi="方正仿宋_GBK" w:eastAsia="方正仿宋_GBK" w:cs="方正仿宋_GBK"/>
          <w:smallCaps/>
          <w:kern w:val="0"/>
          <w:sz w:val="32"/>
          <w:szCs w:val="32"/>
        </w:rPr>
        <w:t>一是两江国际商务中心。建设城市商圈，培育新兴金融、总部经济、临空经济、数字经济、国际会展、国际贸易等新业态，全面建成“立足重庆、影响全国、辐射全球”的国际商业商务新中心。</w:t>
      </w:r>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仿宋_GBK" w:hAnsi="方正仿宋_GBK" w:eastAsia="方正仿宋_GBK" w:cs="方正仿宋_GBK"/>
          <w:smallCaps/>
          <w:kern w:val="0"/>
          <w:sz w:val="32"/>
          <w:szCs w:val="32"/>
        </w:rPr>
        <w:t>二是仙桃国际大数据谷。用好中新互联互通示范项目，推进软件和信息服务、科技研发服务，创建“中国软件名园”、国家数字经济创新发展试验区核心区，建设国内领先、国际知名的大数据产业生态谷。</w:t>
      </w:r>
    </w:p>
    <w:p>
      <w:pPr>
        <w:spacing w:line="560" w:lineRule="exact"/>
        <w:ind w:firstLine="640" w:firstLineChars="200"/>
        <w:rPr>
          <w:rFonts w:ascii="方正仿宋_GBK" w:hAnsi="方正仿宋_GBK" w:eastAsia="方正仿宋_GBK" w:cs="方正仿宋_GBK"/>
          <w:smallCaps/>
          <w:kern w:val="0"/>
          <w:sz w:val="32"/>
          <w:szCs w:val="32"/>
          <w:lang w:val="zh-CN"/>
        </w:rPr>
      </w:pPr>
      <w:r>
        <w:rPr>
          <w:rFonts w:hint="eastAsia" w:ascii="方正仿宋_GBK" w:hAnsi="方正仿宋_GBK" w:eastAsia="方正仿宋_GBK" w:cs="方正仿宋_GBK"/>
          <w:smallCaps/>
          <w:kern w:val="0"/>
          <w:sz w:val="32"/>
          <w:szCs w:val="32"/>
        </w:rPr>
        <w:t>三是国际航空物流园。联动江北机场和保税港区，依托</w:t>
      </w:r>
      <w:r>
        <w:rPr>
          <w:rFonts w:hint="eastAsia" w:ascii="方正仿宋_GBK" w:hAnsi="方正仿宋_GBK" w:eastAsia="方正仿宋_GBK" w:cs="方正仿宋_GBK"/>
          <w:smallCaps/>
          <w:kern w:val="0"/>
          <w:sz w:val="32"/>
          <w:szCs w:val="32"/>
          <w:lang w:val="zh-CN"/>
        </w:rPr>
        <w:t>机场航空物流园、中新航空产业园、木耳物流园、保税港区商贸物流园功能平台，</w:t>
      </w:r>
      <w:r>
        <w:rPr>
          <w:rFonts w:hint="eastAsia" w:ascii="方正仿宋_GBK" w:hAnsi="方正仿宋_GBK" w:eastAsia="方正仿宋_GBK" w:cs="方正仿宋_GBK"/>
          <w:smallCaps/>
          <w:kern w:val="0"/>
          <w:sz w:val="32"/>
          <w:szCs w:val="32"/>
        </w:rPr>
        <w:t>着力构建以航空运输为基础、航空关联产业为支撑的航空物流集聚区。</w:t>
      </w:r>
      <w:r>
        <w:rPr>
          <w:rFonts w:hint="eastAsia" w:ascii="方正仿宋_GBK" w:hAnsi="方正仿宋_GBK" w:eastAsia="方正仿宋_GBK" w:cs="方正仿宋_GBK"/>
          <w:smallCaps/>
          <w:kern w:val="0"/>
          <w:sz w:val="32"/>
          <w:szCs w:val="32"/>
          <w:lang w:val="zh-CN"/>
        </w:rPr>
        <w:t>力争到</w:t>
      </w:r>
      <w:r>
        <w:rPr>
          <w:rFonts w:ascii="方正仿宋_GBK" w:hAnsi="方正仿宋_GBK" w:eastAsia="方正仿宋_GBK" w:cs="方正仿宋_GBK"/>
          <w:smallCaps/>
          <w:kern w:val="0"/>
          <w:sz w:val="32"/>
          <w:szCs w:val="32"/>
          <w:lang w:val="zh-CN"/>
        </w:rPr>
        <w:t>202</w:t>
      </w:r>
      <w:r>
        <w:rPr>
          <w:rFonts w:ascii="方正仿宋_GBK" w:hAnsi="方正仿宋_GBK" w:eastAsia="方正仿宋_GBK" w:cs="方正仿宋_GBK"/>
          <w:smallCaps/>
          <w:kern w:val="0"/>
          <w:sz w:val="32"/>
          <w:szCs w:val="32"/>
        </w:rPr>
        <w:t>5</w:t>
      </w:r>
      <w:r>
        <w:rPr>
          <w:rFonts w:hint="eastAsia" w:ascii="方正仿宋_GBK" w:hAnsi="方正仿宋_GBK" w:eastAsia="方正仿宋_GBK" w:cs="方正仿宋_GBK"/>
          <w:smallCaps/>
          <w:kern w:val="0"/>
          <w:sz w:val="32"/>
          <w:szCs w:val="32"/>
          <w:lang w:val="zh-CN"/>
        </w:rPr>
        <w:t>年，基本建成空港型国家物流枢纽。</w:t>
      </w:r>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仿宋_GBK" w:hAnsi="方正仿宋_GBK" w:eastAsia="方正仿宋_GBK" w:cs="方正仿宋_GBK"/>
          <w:smallCaps/>
          <w:kern w:val="0"/>
          <w:sz w:val="32"/>
          <w:szCs w:val="32"/>
        </w:rPr>
        <w:t>四是悦来国际会展城。支持国博中心加快配套设施和场馆智能化建设，支持悦来国博中心承接更多全国、全市大型展会，引进一批具有国际影响力的重要展会落户重庆，做大做强会展产业集群。</w:t>
      </w:r>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楷体_GBK" w:hAnsi="方正楷体_GBK" w:eastAsia="方正楷体_GBK" w:cs="方正楷体_GBK"/>
          <w:smallCaps/>
          <w:kern w:val="0"/>
          <w:sz w:val="32"/>
          <w:szCs w:val="32"/>
        </w:rPr>
        <w:t>（三）一廊。</w:t>
      </w:r>
      <w:r>
        <w:rPr>
          <w:rFonts w:hint="eastAsia" w:ascii="方正仿宋_GBK" w:hAnsi="方正仿宋_GBK" w:eastAsia="方正仿宋_GBK" w:cs="方正仿宋_GBK"/>
          <w:smallCaps/>
          <w:kern w:val="0"/>
          <w:sz w:val="32"/>
          <w:szCs w:val="32"/>
        </w:rPr>
        <w:t>即现代消费走廊。位于两路、三龙两个板块及连接主轴线，高标准规划建设机场商务区，大力发展临空商务服务业，形成以现代都市消费产业集群（汽车消费、家居消费、综合体验消费服务、临空文旅康养）和临空商务产业集群（临空商务、创意设计、专业服务）为主导的现代服务业集群，打造临空服务业集聚高地。</w:t>
      </w:r>
    </w:p>
    <w:p>
      <w:pPr>
        <w:spacing w:line="560" w:lineRule="exact"/>
        <w:ind w:firstLine="640" w:firstLineChars="200"/>
        <w:rPr>
          <w:rFonts w:ascii="方正楷体_GBK" w:hAnsi="方正楷体_GBK" w:eastAsia="方正楷体_GBK" w:cs="方正楷体_GBK"/>
          <w:smallCaps/>
          <w:kern w:val="0"/>
          <w:sz w:val="32"/>
          <w:szCs w:val="32"/>
        </w:rPr>
      </w:pPr>
      <w:r>
        <w:rPr>
          <w:rFonts w:hint="eastAsia" w:ascii="方正楷体_GBK" w:hAnsi="方正楷体_GBK" w:eastAsia="方正楷体_GBK" w:cs="方正楷体_GBK"/>
          <w:smallCaps/>
          <w:kern w:val="0"/>
          <w:sz w:val="32"/>
          <w:szCs w:val="32"/>
        </w:rPr>
        <w:t>（四）</w:t>
      </w:r>
      <w:bookmarkEnd w:id="119"/>
      <w:r>
        <w:rPr>
          <w:rFonts w:hint="eastAsia" w:ascii="方正楷体_GBK" w:hAnsi="方正楷体_GBK" w:eastAsia="方正楷体_GBK" w:cs="方正楷体_GBK"/>
          <w:smallCaps/>
          <w:kern w:val="0"/>
          <w:sz w:val="32"/>
          <w:szCs w:val="32"/>
        </w:rPr>
        <w:t>两带。</w:t>
      </w:r>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仿宋_GBK" w:hAnsi="方正仿宋_GBK" w:eastAsia="方正仿宋_GBK" w:cs="方正仿宋_GBK"/>
          <w:smallCaps/>
          <w:kern w:val="0"/>
          <w:sz w:val="32"/>
          <w:szCs w:val="32"/>
        </w:rPr>
        <w:t>一是中部开放型服务经济示范带。依托国际航空枢纽，重点发展生产性服务业和临空现代服务业。空间布局上，重点以江北国际机场、中央公园为核心，沿东西双向扩展。东向连接国际航空物流园，至洛碛港，重点发展国际物流、国际贸易、大型商品市场及交易平台、保税及维修租赁等临空服务；西向从江北国际机场</w:t>
      </w:r>
      <w:r>
        <w:rPr>
          <w:rFonts w:hint="eastAsia" w:eastAsia="方正仿宋_GBK" w:cs="方正仿宋_GBK"/>
          <w:bCs/>
          <w:sz w:val="32"/>
          <w:szCs w:val="32"/>
        </w:rPr>
        <w:t>以同茂大道为轴线</w:t>
      </w:r>
      <w:r>
        <w:rPr>
          <w:rFonts w:hint="eastAsia" w:ascii="方正仿宋_GBK" w:hAnsi="方正仿宋_GBK" w:eastAsia="方正仿宋_GBK" w:cs="方正仿宋_GBK"/>
          <w:smallCaps/>
          <w:kern w:val="0"/>
          <w:sz w:val="32"/>
          <w:szCs w:val="32"/>
        </w:rPr>
        <w:t>向西延伸，连接两江国际商务中心、悦来国际会展城、仙桃国际大数据谷，</w:t>
      </w:r>
      <w:r>
        <w:rPr>
          <w:rFonts w:hint="eastAsia" w:eastAsia="方正仿宋_GBK" w:cs="方正仿宋_GBK"/>
          <w:bCs/>
          <w:sz w:val="32"/>
          <w:szCs w:val="32"/>
        </w:rPr>
        <w:t>形成高端商务商贸、会展经济、大数据应用产业链条</w:t>
      </w:r>
      <w:r>
        <w:rPr>
          <w:rFonts w:hint="eastAsia" w:ascii="方正仿宋_GBK" w:hAnsi="方正仿宋_GBK" w:eastAsia="方正仿宋_GBK" w:cs="方正仿宋_GBK"/>
          <w:smallCaps/>
          <w:kern w:val="0"/>
          <w:sz w:val="32"/>
          <w:szCs w:val="32"/>
        </w:rPr>
        <w:t>。围绕“机场</w:t>
      </w:r>
      <w:r>
        <w:rPr>
          <w:rFonts w:ascii="方正仿宋_GBK" w:hAnsi="方正仿宋_GBK" w:eastAsia="方正仿宋_GBK" w:cs="方正仿宋_GBK"/>
          <w:smallCaps/>
          <w:kern w:val="0"/>
          <w:sz w:val="32"/>
          <w:szCs w:val="32"/>
        </w:rPr>
        <w:t>—</w:t>
      </w:r>
      <w:r>
        <w:rPr>
          <w:rFonts w:hint="eastAsia" w:ascii="方正仿宋_GBK" w:hAnsi="方正仿宋_GBK" w:eastAsia="方正仿宋_GBK" w:cs="方正仿宋_GBK"/>
          <w:smallCaps/>
          <w:kern w:val="0"/>
          <w:sz w:val="32"/>
          <w:szCs w:val="32"/>
        </w:rPr>
        <w:t>国博中心”扩展“流量经济”，打造</w:t>
      </w:r>
      <w:r>
        <w:rPr>
          <w:rFonts w:ascii="方正仿宋_GBK" w:hAnsi="方正仿宋_GBK" w:eastAsia="方正仿宋_GBK" w:cs="方正仿宋_GBK"/>
          <w:smallCaps/>
          <w:kern w:val="0"/>
          <w:sz w:val="32"/>
          <w:szCs w:val="32"/>
        </w:rPr>
        <w:t>10</w:t>
      </w:r>
      <w:r>
        <w:rPr>
          <w:rFonts w:hint="eastAsia" w:ascii="方正仿宋_GBK" w:hAnsi="方正仿宋_GBK" w:eastAsia="方正仿宋_GBK" w:cs="方正仿宋_GBK"/>
          <w:smallCaps/>
          <w:kern w:val="0"/>
          <w:sz w:val="32"/>
          <w:szCs w:val="32"/>
        </w:rPr>
        <w:t>公里国际交往黄金带。涵盖渝北自贸片区，建成重要的开放型服务经济示范带。</w:t>
      </w:r>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仿宋_GBK" w:hAnsi="方正仿宋_GBK" w:eastAsia="方正仿宋_GBK" w:cs="方正仿宋_GBK"/>
          <w:smallCaps/>
          <w:kern w:val="0"/>
          <w:sz w:val="32"/>
          <w:szCs w:val="32"/>
        </w:rPr>
        <w:t>二是北部农旅康养融合示范带。沿南北大道、“古洛环线”等，提速建设重庆渝北国家农业高新技术产业示范区，支持发展农业科技、农产品流通服务，加快推进巴渝乡愁等重点农旅项目建设，打造一批精品景区和旅游线路、康养基地，建成全市重要的农业科技服务示范区、农旅康养融合示范带。</w:t>
      </w:r>
      <w:bookmarkEnd w:id="118"/>
    </w:p>
    <w:p>
      <w:pPr>
        <w:pStyle w:val="17"/>
      </w:pP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120" w:name="_Toc6565"/>
      <w:bookmarkStart w:id="121" w:name="_Toc45016360"/>
      <w:r>
        <w:rPr>
          <w:rFonts w:hint="eastAsia" w:ascii="方正楷体_GBK" w:hAnsi="方正楷体_GBK" w:eastAsia="方正楷体_GBK" w:cs="方正楷体_GBK"/>
          <w:kern w:val="0"/>
          <w:sz w:val="32"/>
          <w:szCs w:val="32"/>
        </w:rPr>
        <w:t>第二节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推动现代服务业集聚区建设</w:t>
      </w:r>
      <w:bookmarkEnd w:id="120"/>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仿宋_GBK" w:hAnsi="方正仿宋_GBK" w:eastAsia="方正仿宋_GBK" w:cs="方正仿宋_GBK"/>
          <w:smallCaps/>
          <w:kern w:val="0"/>
          <w:sz w:val="32"/>
          <w:szCs w:val="32"/>
        </w:rPr>
        <w:t>完善推进现代服务业集聚区建设的体制机制，做优做强新牌坊金融服务集聚区、重庆创意公园文化旅游集聚区、重庆仙桃数据谷信息服务集聚区等</w:t>
      </w:r>
      <w:r>
        <w:rPr>
          <w:rFonts w:ascii="方正仿宋_GBK" w:hAnsi="方正仿宋_GBK" w:eastAsia="方正仿宋_GBK" w:cs="方正仿宋_GBK"/>
          <w:smallCaps/>
          <w:kern w:val="0"/>
          <w:sz w:val="32"/>
          <w:szCs w:val="32"/>
        </w:rPr>
        <w:t>3</w:t>
      </w:r>
      <w:r>
        <w:rPr>
          <w:rFonts w:hint="eastAsia" w:ascii="方正仿宋_GBK" w:hAnsi="方正仿宋_GBK" w:eastAsia="方正仿宋_GBK" w:cs="方正仿宋_GBK"/>
          <w:smallCaps/>
          <w:kern w:val="0"/>
          <w:sz w:val="32"/>
          <w:szCs w:val="32"/>
        </w:rPr>
        <w:t>个市级服务业集聚区，提升集聚效应和发展能级。围绕重点领域进一步遴选培育一批主业突出、特色鲜明、配套完善、带动性强的现代服务业集聚区，形成现代服务业发展核心支撑。</w:t>
      </w:r>
    </w:p>
    <w:p>
      <w:pPr>
        <w:pStyle w:val="66"/>
        <w:spacing w:line="560" w:lineRule="exact"/>
        <w:ind w:firstLine="0" w:firstLineChars="0"/>
        <w:jc w:val="center"/>
        <w:rPr>
          <w:rFonts w:ascii="方正黑体_GBK" w:hAnsi="方正黑体_GBK" w:eastAsia="方正黑体_GBK" w:cs="方正黑体_GBK"/>
          <w:b/>
          <w:bCs/>
          <w:smallCaps/>
          <w:kern w:val="0"/>
          <w:sz w:val="32"/>
          <w:szCs w:val="32"/>
        </w:rPr>
      </w:pPr>
      <w:r>
        <w:rPr>
          <w:rFonts w:hint="eastAsia" w:ascii="方正黑体_GBK" w:hAnsi="方正黑体_GBK" w:eastAsia="方正黑体_GBK" w:cs="方正黑体_GBK"/>
          <w:smallCaps/>
          <w:kern w:val="0"/>
          <w:sz w:val="32"/>
          <w:szCs w:val="32"/>
        </w:rPr>
        <w:t>专栏</w:t>
      </w:r>
      <w:r>
        <w:rPr>
          <w:rFonts w:ascii="方正黑体_GBK" w:hAnsi="方正黑体_GBK" w:eastAsia="方正黑体_GBK" w:cs="方正黑体_GBK"/>
          <w:smallCaps/>
          <w:kern w:val="0"/>
          <w:sz w:val="32"/>
          <w:szCs w:val="32"/>
        </w:rPr>
        <w:t xml:space="preserve">13  </w:t>
      </w:r>
      <w:r>
        <w:rPr>
          <w:rFonts w:hint="eastAsia" w:ascii="方正黑体_GBK" w:hAnsi="方正黑体_GBK" w:eastAsia="方正黑体_GBK" w:cs="方正黑体_GBK"/>
          <w:smallCaps/>
          <w:kern w:val="0"/>
          <w:sz w:val="32"/>
          <w:szCs w:val="32"/>
        </w:rPr>
        <w:t>现代服务业集聚</w:t>
      </w:r>
      <w:r>
        <w:rPr>
          <w:rFonts w:hint="eastAsia" w:ascii="方正黑体_GBK" w:hAnsi="方正黑体_GBK" w:eastAsia="方正黑体_GBK" w:cs="方正黑体_GBK"/>
          <w:b/>
          <w:bCs/>
          <w:smallCaps/>
          <w:kern w:val="0"/>
          <w:sz w:val="32"/>
          <w:szCs w:val="32"/>
        </w:rPr>
        <w:t>区布局</w:t>
      </w:r>
    </w:p>
    <w:tbl>
      <w:tblPr>
        <w:tblStyle w:val="32"/>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4"/>
        <w:gridCol w:w="67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 w:hRule="atLeast"/>
          <w:jc w:val="center"/>
        </w:trPr>
        <w:tc>
          <w:tcPr>
            <w:tcW w:w="1744" w:type="dxa"/>
            <w:vAlign w:val="center"/>
          </w:tcPr>
          <w:p>
            <w:pPr>
              <w:spacing w:line="400" w:lineRule="exact"/>
              <w:jc w:val="center"/>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类型</w:t>
            </w:r>
          </w:p>
        </w:tc>
        <w:tc>
          <w:tcPr>
            <w:tcW w:w="6761" w:type="dxa"/>
            <w:vAlign w:val="center"/>
          </w:tcPr>
          <w:p>
            <w:pPr>
              <w:spacing w:line="400" w:lineRule="exact"/>
              <w:jc w:val="center"/>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重点集聚区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4" w:type="dxa"/>
            <w:vAlign w:val="center"/>
          </w:tcPr>
          <w:p>
            <w:pPr>
              <w:spacing w:line="400" w:lineRule="exact"/>
              <w:rPr>
                <w:rFonts w:eastAsia="方正仿宋_GBK" w:cs="方正仿宋_GBK"/>
                <w:sz w:val="28"/>
                <w:szCs w:val="28"/>
              </w:rPr>
            </w:pPr>
            <w:r>
              <w:rPr>
                <w:rFonts w:hint="eastAsia" w:eastAsia="方正仿宋_GBK" w:cs="方正仿宋_GBK"/>
                <w:sz w:val="28"/>
                <w:szCs w:val="28"/>
              </w:rPr>
              <w:t>金融集聚区</w:t>
            </w:r>
          </w:p>
        </w:tc>
        <w:tc>
          <w:tcPr>
            <w:tcW w:w="6761" w:type="dxa"/>
            <w:vAlign w:val="center"/>
          </w:tcPr>
          <w:p>
            <w:pPr>
              <w:spacing w:line="400" w:lineRule="exact"/>
              <w:rPr>
                <w:rFonts w:eastAsia="方正仿宋_GBK" w:cs="方正仿宋_GBK"/>
                <w:sz w:val="28"/>
                <w:szCs w:val="28"/>
              </w:rPr>
            </w:pPr>
            <w:r>
              <w:rPr>
                <w:rFonts w:hint="eastAsia" w:eastAsia="方正仿宋_GBK" w:cs="方正仿宋_GBK"/>
                <w:sz w:val="28"/>
                <w:szCs w:val="28"/>
              </w:rPr>
              <w:t>临空金融总部基地、新牌坊金融服务示范区、重庆基金园</w:t>
            </w:r>
            <w:r>
              <w:rPr>
                <w:rFonts w:hint="eastAsia" w:eastAsia="方正仿宋_GBK" w:cs="方正仿宋_GBK"/>
                <w:sz w:val="28"/>
                <w:szCs w:val="28"/>
                <w:lang w:val="zh-CN"/>
              </w:rPr>
              <w:t>和股权投资中心。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4" w:type="dxa"/>
            <w:vAlign w:val="center"/>
          </w:tcPr>
          <w:p>
            <w:pPr>
              <w:spacing w:line="400" w:lineRule="exact"/>
              <w:rPr>
                <w:rFonts w:eastAsia="方正仿宋_GBK" w:cs="方正仿宋_GBK"/>
                <w:sz w:val="28"/>
                <w:szCs w:val="28"/>
              </w:rPr>
            </w:pPr>
            <w:r>
              <w:rPr>
                <w:rFonts w:hint="eastAsia" w:eastAsia="方正仿宋_GBK" w:cs="方正仿宋_GBK"/>
                <w:sz w:val="28"/>
                <w:szCs w:val="28"/>
              </w:rPr>
              <w:t>物流集聚区</w:t>
            </w:r>
          </w:p>
        </w:tc>
        <w:tc>
          <w:tcPr>
            <w:tcW w:w="6761" w:type="dxa"/>
            <w:vAlign w:val="center"/>
          </w:tcPr>
          <w:p>
            <w:pPr>
              <w:spacing w:line="400" w:lineRule="exact"/>
              <w:rPr>
                <w:rFonts w:eastAsia="方正仿宋_GBK" w:cs="方正仿宋_GBK"/>
                <w:sz w:val="28"/>
                <w:szCs w:val="28"/>
              </w:rPr>
            </w:pPr>
            <w:r>
              <w:rPr>
                <w:rFonts w:hint="eastAsia" w:eastAsia="方正仿宋_GBK" w:cs="方正仿宋_GBK"/>
                <w:sz w:val="28"/>
                <w:szCs w:val="28"/>
                <w:lang w:val="zh-CN"/>
              </w:rPr>
              <w:t>机场航空物流园、中新航空产业园、木耳物流园、保税港区商贸物流园。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4" w:type="dxa"/>
            <w:vAlign w:val="center"/>
          </w:tcPr>
          <w:p>
            <w:pPr>
              <w:spacing w:line="400" w:lineRule="exact"/>
              <w:rPr>
                <w:rFonts w:eastAsia="方正仿宋_GBK" w:cs="方正仿宋_GBK"/>
                <w:sz w:val="28"/>
                <w:szCs w:val="28"/>
              </w:rPr>
            </w:pPr>
            <w:r>
              <w:rPr>
                <w:rFonts w:hint="eastAsia" w:eastAsia="方正仿宋_GBK" w:cs="方正仿宋_GBK"/>
                <w:sz w:val="28"/>
                <w:szCs w:val="28"/>
              </w:rPr>
              <w:t>核心商圈</w:t>
            </w:r>
          </w:p>
        </w:tc>
        <w:tc>
          <w:tcPr>
            <w:tcW w:w="6761" w:type="dxa"/>
            <w:vAlign w:val="center"/>
          </w:tcPr>
          <w:p>
            <w:pPr>
              <w:spacing w:line="400" w:lineRule="exact"/>
              <w:rPr>
                <w:rFonts w:eastAsia="方正仿宋_GBK" w:cs="方正仿宋_GBK"/>
                <w:sz w:val="28"/>
                <w:szCs w:val="28"/>
              </w:rPr>
            </w:pPr>
            <w:r>
              <w:rPr>
                <w:rFonts w:hint="eastAsia" w:eastAsia="方正仿宋_GBK" w:cs="方正仿宋_GBK"/>
                <w:sz w:val="28"/>
                <w:szCs w:val="28"/>
              </w:rPr>
              <w:t>两江国际商务中心、嘉州商圈、两路空港商圈。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4" w:type="dxa"/>
            <w:vAlign w:val="center"/>
          </w:tcPr>
          <w:p>
            <w:pPr>
              <w:spacing w:line="400" w:lineRule="exact"/>
              <w:rPr>
                <w:rFonts w:eastAsia="方正仿宋_GBK" w:cs="方正仿宋_GBK"/>
                <w:sz w:val="28"/>
                <w:szCs w:val="28"/>
              </w:rPr>
            </w:pPr>
            <w:r>
              <w:rPr>
                <w:rFonts w:hint="eastAsia" w:eastAsia="方正仿宋_GBK" w:cs="方正仿宋_GBK"/>
                <w:sz w:val="28"/>
                <w:szCs w:val="28"/>
              </w:rPr>
              <w:t>特色商业街区</w:t>
            </w:r>
          </w:p>
        </w:tc>
        <w:tc>
          <w:tcPr>
            <w:tcW w:w="6761" w:type="dxa"/>
            <w:vAlign w:val="center"/>
          </w:tcPr>
          <w:p>
            <w:pPr>
              <w:spacing w:line="400" w:lineRule="exact"/>
              <w:rPr>
                <w:rFonts w:eastAsia="方正仿宋_GBK" w:cs="方正仿宋_GBK"/>
                <w:sz w:val="28"/>
                <w:szCs w:val="28"/>
              </w:rPr>
            </w:pPr>
            <w:r>
              <w:rPr>
                <w:rFonts w:hint="eastAsia" w:eastAsia="方正仿宋_GBK" w:cs="方正仿宋_GBK"/>
                <w:sz w:val="28"/>
                <w:szCs w:val="28"/>
              </w:rPr>
              <w:t>龙溪街道新光里特色街、龙塔街道</w:t>
            </w:r>
            <w:r>
              <w:rPr>
                <w:rFonts w:eastAsia="方正仿宋_GBK" w:cs="方正仿宋_GBK"/>
                <w:sz w:val="28"/>
                <w:szCs w:val="28"/>
              </w:rPr>
              <w:t>99</w:t>
            </w:r>
            <w:r>
              <w:rPr>
                <w:rFonts w:hint="eastAsia" w:eastAsia="方正仿宋_GBK" w:cs="方正仿宋_GBK"/>
                <w:sz w:val="28"/>
                <w:szCs w:val="28"/>
              </w:rPr>
              <w:t>艺术长廊、龙山街道祈年悦城特色邻里中心、双龙湖街道</w:t>
            </w:r>
            <w:r>
              <w:rPr>
                <w:rFonts w:eastAsia="方正仿宋_GBK" w:cs="方正仿宋_GBK"/>
                <w:sz w:val="28"/>
                <w:szCs w:val="28"/>
              </w:rPr>
              <w:t>1.8</w:t>
            </w:r>
            <w:r>
              <w:rPr>
                <w:rFonts w:hint="eastAsia" w:eastAsia="方正仿宋_GBK" w:cs="方正仿宋_GBK"/>
                <w:sz w:val="28"/>
                <w:szCs w:val="28"/>
              </w:rPr>
              <w:t>支路夜街、仙桃街道居易天街、环山美食主题公园、黄泥磅紫薇路风情街等。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4" w:type="dxa"/>
            <w:vAlign w:val="center"/>
          </w:tcPr>
          <w:p>
            <w:pPr>
              <w:spacing w:line="400" w:lineRule="exact"/>
              <w:rPr>
                <w:rFonts w:eastAsia="方正仿宋_GBK" w:cs="方正仿宋_GBK"/>
                <w:sz w:val="28"/>
                <w:szCs w:val="28"/>
              </w:rPr>
            </w:pPr>
            <w:r>
              <w:rPr>
                <w:rFonts w:hint="eastAsia" w:eastAsia="方正仿宋_GBK" w:cs="方正仿宋_GBK"/>
                <w:sz w:val="28"/>
                <w:szCs w:val="28"/>
              </w:rPr>
              <w:t>特色夜市街区</w:t>
            </w:r>
          </w:p>
        </w:tc>
        <w:tc>
          <w:tcPr>
            <w:tcW w:w="6761" w:type="dxa"/>
            <w:vAlign w:val="center"/>
          </w:tcPr>
          <w:p>
            <w:pPr>
              <w:spacing w:line="400" w:lineRule="exact"/>
              <w:rPr>
                <w:rFonts w:eastAsia="方正仿宋_GBK" w:cs="方正仿宋_GBK"/>
                <w:sz w:val="28"/>
                <w:szCs w:val="28"/>
              </w:rPr>
            </w:pPr>
            <w:r>
              <w:rPr>
                <w:rFonts w:hint="eastAsia" w:eastAsia="方正仿宋_GBK" w:cs="方正仿宋_GBK"/>
                <w:sz w:val="28"/>
                <w:szCs w:val="28"/>
              </w:rPr>
              <w:t>中央公园东夜间经济示范区、水木天地夜市、嘉州活力夜街区、龙裕街（</w:t>
            </w:r>
            <w:r>
              <w:rPr>
                <w:rFonts w:eastAsia="方正仿宋_GBK" w:cs="方正仿宋_GBK"/>
                <w:sz w:val="28"/>
                <w:szCs w:val="28"/>
              </w:rPr>
              <w:t>1.5</w:t>
            </w:r>
            <w:r>
              <w:rPr>
                <w:rFonts w:hint="eastAsia" w:eastAsia="方正仿宋_GBK" w:cs="方正仿宋_GBK"/>
                <w:sz w:val="28"/>
                <w:szCs w:val="28"/>
              </w:rPr>
              <w:t>支路）夜啤酒好吃街、商会大厦广场、尚品源美食街等特色夜市街区。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4" w:type="dxa"/>
            <w:vAlign w:val="center"/>
          </w:tcPr>
          <w:p>
            <w:pPr>
              <w:spacing w:line="400" w:lineRule="exact"/>
              <w:rPr>
                <w:rFonts w:eastAsia="方正仿宋_GBK" w:cs="方正仿宋_GBK"/>
                <w:sz w:val="28"/>
                <w:szCs w:val="28"/>
              </w:rPr>
            </w:pPr>
            <w:r>
              <w:rPr>
                <w:rFonts w:hint="eastAsia" w:eastAsia="方正仿宋_GBK" w:cs="方正仿宋_GBK"/>
                <w:sz w:val="28"/>
                <w:szCs w:val="28"/>
              </w:rPr>
              <w:t>信息科技服务产业园区</w:t>
            </w:r>
          </w:p>
        </w:tc>
        <w:tc>
          <w:tcPr>
            <w:tcW w:w="6761" w:type="dxa"/>
            <w:vAlign w:val="center"/>
          </w:tcPr>
          <w:p>
            <w:pPr>
              <w:spacing w:line="400" w:lineRule="exact"/>
              <w:rPr>
                <w:rFonts w:eastAsia="方正仿宋_GBK" w:cs="方正仿宋_GBK"/>
                <w:sz w:val="28"/>
                <w:szCs w:val="28"/>
              </w:rPr>
            </w:pPr>
            <w:r>
              <w:rPr>
                <w:rFonts w:hint="eastAsia" w:eastAsia="方正仿宋_GBK" w:cs="方正仿宋_GBK"/>
                <w:sz w:val="28"/>
                <w:szCs w:val="28"/>
              </w:rPr>
              <w:t>仙桃国际大数据谷、两江国际商务中心信息技术服务园等。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4" w:type="dxa"/>
            <w:vAlign w:val="center"/>
          </w:tcPr>
          <w:p>
            <w:pPr>
              <w:spacing w:line="400" w:lineRule="exact"/>
              <w:rPr>
                <w:rFonts w:eastAsia="方正仿宋_GBK" w:cs="方正仿宋_GBK"/>
                <w:sz w:val="28"/>
                <w:szCs w:val="28"/>
              </w:rPr>
            </w:pPr>
            <w:r>
              <w:rPr>
                <w:rFonts w:hint="eastAsia" w:eastAsia="方正仿宋_GBK" w:cs="方正仿宋_GBK"/>
                <w:sz w:val="28"/>
                <w:szCs w:val="28"/>
              </w:rPr>
              <w:t>服务贸易示范区</w:t>
            </w:r>
          </w:p>
        </w:tc>
        <w:tc>
          <w:tcPr>
            <w:tcW w:w="6761" w:type="dxa"/>
            <w:vAlign w:val="center"/>
          </w:tcPr>
          <w:p>
            <w:pPr>
              <w:spacing w:line="400" w:lineRule="exact"/>
              <w:rPr>
                <w:rFonts w:eastAsia="方正仿宋_GBK" w:cs="方正仿宋_GBK"/>
                <w:sz w:val="28"/>
                <w:szCs w:val="28"/>
              </w:rPr>
            </w:pPr>
            <w:r>
              <w:rPr>
                <w:rFonts w:hint="eastAsia" w:eastAsia="方正仿宋_GBK" w:cs="方正仿宋_GBK"/>
                <w:sz w:val="28"/>
                <w:szCs w:val="28"/>
              </w:rPr>
              <w:t>临空国际贸易示范园、仙桃大数据服务贸易特色产业园、海归重庆服务贸易创新示范园项目等。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4" w:type="dxa"/>
            <w:vAlign w:val="center"/>
          </w:tcPr>
          <w:p>
            <w:pPr>
              <w:spacing w:line="400" w:lineRule="exact"/>
              <w:rPr>
                <w:rFonts w:eastAsia="方正仿宋_GBK" w:cs="方正仿宋_GBK"/>
                <w:sz w:val="28"/>
                <w:szCs w:val="28"/>
              </w:rPr>
            </w:pPr>
            <w:r>
              <w:rPr>
                <w:rFonts w:hint="eastAsia" w:eastAsia="方正仿宋_GBK" w:cs="方正仿宋_GBK"/>
                <w:sz w:val="28"/>
                <w:szCs w:val="28"/>
              </w:rPr>
              <w:t>专业服务集聚区</w:t>
            </w:r>
          </w:p>
        </w:tc>
        <w:tc>
          <w:tcPr>
            <w:tcW w:w="6761" w:type="dxa"/>
            <w:vAlign w:val="center"/>
          </w:tcPr>
          <w:p>
            <w:pPr>
              <w:spacing w:line="400" w:lineRule="exact"/>
              <w:rPr>
                <w:rFonts w:eastAsia="方正仿宋_GBK" w:cs="方正仿宋_GBK"/>
                <w:sz w:val="28"/>
                <w:szCs w:val="28"/>
              </w:rPr>
            </w:pPr>
            <w:r>
              <w:rPr>
                <w:rFonts w:hint="eastAsia" w:eastAsia="方正仿宋_GBK" w:cs="方正仿宋_GBK"/>
                <w:sz w:val="28"/>
                <w:szCs w:val="28"/>
              </w:rPr>
              <w:t>新牌坊专业服务集聚区、人力资源服务产业园、西正街法律服务产业园、西部法治科技园等。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4" w:type="dxa"/>
            <w:vAlign w:val="center"/>
          </w:tcPr>
          <w:p>
            <w:pPr>
              <w:spacing w:line="400" w:lineRule="exact"/>
              <w:rPr>
                <w:rFonts w:eastAsia="方正仿宋_GBK" w:cs="方正仿宋_GBK"/>
                <w:sz w:val="28"/>
                <w:szCs w:val="28"/>
              </w:rPr>
            </w:pPr>
            <w:r>
              <w:rPr>
                <w:rFonts w:hint="eastAsia" w:eastAsia="方正仿宋_GBK" w:cs="方正仿宋_GBK"/>
                <w:sz w:val="28"/>
                <w:szCs w:val="28"/>
              </w:rPr>
              <w:t>会展集聚区</w:t>
            </w:r>
          </w:p>
        </w:tc>
        <w:tc>
          <w:tcPr>
            <w:tcW w:w="6761" w:type="dxa"/>
            <w:vAlign w:val="center"/>
          </w:tcPr>
          <w:p>
            <w:pPr>
              <w:spacing w:line="400" w:lineRule="exact"/>
              <w:rPr>
                <w:rFonts w:eastAsia="方正仿宋_GBK" w:cs="方正仿宋_GBK"/>
                <w:sz w:val="28"/>
                <w:szCs w:val="28"/>
              </w:rPr>
            </w:pPr>
            <w:r>
              <w:rPr>
                <w:rFonts w:hint="eastAsia" w:eastAsia="方正仿宋_GBK" w:cs="方正仿宋_GBK"/>
                <w:sz w:val="28"/>
                <w:szCs w:val="28"/>
              </w:rPr>
              <w:t>悦来国际会展城、临空商务会展集聚区。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1744" w:type="dxa"/>
            <w:vAlign w:val="center"/>
          </w:tcPr>
          <w:p>
            <w:pPr>
              <w:spacing w:line="400" w:lineRule="exact"/>
              <w:rPr>
                <w:rFonts w:eastAsia="方正仿宋_GBK" w:cs="方正仿宋_GBK"/>
                <w:sz w:val="28"/>
                <w:szCs w:val="28"/>
              </w:rPr>
            </w:pPr>
            <w:r>
              <w:rPr>
                <w:rFonts w:hint="eastAsia" w:eastAsia="方正仿宋_GBK" w:cs="方正仿宋_GBK"/>
                <w:sz w:val="28"/>
                <w:szCs w:val="28"/>
              </w:rPr>
              <w:t>文化创意产业园</w:t>
            </w:r>
          </w:p>
        </w:tc>
        <w:tc>
          <w:tcPr>
            <w:tcW w:w="6761" w:type="dxa"/>
            <w:vAlign w:val="center"/>
          </w:tcPr>
          <w:p>
            <w:pPr>
              <w:spacing w:line="400" w:lineRule="exact"/>
              <w:rPr>
                <w:rFonts w:eastAsia="方正仿宋_GBK" w:cs="方正仿宋_GBK"/>
                <w:sz w:val="28"/>
                <w:szCs w:val="28"/>
              </w:rPr>
            </w:pPr>
            <w:r>
              <w:rPr>
                <w:rFonts w:hint="eastAsia" w:eastAsia="方正仿宋_GBK" w:cs="方正仿宋_GBK"/>
                <w:sz w:val="28"/>
                <w:szCs w:val="28"/>
              </w:rPr>
              <w:t>重庆数字文化产业园、重庆创意公园（广告产业园）、重庆游戏产业园、金紫山石头房子文创园等。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4" w:type="dxa"/>
            <w:vAlign w:val="center"/>
          </w:tcPr>
          <w:p>
            <w:pPr>
              <w:spacing w:line="400" w:lineRule="exact"/>
              <w:rPr>
                <w:rFonts w:eastAsia="方正仿宋_GBK" w:cs="方正仿宋_GBK"/>
                <w:sz w:val="28"/>
                <w:szCs w:val="28"/>
              </w:rPr>
            </w:pPr>
            <w:r>
              <w:rPr>
                <w:rFonts w:hint="eastAsia" w:eastAsia="方正仿宋_GBK" w:cs="方正仿宋_GBK"/>
                <w:sz w:val="28"/>
                <w:szCs w:val="28"/>
              </w:rPr>
              <w:t>旅游集聚区</w:t>
            </w:r>
          </w:p>
        </w:tc>
        <w:tc>
          <w:tcPr>
            <w:tcW w:w="6761" w:type="dxa"/>
            <w:vAlign w:val="center"/>
          </w:tcPr>
          <w:p>
            <w:pPr>
              <w:spacing w:line="400" w:lineRule="exact"/>
              <w:rPr>
                <w:rFonts w:eastAsia="方正仿宋_GBK" w:cs="方正仿宋_GBK"/>
                <w:sz w:val="28"/>
                <w:szCs w:val="28"/>
              </w:rPr>
            </w:pPr>
            <w:r>
              <w:rPr>
                <w:rFonts w:hint="eastAsia" w:eastAsia="方正仿宋_GBK" w:cs="方正仿宋_GBK"/>
                <w:sz w:val="28"/>
                <w:szCs w:val="28"/>
              </w:rPr>
              <w:t>统景温泉峡江度假区、铜锣山矿山公园、兴隆巴渝乡愁、玉峰山景区、大盛云龟景区、洛碛“桃韵天池”、华蓥山文旅融合示范区等。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4" w:type="dxa"/>
            <w:vAlign w:val="center"/>
          </w:tcPr>
          <w:p>
            <w:pPr>
              <w:spacing w:line="400" w:lineRule="exact"/>
              <w:rPr>
                <w:rFonts w:eastAsia="方正仿宋_GBK" w:cs="方正仿宋_GBK"/>
                <w:sz w:val="28"/>
                <w:szCs w:val="28"/>
              </w:rPr>
            </w:pPr>
            <w:r>
              <w:rPr>
                <w:rFonts w:hint="eastAsia" w:eastAsia="方正仿宋_GBK" w:cs="方正仿宋_GBK"/>
                <w:sz w:val="28"/>
                <w:szCs w:val="28"/>
              </w:rPr>
              <w:t>专业市场群</w:t>
            </w:r>
          </w:p>
        </w:tc>
        <w:tc>
          <w:tcPr>
            <w:tcW w:w="6761" w:type="dxa"/>
            <w:vAlign w:val="center"/>
          </w:tcPr>
          <w:p>
            <w:pPr>
              <w:spacing w:line="400" w:lineRule="exact"/>
              <w:rPr>
                <w:rFonts w:eastAsia="方正仿宋_GBK" w:cs="方正仿宋_GBK"/>
                <w:sz w:val="28"/>
                <w:szCs w:val="28"/>
              </w:rPr>
            </w:pPr>
            <w:r>
              <w:rPr>
                <w:rFonts w:hint="eastAsia" w:eastAsia="方正仿宋_GBK" w:cs="方正仿宋_GBK"/>
                <w:sz w:val="28"/>
                <w:szCs w:val="28"/>
              </w:rPr>
              <w:t>西南国际汽贸城、西部建材家居城、海领国际农产品交易中心、三亚湾水产品综合批发市场、海领国际工程机械交易中心、居然之家、西部水果智慧产业园、航空产业园航材集散中心等专业市场群。</w:t>
            </w:r>
          </w:p>
        </w:tc>
      </w:tr>
    </w:tbl>
    <w:p>
      <w:pPr>
        <w:pStyle w:val="3"/>
        <w:spacing w:beforeLines="150" w:afterLines="150" w:line="560" w:lineRule="exact"/>
        <w:contextualSpacing/>
        <w:jc w:val="center"/>
        <w:rPr>
          <w:rFonts w:ascii="方正黑体_GBK" w:hAnsi="方正黑体_GBK" w:eastAsia="方正黑体_GBK" w:cs="方正黑体_GBK"/>
          <w:kern w:val="0"/>
          <w:sz w:val="36"/>
          <w:szCs w:val="36"/>
        </w:rPr>
      </w:pPr>
      <w:bookmarkStart w:id="122" w:name="_Toc25795"/>
      <w:r>
        <w:rPr>
          <w:rFonts w:hint="eastAsia" w:ascii="方正黑体_GBK" w:hAnsi="方正黑体_GBK" w:eastAsia="方正黑体_GBK" w:cs="方正黑体_GBK"/>
          <w:kern w:val="0"/>
          <w:sz w:val="36"/>
          <w:szCs w:val="36"/>
        </w:rPr>
        <w:t>第四篇</w:t>
      </w:r>
      <w:r>
        <w:rPr>
          <w:rFonts w:ascii="方正黑体_GBK" w:hAnsi="方正黑体_GBK" w:eastAsia="方正黑体_GBK" w:cs="方正黑体_GBK"/>
          <w:kern w:val="0"/>
          <w:sz w:val="36"/>
          <w:szCs w:val="36"/>
        </w:rPr>
        <w:t xml:space="preserve"> </w:t>
      </w:r>
      <w:r>
        <w:rPr>
          <w:rFonts w:hint="eastAsia" w:ascii="方正黑体_GBK" w:hAnsi="方正黑体_GBK" w:eastAsia="方正黑体_GBK" w:cs="方正黑体_GBK"/>
          <w:kern w:val="0"/>
          <w:sz w:val="36"/>
          <w:szCs w:val="36"/>
        </w:rPr>
        <w:t>实施保障</w:t>
      </w:r>
      <w:bookmarkEnd w:id="122"/>
    </w:p>
    <w:p>
      <w:pPr>
        <w:pStyle w:val="125"/>
        <w:overflowPunct w:val="0"/>
        <w:adjustRightInd w:val="0"/>
        <w:snapToGrid w:val="0"/>
        <w:spacing w:beforeLines="200" w:afterLines="50" w:line="560" w:lineRule="exact"/>
        <w:ind w:firstLine="0"/>
        <w:jc w:val="center"/>
        <w:outlineLvl w:val="1"/>
        <w:rPr>
          <w:rFonts w:ascii="方正黑体_GBK" w:hAnsi="方正黑体_GBK" w:eastAsia="方正黑体_GBK" w:cs="方正黑体_GBK"/>
          <w:kern w:val="0"/>
          <w:sz w:val="32"/>
          <w:szCs w:val="32"/>
        </w:rPr>
      </w:pPr>
      <w:bookmarkStart w:id="123" w:name="_Toc12364"/>
      <w:r>
        <w:rPr>
          <w:rFonts w:hint="eastAsia" w:ascii="方正黑体_GBK" w:hAnsi="方正黑体_GBK" w:eastAsia="方正黑体_GBK" w:cs="方正黑体_GBK"/>
          <w:kern w:val="0"/>
          <w:sz w:val="32"/>
          <w:szCs w:val="32"/>
        </w:rPr>
        <w:t>第十章</w:t>
      </w:r>
      <w:r>
        <w:rPr>
          <w:rFonts w:ascii="方正黑体_GBK" w:hAnsi="方正黑体_GBK" w:eastAsia="方正黑体_GBK" w:cs="方正黑体_GBK"/>
          <w:kern w:val="0"/>
          <w:sz w:val="32"/>
          <w:szCs w:val="32"/>
        </w:rPr>
        <w:t xml:space="preserve"> </w:t>
      </w:r>
      <w:r>
        <w:rPr>
          <w:rFonts w:hint="eastAsia" w:ascii="方正黑体_GBK" w:hAnsi="方正黑体_GBK" w:eastAsia="方正黑体_GBK" w:cs="方正黑体_GBK"/>
          <w:kern w:val="0"/>
          <w:sz w:val="32"/>
          <w:szCs w:val="32"/>
        </w:rPr>
        <w:t>强化高质量发展支撑体系</w:t>
      </w:r>
      <w:bookmarkEnd w:id="123"/>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仿宋_GBK" w:hAnsi="方正仿宋_GBK" w:eastAsia="方正仿宋_GBK" w:cs="方正仿宋_GBK"/>
          <w:smallCaps/>
          <w:kern w:val="0"/>
          <w:sz w:val="32"/>
          <w:szCs w:val="32"/>
        </w:rPr>
        <w:t>优化服务业发展生态，构建和完善服务业高质量发展支撑体系。</w:t>
      </w: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124" w:name="_Toc21938"/>
      <w:bookmarkStart w:id="125" w:name="_Toc24249"/>
      <w:r>
        <w:rPr>
          <w:rFonts w:hint="eastAsia" w:ascii="方正楷体_GBK" w:hAnsi="方正楷体_GBK" w:eastAsia="方正楷体_GBK" w:cs="方正楷体_GBK"/>
          <w:kern w:val="0"/>
          <w:sz w:val="32"/>
          <w:szCs w:val="32"/>
        </w:rPr>
        <w:t>第一节</w:t>
      </w:r>
      <w:r>
        <w:rPr>
          <w:rFonts w:ascii="方正楷体_GBK" w:hAnsi="方正楷体_GBK" w:eastAsia="方正楷体_GBK" w:cs="方正楷体_GBK"/>
          <w:kern w:val="0"/>
          <w:sz w:val="32"/>
          <w:szCs w:val="32"/>
        </w:rPr>
        <w:t xml:space="preserve"> </w:t>
      </w:r>
      <w:bookmarkEnd w:id="124"/>
      <w:bookmarkStart w:id="126" w:name="_Toc11568"/>
      <w:r>
        <w:rPr>
          <w:rFonts w:hint="eastAsia" w:ascii="方正楷体_GBK" w:hAnsi="方正楷体_GBK" w:eastAsia="方正楷体_GBK" w:cs="方正楷体_GBK"/>
          <w:kern w:val="0"/>
          <w:sz w:val="32"/>
          <w:szCs w:val="32"/>
        </w:rPr>
        <w:t>培育壮大市场主体体系</w:t>
      </w:r>
      <w:bookmarkEnd w:id="125"/>
      <w:bookmarkEnd w:id="126"/>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仿宋_GBK" w:hAnsi="方正仿宋_GBK" w:eastAsia="方正仿宋_GBK" w:cs="方正仿宋_GBK"/>
          <w:smallCaps/>
          <w:kern w:val="0"/>
          <w:sz w:val="32"/>
          <w:szCs w:val="32"/>
        </w:rPr>
        <w:t>推进国内外优质服务商集聚计划，大力培育发展服务业企业。培育一批主业突出、自主核心竞争力强、行业区域带动作用明显的服务业领军企业、骨干企业，打造成为具有行业引领性标兵。推动民营服务业企业发展，完善中小微服务业企业服务体系，指导支持中小微服务业企业特色化、专业化发展，增强服务业发展活力。积极推动服务业企业在大数据、云计算、人工智能、供应链管理等领域创新转型，带动服务业新领域的拓展和新业态的成长。及时培育一批新技术领域的“种子选手”，在智慧物流、医疗健康、新金融、新零售、新文娱、产业互联网、人工智能、大数据、云服务、智能网联等领域培育独角兽企业，支持企业上市挂牌做大做强，引导企业向价值链高端发展，提高市场活力。</w:t>
      </w: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127" w:name="_Toc7284"/>
      <w:bookmarkStart w:id="128" w:name="_Toc6469"/>
      <w:r>
        <w:rPr>
          <w:rFonts w:hint="eastAsia" w:ascii="方正楷体_GBK" w:hAnsi="方正楷体_GBK" w:eastAsia="方正楷体_GBK" w:cs="方正楷体_GBK"/>
          <w:kern w:val="0"/>
          <w:sz w:val="32"/>
          <w:szCs w:val="32"/>
        </w:rPr>
        <w:t>第二节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完善服务质量体系</w:t>
      </w:r>
      <w:bookmarkEnd w:id="127"/>
      <w:bookmarkEnd w:id="128"/>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仿宋_GBK" w:hAnsi="方正仿宋_GBK" w:eastAsia="方正仿宋_GBK" w:cs="方正仿宋_GBK"/>
          <w:smallCaps/>
          <w:kern w:val="0"/>
          <w:sz w:val="32"/>
          <w:szCs w:val="32"/>
        </w:rPr>
        <w:t>推动服务业企业采用先进质量管理模式方法，公开服务质量信息，实施服务质量承诺，开展第三方认证。引导企业树立标准化意识，鼓励服务业龙头企业参与服务业标准制定。加快构建服务质量监测体系，服务质量监测评价能力和范围基本覆盖到主要服务行业和公共服务领域，定期通报监测结果，督促引导社会各方提高服务质量水平。建立健全服务质量监管协同处置机制，及时依法调查处理重大服务质量安全事件，不断完善服务质量治理体系。鼓励推广服务质量保险，分级建立质量管理认证和评价制度，健全质量责任追溯、传导和监督机制，形成企业、行业协会、第三方机构、消费者、新闻媒体、行业监管部门等多方齐抓共管的服务质量社会共治格局。</w:t>
      </w: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129" w:name="_Toc1710"/>
      <w:bookmarkStart w:id="130" w:name="_Toc27992"/>
      <w:r>
        <w:rPr>
          <w:rFonts w:hint="eastAsia" w:ascii="方正楷体_GBK" w:hAnsi="方正楷体_GBK" w:eastAsia="方正楷体_GBK" w:cs="方正楷体_GBK"/>
          <w:kern w:val="0"/>
          <w:sz w:val="32"/>
          <w:szCs w:val="32"/>
        </w:rPr>
        <w:t>第三节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优化创新创业生态体系</w:t>
      </w:r>
      <w:bookmarkEnd w:id="129"/>
      <w:bookmarkEnd w:id="130"/>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仿宋_GBK" w:hAnsi="方正仿宋_GBK" w:eastAsia="方正仿宋_GBK" w:cs="方正仿宋_GBK"/>
          <w:smallCaps/>
          <w:kern w:val="0"/>
          <w:sz w:val="32"/>
          <w:szCs w:val="32"/>
        </w:rPr>
        <w:t>培育支持服务业创新创业创造的生态环境，打造包容开放的创新文化氛围。完善知识产权管理服务体系，促进科技资源开放共享，做强各类产业创新中心、重点实验室、技术中心等创新平台，完善“互联网</w:t>
      </w:r>
      <w:r>
        <w:rPr>
          <w:rFonts w:ascii="方正仿宋_GBK" w:hAnsi="方正仿宋_GBK" w:eastAsia="方正仿宋_GBK" w:cs="方正仿宋_GBK"/>
          <w:smallCaps/>
          <w:kern w:val="0"/>
          <w:sz w:val="32"/>
          <w:szCs w:val="32"/>
        </w:rPr>
        <w:t>+</w:t>
      </w:r>
      <w:r>
        <w:rPr>
          <w:rFonts w:hint="eastAsia" w:ascii="方正仿宋_GBK" w:hAnsi="方正仿宋_GBK" w:eastAsia="方正仿宋_GBK" w:cs="方正仿宋_GBK"/>
          <w:smallCaps/>
          <w:kern w:val="0"/>
          <w:sz w:val="32"/>
          <w:szCs w:val="32"/>
        </w:rPr>
        <w:t>”创新创业服务体系。完善创新创业投融资政策，拓宽直接融资渠道，充分发挥各类产业投资基金作用，用好“风险、天使、担保、种子”四大科技基金，加大投贷联动、知识产权质押、股权众筹以及资本市场等方面的探索力度，适时启动科技保险，建立科技银行，落实“科信贷”担保服务费补贴等相关政策，完善科技型企业“种子期－成长期－壮大期”全链条资金支撑体系。支持现有众创平台提档升级，逐步完善“众创空间</w:t>
      </w:r>
      <w:r>
        <w:rPr>
          <w:rFonts w:ascii="方正仿宋_GBK" w:hAnsi="方正仿宋_GBK" w:eastAsia="方正仿宋_GBK" w:cs="方正仿宋_GBK"/>
          <w:smallCaps/>
          <w:kern w:val="0"/>
          <w:sz w:val="32"/>
          <w:szCs w:val="32"/>
        </w:rPr>
        <w:t>—</w:t>
      </w:r>
      <w:r>
        <w:rPr>
          <w:rFonts w:hint="eastAsia" w:ascii="方正仿宋_GBK" w:hAnsi="方正仿宋_GBK" w:eastAsia="方正仿宋_GBK" w:cs="方正仿宋_GBK"/>
          <w:smallCaps/>
          <w:kern w:val="0"/>
          <w:sz w:val="32"/>
          <w:szCs w:val="32"/>
        </w:rPr>
        <w:t>孵化器</w:t>
      </w:r>
      <w:r>
        <w:rPr>
          <w:rFonts w:ascii="方正仿宋_GBK" w:hAnsi="方正仿宋_GBK" w:eastAsia="方正仿宋_GBK" w:cs="方正仿宋_GBK"/>
          <w:smallCaps/>
          <w:kern w:val="0"/>
          <w:sz w:val="32"/>
          <w:szCs w:val="32"/>
        </w:rPr>
        <w:t>—</w:t>
      </w:r>
      <w:r>
        <w:rPr>
          <w:rFonts w:hint="eastAsia" w:ascii="方正仿宋_GBK" w:hAnsi="方正仿宋_GBK" w:eastAsia="方正仿宋_GBK" w:cs="方正仿宋_GBK"/>
          <w:smallCaps/>
          <w:kern w:val="0"/>
          <w:sz w:val="32"/>
          <w:szCs w:val="32"/>
        </w:rPr>
        <w:t>加速器一园区”的全链条孵化体系，投资有优质技术、优质团队、优质市场潜力的服务业企业，推动创新型服务业企业上市融资。</w:t>
      </w: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131" w:name="_Toc2012"/>
      <w:bookmarkStart w:id="132" w:name="_Toc9838"/>
      <w:bookmarkStart w:id="133" w:name="_Toc22622"/>
      <w:bookmarkStart w:id="134" w:name="_Toc57270275"/>
      <w:bookmarkStart w:id="135" w:name="_Toc12392"/>
      <w:bookmarkStart w:id="136" w:name="_Toc18083"/>
      <w:bookmarkStart w:id="137" w:name="_Toc426"/>
      <w:bookmarkStart w:id="138" w:name="_Toc54090562"/>
      <w:bookmarkStart w:id="139" w:name="_Toc56542093"/>
      <w:bookmarkStart w:id="140" w:name="_Toc10444"/>
      <w:bookmarkStart w:id="141" w:name="_Toc14469"/>
      <w:bookmarkStart w:id="142" w:name="_Toc25263"/>
      <w:bookmarkStart w:id="143" w:name="_Toc19838"/>
      <w:r>
        <w:rPr>
          <w:rFonts w:hint="eastAsia" w:ascii="方正楷体_GBK" w:hAnsi="方正楷体_GBK" w:eastAsia="方正楷体_GBK" w:cs="方正楷体_GBK"/>
          <w:kern w:val="0"/>
          <w:sz w:val="32"/>
          <w:szCs w:val="32"/>
        </w:rPr>
        <w:t>第四节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优化人才集聚和培育体系</w:t>
      </w:r>
      <w:bookmarkEnd w:id="131"/>
      <w:bookmarkEnd w:id="132"/>
    </w:p>
    <w:p>
      <w:pPr>
        <w:spacing w:line="560" w:lineRule="exact"/>
        <w:ind w:firstLine="640" w:firstLineChars="200"/>
        <w:rPr>
          <w:rFonts w:ascii="方正仿宋_GBK" w:hAnsi="方正仿宋_GBK" w:eastAsia="方正仿宋_GBK" w:cs="方正仿宋_GBK"/>
          <w:smallCaps/>
          <w:kern w:val="0"/>
          <w:sz w:val="32"/>
          <w:szCs w:val="32"/>
        </w:rPr>
      </w:pPr>
      <w:r>
        <w:rPr>
          <w:rFonts w:hint="eastAsia" w:eastAsia="方正仿宋_GBK" w:cs="方正仿宋_GBK"/>
          <w:sz w:val="32"/>
          <w:szCs w:val="32"/>
        </w:rPr>
        <w:t>强化人才保障，依托“重庆英才计划”、“鸿雁计划”和“临空英才计划”，持续做优青年人才成长驿站品牌，加大“高精尖缺”人才和团队引进力度，大力推进多层次现代服务业人才队伍建设。</w:t>
      </w:r>
      <w:r>
        <w:rPr>
          <w:rFonts w:hint="eastAsia" w:ascii="方正仿宋_GBK" w:hAnsi="方正仿宋_GBK" w:eastAsia="方正仿宋_GBK" w:cs="方正仿宋_GBK"/>
          <w:smallCaps/>
          <w:kern w:val="0"/>
          <w:sz w:val="32"/>
          <w:szCs w:val="32"/>
        </w:rPr>
        <w:t>完善服务业领域企业家、创新创业人才、高层次管理人才和职业技能人才引进培育使用机制。发挥人力资源产业园和西部人力资源博览会的作用，加大对国内外服务业高层次专业技术人才和经营管理人才的培养、扶持和引进力度。健全完善创新型人才市场化薪酬机制，完善职业技能鉴定制度，推动生产性服务人才专业化、生活化服务人才职业化发展。实施更加开放的人才政策，提高国际人才执业许可认同服务水平。</w:t>
      </w:r>
      <w:r>
        <w:rPr>
          <w:rFonts w:ascii="方正仿宋_GBK" w:hAnsi="方正仿宋_GBK" w:eastAsia="方正仿宋_GBK" w:cs="方正仿宋_GBK"/>
          <w:smallCaps/>
          <w:kern w:val="0"/>
          <w:sz w:val="32"/>
          <w:szCs w:val="32"/>
        </w:rPr>
        <w:t xml:space="preserve"> </w:t>
      </w:r>
      <w:r>
        <w:rPr>
          <w:rFonts w:hint="eastAsia" w:ascii="方正仿宋_GBK" w:hAnsi="方正仿宋_GBK" w:eastAsia="方正仿宋_GBK" w:cs="方正仿宋_GBK"/>
          <w:smallCaps/>
          <w:kern w:val="0"/>
          <w:sz w:val="32"/>
          <w:szCs w:val="32"/>
        </w:rPr>
        <w:t>支持区内高校、职业学院加强服务业相关学科专业建设，鼓励各类市场主体加大人才培训力度，依托仙桃谷软件学院、大数据学院、青年职业学院等教育培训机构，为社会单位培训大数据智能化人才。围绕家政、养老、托育、健康、医疗护理等民生领域服务需求，提升从业人员职业技能，增强服务供需对接能力。</w:t>
      </w: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144" w:name="_Toc23021"/>
      <w:r>
        <w:rPr>
          <w:rFonts w:hint="eastAsia" w:ascii="方正楷体_GBK" w:hAnsi="方正楷体_GBK" w:eastAsia="方正楷体_GBK" w:cs="方正楷体_GBK"/>
          <w:kern w:val="0"/>
          <w:sz w:val="32"/>
          <w:szCs w:val="32"/>
        </w:rPr>
        <w:t>第五节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提升品牌竞争力体系</w:t>
      </w:r>
      <w:bookmarkEnd w:id="133"/>
      <w:bookmarkEnd w:id="144"/>
    </w:p>
    <w:p>
      <w:pPr>
        <w:spacing w:line="560" w:lineRule="exact"/>
        <w:ind w:firstLine="640" w:firstLineChars="200"/>
        <w:rPr>
          <w:rFonts w:ascii="方正仿宋_GBK" w:hAnsi="方正仿宋_GBK" w:eastAsia="方正仿宋_GBK" w:cs="方正仿宋_GBK"/>
          <w:smallCaps/>
          <w:kern w:val="0"/>
          <w:sz w:val="32"/>
          <w:szCs w:val="32"/>
        </w:rPr>
      </w:pPr>
      <w:r>
        <w:rPr>
          <w:rFonts w:hint="eastAsia" w:eastAsia="方正仿宋_GBK" w:cs="方正仿宋_GBK"/>
          <w:sz w:val="32"/>
          <w:szCs w:val="32"/>
        </w:rPr>
        <w:t>发挥品牌对服务业转型升级引领作用。</w:t>
      </w:r>
      <w:r>
        <w:rPr>
          <w:rFonts w:hint="eastAsia" w:ascii="方正仿宋_GBK" w:hAnsi="方正仿宋_GBK" w:eastAsia="方正仿宋_GBK" w:cs="方正仿宋_GBK"/>
          <w:smallCaps/>
          <w:kern w:val="0"/>
          <w:sz w:val="32"/>
          <w:szCs w:val="32"/>
        </w:rPr>
        <w:t>研究建立区级服务品牌培育、评价、运营及管理体系，树立行业标杆和服务典范，</w:t>
      </w:r>
      <w:r>
        <w:rPr>
          <w:rFonts w:hint="eastAsia" w:eastAsia="方正仿宋_GBK" w:cs="方正仿宋_GBK"/>
          <w:sz w:val="32"/>
          <w:szCs w:val="32"/>
        </w:rPr>
        <w:t>鼓励企业加强品牌建设，</w:t>
      </w:r>
      <w:r>
        <w:rPr>
          <w:rFonts w:hint="eastAsia" w:ascii="方正仿宋_GBK" w:hAnsi="方正仿宋_GBK" w:eastAsia="方正仿宋_GBK" w:cs="方正仿宋_GBK"/>
          <w:smallCaps/>
          <w:kern w:val="0"/>
          <w:sz w:val="32"/>
          <w:szCs w:val="32"/>
        </w:rPr>
        <w:t>强化文化赋能品牌发展，强化科技支持品牌发展，提升服务品牌质量。支持产业基础良好、市场化程度较高的行业，培育一批具有地方特色的“渝北服务”品牌，力争</w:t>
      </w:r>
      <w:r>
        <w:rPr>
          <w:rFonts w:hint="eastAsia" w:eastAsia="方正仿宋_GBK" w:cs="方正仿宋_GBK"/>
          <w:sz w:val="32"/>
          <w:szCs w:val="32"/>
        </w:rPr>
        <w:t>培育</w:t>
      </w:r>
      <w:r>
        <w:rPr>
          <w:rFonts w:eastAsia="方正仿宋_GBK" w:cs="方正仿宋_GBK"/>
          <w:sz w:val="32"/>
          <w:szCs w:val="32"/>
        </w:rPr>
        <w:t>1-3</w:t>
      </w:r>
      <w:r>
        <w:rPr>
          <w:rFonts w:hint="eastAsia" w:eastAsia="方正仿宋_GBK" w:cs="方正仿宋_GBK"/>
          <w:sz w:val="32"/>
          <w:szCs w:val="32"/>
        </w:rPr>
        <w:t>个知名度高、美誉度好，具有地标性质的本土服务品牌。</w:t>
      </w:r>
      <w:r>
        <w:rPr>
          <w:rFonts w:hint="eastAsia" w:ascii="方正仿宋_GBK" w:hAnsi="方正仿宋_GBK" w:eastAsia="方正仿宋_GBK" w:cs="方正仿宋_GBK"/>
          <w:smallCaps/>
          <w:kern w:val="0"/>
          <w:sz w:val="32"/>
          <w:szCs w:val="32"/>
        </w:rPr>
        <w:t>推动培育更多“小而美”网络品牌，拓展直播电商、社交电商等应用面。加强服务品牌保护力度，依法依规查处侵权假冒服务品牌行为。充分利用新媒体等传播手段，开展渝北服务品牌的营销与宣传推广，丰富文化内涵，持续打造“临空之城，山水渝北”等品牌，不断提升渝北服务品牌的知名度、美誉度和国内外影响力。</w:t>
      </w:r>
    </w:p>
    <w:p>
      <w:pPr>
        <w:pStyle w:val="125"/>
        <w:overflowPunct w:val="0"/>
        <w:adjustRightInd w:val="0"/>
        <w:snapToGrid w:val="0"/>
        <w:spacing w:beforeLines="200" w:afterLines="50" w:line="560" w:lineRule="exact"/>
        <w:ind w:firstLine="0"/>
        <w:jc w:val="center"/>
        <w:outlineLvl w:val="1"/>
        <w:rPr>
          <w:rFonts w:ascii="方正黑体_GBK" w:hAnsi="方正黑体_GBK" w:eastAsia="方正黑体_GBK" w:cs="方正黑体_GBK"/>
          <w:kern w:val="0"/>
          <w:sz w:val="32"/>
          <w:szCs w:val="32"/>
        </w:rPr>
      </w:pPr>
      <w:bookmarkStart w:id="145" w:name="_Toc26400"/>
      <w:r>
        <w:rPr>
          <w:rFonts w:hint="eastAsia" w:ascii="方正黑体_GBK" w:hAnsi="方正黑体_GBK" w:eastAsia="方正黑体_GBK" w:cs="方正黑体_GBK"/>
          <w:kern w:val="0"/>
          <w:sz w:val="32"/>
          <w:szCs w:val="32"/>
        </w:rPr>
        <w:t>第十一章</w:t>
      </w:r>
      <w:r>
        <w:rPr>
          <w:rFonts w:ascii="方正黑体_GBK" w:hAnsi="方正黑体_GBK" w:eastAsia="方正黑体_GBK" w:cs="方正黑体_GBK"/>
          <w:kern w:val="0"/>
          <w:sz w:val="32"/>
          <w:szCs w:val="32"/>
        </w:rPr>
        <w:t xml:space="preserve"> </w:t>
      </w:r>
      <w:r>
        <w:rPr>
          <w:rFonts w:hint="eastAsia" w:ascii="方正黑体_GBK" w:hAnsi="方正黑体_GBK" w:eastAsia="方正黑体_GBK" w:cs="方正黑体_GBK"/>
          <w:kern w:val="0"/>
          <w:sz w:val="32"/>
          <w:szCs w:val="32"/>
        </w:rPr>
        <w:t>强化规划实施保障</w:t>
      </w:r>
      <w:bookmarkEnd w:id="145"/>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仿宋_GBK" w:hAnsi="方正仿宋_GBK" w:eastAsia="方正仿宋_GBK" w:cs="方正仿宋_GBK"/>
          <w:smallCaps/>
          <w:kern w:val="0"/>
          <w:sz w:val="32"/>
          <w:szCs w:val="32"/>
        </w:rPr>
        <w:t>建立健全规划实施机制，最大程度激发全社会的积极性、主动性、创造性，形成推动规划实施的强大合力，确保各项目标任务顺利完成。</w:t>
      </w:r>
    </w:p>
    <w:bookmarkEnd w:id="134"/>
    <w:bookmarkEnd w:id="135"/>
    <w:bookmarkEnd w:id="136"/>
    <w:bookmarkEnd w:id="137"/>
    <w:bookmarkEnd w:id="138"/>
    <w:bookmarkEnd w:id="139"/>
    <w:bookmarkEnd w:id="140"/>
    <w:bookmarkEnd w:id="141"/>
    <w:bookmarkEnd w:id="142"/>
    <w:bookmarkEnd w:id="143"/>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146" w:name="_Toc15528"/>
      <w:bookmarkStart w:id="147" w:name="_Toc28813"/>
      <w:r>
        <w:rPr>
          <w:rFonts w:hint="eastAsia" w:ascii="方正楷体_GBK" w:hAnsi="方正楷体_GBK" w:eastAsia="方正楷体_GBK" w:cs="方正楷体_GBK"/>
          <w:kern w:val="0"/>
          <w:sz w:val="32"/>
          <w:szCs w:val="32"/>
        </w:rPr>
        <w:t>第一节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加强组织领导</w:t>
      </w:r>
      <w:bookmarkEnd w:id="146"/>
    </w:p>
    <w:p>
      <w:pPr>
        <w:spacing w:line="560" w:lineRule="exact"/>
        <w:ind w:firstLine="640" w:firstLineChars="200"/>
        <w:rPr>
          <w:rFonts w:ascii="方正仿宋_GBK" w:hAnsi="方正仿宋_GBK" w:eastAsia="方正仿宋_GBK" w:cs="方正仿宋_GBK"/>
          <w:smallCaps/>
          <w:kern w:val="0"/>
          <w:sz w:val="32"/>
          <w:szCs w:val="32"/>
          <w:lang w:val="zh-TW"/>
        </w:rPr>
      </w:pPr>
      <w:r>
        <w:rPr>
          <w:rFonts w:hint="eastAsia" w:ascii="方正仿宋_GBK" w:hAnsi="方正仿宋_GBK" w:eastAsia="方正仿宋_GBK" w:cs="方正仿宋_GBK"/>
          <w:smallCaps/>
          <w:kern w:val="0"/>
          <w:sz w:val="32"/>
          <w:szCs w:val="32"/>
        </w:rPr>
        <w:t>加强组织领导。成立渝北区服务业发展领导小组，由分管发改工作的区领导任组长，各有关职能部门、区属国有公司负责人为成员，指导、协调全区现代服务业发展工作。定期召开服务业专题工作会议，统筹协调解决全区服务业发展中的跨区域、跨领域和跨部门重大问题，实现功能板块互补互促、共赢共享。完善协同工作机制，行业主管部门、项目属地镇街按照职责分工研究制定具体实施方案，细化政策措施，落实配套政策，推进各类服务业集聚区和重大项目建设。深化市区以及与两江新区的联动机制，形成推进服务业高质量发展合力。</w:t>
      </w: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148" w:name="_Toc10265"/>
      <w:r>
        <w:rPr>
          <w:rFonts w:hint="eastAsia" w:ascii="方正楷体_GBK" w:hAnsi="方正楷体_GBK" w:eastAsia="方正楷体_GBK" w:cs="方正楷体_GBK"/>
          <w:kern w:val="0"/>
          <w:sz w:val="32"/>
          <w:szCs w:val="32"/>
        </w:rPr>
        <w:t>第二节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优化营商环境</w:t>
      </w:r>
      <w:bookmarkEnd w:id="147"/>
      <w:bookmarkEnd w:id="148"/>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仿宋_GBK" w:hAnsi="方正仿宋_GBK" w:eastAsia="方正仿宋_GBK" w:cs="方正仿宋_GBK"/>
          <w:smallCaps/>
          <w:kern w:val="0"/>
          <w:sz w:val="32"/>
          <w:szCs w:val="32"/>
        </w:rPr>
        <w:t>对标对表世界银行标准，加快建设国际一流营商环境，营造更加开放的符合国际通行规则的投资环境、更加便利化的贸易环境、更加完善的法治环境、更加良好的生产生活环境和更加宽松的人才发展环境、更加稳定、公平、透明、可预期的生态发展环境。充分发挥市场在资源配置中的决定性作用，全面深化“放管服”改革，探索包容审慎监管方式，引导和支持新业态、新模式健康可持续发展。全面实施市场准入负面清单制度，逐步扩大服务业对外开放的领域和范围。加强知识产权保护，推进服务市场诚信体系建设，推动守信联合激励和失信联合惩戒，构建以信用为基础的新型监管机制。加强风险防控，引导企业增强投融资、境外经营等领域风险识别、防控和处置能力。</w:t>
      </w: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149" w:name="_Toc29067"/>
      <w:bookmarkStart w:id="150" w:name="_Toc14169"/>
      <w:r>
        <w:rPr>
          <w:rFonts w:hint="eastAsia" w:ascii="方正楷体_GBK" w:hAnsi="方正楷体_GBK" w:eastAsia="方正楷体_GBK" w:cs="方正楷体_GBK"/>
          <w:kern w:val="0"/>
          <w:sz w:val="32"/>
          <w:szCs w:val="32"/>
        </w:rPr>
        <w:t>第三节</w:t>
      </w:r>
      <w:r>
        <w:rPr>
          <w:rFonts w:ascii="方正楷体_GBK" w:hAnsi="方正楷体_GBK" w:eastAsia="方正楷体_GBK" w:cs="方正楷体_GBK"/>
          <w:kern w:val="0"/>
          <w:sz w:val="32"/>
          <w:szCs w:val="32"/>
        </w:rPr>
        <w:t xml:space="preserve"> </w:t>
      </w:r>
      <w:bookmarkEnd w:id="149"/>
      <w:r>
        <w:rPr>
          <w:rFonts w:hint="eastAsia" w:eastAsia="方正楷体_GBK" w:cs="方正楷体_GBK"/>
          <w:sz w:val="32"/>
          <w:szCs w:val="32"/>
        </w:rPr>
        <w:t>完善政策支撑</w:t>
      </w:r>
      <w:bookmarkEnd w:id="150"/>
    </w:p>
    <w:p>
      <w:pPr>
        <w:spacing w:line="560" w:lineRule="exact"/>
        <w:ind w:firstLine="640" w:firstLineChars="200"/>
        <w:rPr>
          <w:rFonts w:ascii="方正仿宋_GBK" w:hAnsi="方正仿宋_GBK" w:eastAsia="方正仿宋_GBK" w:cs="方正仿宋_GBK"/>
          <w:smallCaps/>
          <w:kern w:val="0"/>
          <w:sz w:val="32"/>
          <w:szCs w:val="32"/>
        </w:rPr>
      </w:pPr>
      <w:bookmarkStart w:id="151" w:name="_Toc6149"/>
      <w:bookmarkStart w:id="152" w:name="_Toc23876"/>
      <w:r>
        <w:rPr>
          <w:rFonts w:hint="eastAsia" w:ascii="方正仿宋_GBK" w:hAnsi="方正仿宋_GBK" w:eastAsia="方正仿宋_GBK" w:cs="方正仿宋_GBK"/>
          <w:smallCaps/>
          <w:kern w:val="0"/>
          <w:sz w:val="32"/>
          <w:szCs w:val="32"/>
        </w:rPr>
        <w:t>加大政策扶持力度，落实并促进财税、金融、产业、用地、价格政策的协调统一。探索建立推动服务业高质量发展的政策及资金管理体制，积极争取国家、市各类专项资金、基金支持。加强企业走访调研，深入听取企业政策建议，进一步研究分析服务业高质量发展存在问题和制约因素，结合现有的市、区政策，适时出台一批新政策，有效发挥政府引导基金作用，支持服务业新模式、新业态的发展。优先保障重大服务业项目的土地供应，建立完善主要由市场决定价格的服务业价格形成机制，以满足现代服务业高质量发展的需求。</w:t>
      </w: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153" w:name="_Toc5072"/>
      <w:r>
        <w:rPr>
          <w:rFonts w:hint="eastAsia" w:ascii="方正楷体_GBK" w:hAnsi="方正楷体_GBK" w:eastAsia="方正楷体_GBK" w:cs="方正楷体_GBK"/>
          <w:kern w:val="0"/>
          <w:sz w:val="32"/>
          <w:szCs w:val="32"/>
        </w:rPr>
        <w:t>第四节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强化</w:t>
      </w:r>
      <w:bookmarkEnd w:id="151"/>
      <w:r>
        <w:rPr>
          <w:rFonts w:hint="eastAsia" w:ascii="方正楷体_GBK" w:hAnsi="方正楷体_GBK" w:eastAsia="方正楷体_GBK" w:cs="方正楷体_GBK"/>
          <w:kern w:val="0"/>
          <w:sz w:val="32"/>
          <w:szCs w:val="32"/>
        </w:rPr>
        <w:t>产业链招商</w:t>
      </w:r>
      <w:bookmarkEnd w:id="153"/>
    </w:p>
    <w:p>
      <w:pPr>
        <w:spacing w:line="560" w:lineRule="exact"/>
        <w:ind w:firstLine="640" w:firstLineChars="200"/>
      </w:pPr>
      <w:r>
        <w:rPr>
          <w:rFonts w:hint="eastAsia" w:ascii="方正仿宋_GBK" w:hAnsi="方正仿宋_GBK" w:eastAsia="方正仿宋_GBK" w:cs="方正仿宋_GBK"/>
          <w:smallCaps/>
          <w:kern w:val="0"/>
          <w:sz w:val="32"/>
          <w:szCs w:val="32"/>
        </w:rPr>
        <w:t>注重构建有序、统一的招商引资体系和投资服务体系，根据服务业产业发展重点推进优势产业、产业链、产业集群精准招商。创新招商方式，打造招商线上平台，</w:t>
      </w:r>
      <w:r>
        <w:rPr>
          <w:rFonts w:hint="eastAsia" w:eastAsia="方正仿宋_GBK" w:cs="方正仿宋_GBK"/>
          <w:sz w:val="32"/>
          <w:szCs w:val="32"/>
        </w:rPr>
        <w:t>统筹整合各方资源，</w:t>
      </w:r>
      <w:r>
        <w:rPr>
          <w:rFonts w:hint="eastAsia" w:ascii="方正仿宋_GBK" w:hAnsi="方正仿宋_GBK" w:eastAsia="方正仿宋_GBK" w:cs="方正仿宋_GBK"/>
          <w:smallCaps/>
          <w:kern w:val="0"/>
          <w:sz w:val="32"/>
          <w:szCs w:val="32"/>
        </w:rPr>
        <w:t>通过云上交流和推介等方式，向境内外企业市场主体提供供需信息发布、精准对接匹配、开展跨时空、全天候、常态化、可持续的产业招商和投资促进服务，不断拓展境内外招商网络。</w:t>
      </w:r>
      <w:r>
        <w:rPr>
          <w:rFonts w:hint="eastAsia" w:eastAsia="方正仿宋_GBK" w:cs="方正仿宋_GBK"/>
          <w:sz w:val="32"/>
          <w:szCs w:val="32"/>
        </w:rPr>
        <w:t>建立渝北区现代服务业重大项目保障机制，</w:t>
      </w:r>
      <w:r>
        <w:rPr>
          <w:rFonts w:hint="eastAsia" w:ascii="方正仿宋_GBK" w:hAnsi="方正仿宋_GBK" w:eastAsia="方正仿宋_GBK" w:cs="方正仿宋_GBK"/>
          <w:smallCaps/>
          <w:kern w:val="0"/>
          <w:sz w:val="32"/>
          <w:szCs w:val="32"/>
        </w:rPr>
        <w:t>推动服务业项目对接落地。</w:t>
      </w:r>
    </w:p>
    <w:p>
      <w:pPr>
        <w:pStyle w:val="17"/>
      </w:pP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154" w:name="_Toc8951"/>
      <w:r>
        <w:rPr>
          <w:rFonts w:hint="eastAsia" w:ascii="方正楷体_GBK" w:hAnsi="方正楷体_GBK" w:eastAsia="方正楷体_GBK" w:cs="方正楷体_GBK"/>
          <w:kern w:val="0"/>
          <w:sz w:val="32"/>
          <w:szCs w:val="32"/>
        </w:rPr>
        <w:t>第五节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加强统计考核</w:t>
      </w:r>
      <w:bookmarkEnd w:id="152"/>
      <w:bookmarkEnd w:id="154"/>
    </w:p>
    <w:p>
      <w:pPr>
        <w:spacing w:line="560" w:lineRule="exact"/>
        <w:ind w:firstLine="640" w:firstLineChars="200"/>
        <w:rPr>
          <w:lang w:val="zh-TW"/>
        </w:rPr>
      </w:pPr>
      <w:r>
        <w:rPr>
          <w:rFonts w:hint="eastAsia" w:ascii="方正仿宋_GBK" w:hAnsi="方正仿宋_GBK" w:eastAsia="方正仿宋_GBK" w:cs="方正仿宋_GBK"/>
          <w:smallCaps/>
          <w:kern w:val="0"/>
          <w:sz w:val="32"/>
          <w:szCs w:val="32"/>
        </w:rPr>
        <w:t>以国民经济行业分类标准为基础，完善调查方法和指标体系，探索建立更加符合服务业高质量发展要求的服务业统计调查制度。加强对新兴服务业统计制度的研究和实施，真实反映、科学评价服务业新业态、新模式。改进小微服务企业抽样调查和派生服务数据采集，提高服务业统计的全面性、精确性和及时性。</w:t>
      </w:r>
      <w:r>
        <w:rPr>
          <w:rFonts w:hint="eastAsia" w:ascii="方正仿宋_GBK" w:hAnsi="方正仿宋_GBK" w:eastAsia="方正仿宋_GBK" w:cs="方正仿宋_GBK"/>
          <w:smallCaps/>
          <w:kern w:val="0"/>
          <w:sz w:val="32"/>
          <w:szCs w:val="32"/>
          <w:lang w:val="zh-TW"/>
        </w:rPr>
        <w:t>建立健全服务业发展动态监测、预警、预测和信息发布机制。</w:t>
      </w:r>
      <w:r>
        <w:rPr>
          <w:rFonts w:hint="eastAsia" w:ascii="方正仿宋_GBK" w:hAnsi="方正仿宋_GBK" w:eastAsia="方正仿宋_GBK" w:cs="方正仿宋_GBK"/>
          <w:smallCaps/>
          <w:kern w:val="0"/>
          <w:sz w:val="32"/>
          <w:szCs w:val="32"/>
        </w:rPr>
        <w:t>建立科学有效的绩效考核评价体系，加强对规划实施的督促检查，确保“十四五”现代服务业发展规划部署落到实处。</w:t>
      </w:r>
    </w:p>
    <w:bookmarkEnd w:id="121"/>
    <w:p>
      <w:pPr>
        <w:pStyle w:val="64"/>
        <w:jc w:val="right"/>
        <w:rPr>
          <w:rFonts w:ascii="方正仿宋_GBK" w:hAnsi="方正仿宋_GBK" w:eastAsia="方正仿宋_GBK" w:cs="方正仿宋_GBK"/>
          <w:smallCaps/>
          <w:color w:val="auto"/>
          <w:sz w:val="32"/>
          <w:szCs w:val="32"/>
        </w:rPr>
      </w:pPr>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roman"/>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方正楷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方正大标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Consolas">
    <w:panose1 w:val="020B0609020204030204"/>
    <w:charset w:val="00"/>
    <w:family w:val="modern"/>
    <w:pitch w:val="default"/>
    <w:sig w:usb0="E00006FF" w:usb1="0000FCFF" w:usb2="00000001" w:usb3="00000000" w:csb0="6000019F" w:csb1="DFD70000"/>
  </w:font>
  <w:font w:name="Helvetica">
    <w:altName w:val="Arial"/>
    <w:panose1 w:val="020B0604020202020204"/>
    <w:charset w:val="00"/>
    <w:family w:val="swiss"/>
    <w:pitch w:val="default"/>
    <w:sig w:usb0="00000000" w:usb1="00000000" w:usb2="00000009" w:usb3="00000000" w:csb0="000001FF" w:csb1="00000000"/>
  </w:font>
  <w:font w:name="Arial">
    <w:panose1 w:val="020B0604020202020204"/>
    <w:charset w:val="00"/>
    <w:family w:val="auto"/>
    <w:pitch w:val="default"/>
    <w:sig w:usb0="E0002EFF" w:usb1="C000785B" w:usb2="00000009" w:usb3="00000000" w:csb0="400001FF" w:csb1="FFFF0000"/>
  </w:font>
  <w:font w:name="Verdana">
    <w:panose1 w:val="020B0604030504040204"/>
    <w:charset w:val="00"/>
    <w:family w:val="swiss"/>
    <w:pitch w:val="default"/>
    <w:sig w:usb0="A00006FF" w:usb1="4000205B" w:usb2="00000010"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Microsoft YaHei UI">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tabs>
        <w:tab w:val="clear" w:pos="4153"/>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tabs>
        <w:tab w:val="clear" w:pos="4153"/>
      </w:tabs>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weight="0.5pt" joinstyle="miter"/>
          <v:imagedata o:title=""/>
          <o:lock v:ext="edit"/>
          <v:textbox inset="0mm,0mm,0mm,0mm" style="mso-fit-shape-to-text:t;">
            <w:txbxContent>
              <w:p>
                <w:pPr>
                  <w:pStyle w:val="17"/>
                </w:pPr>
                <w:r>
                  <w:fldChar w:fldCharType="begin"/>
                </w:r>
                <w:r>
                  <w:instrText xml:space="preserve"> PAGE  \* MERGEFORMAT </w:instrText>
                </w:r>
                <w:r>
                  <w:fldChar w:fldCharType="separate"/>
                </w:r>
                <w:r>
                  <w:t>5</w:t>
                </w:r>
                <w:r>
                  <w:fldChar w:fldCharType="end"/>
                </w:r>
              </w:p>
            </w:txbxContent>
          </v:textbox>
        </v:shape>
      </w:pict>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adjustRightInd w:val="0"/>
        <w:snapToGrid w:val="0"/>
        <w:spacing w:line="240" w:lineRule="atLeast"/>
        <w:ind w:firstLine="480" w:firstLineChars="200"/>
        <w:rPr>
          <w:rFonts w:ascii="仿宋_GB2312" w:eastAsia="仿宋_GB2312"/>
          <w:sz w:val="24"/>
        </w:rPr>
      </w:pPr>
      <w:r>
        <w:rPr>
          <w:rFonts w:ascii="仿宋_GB2312" w:eastAsia="仿宋_GB2312"/>
          <w:sz w:val="24"/>
          <w:vertAlign w:val="superscript"/>
        </w:rPr>
        <w:t>[1]</w:t>
      </w:r>
      <w:r>
        <w:rPr>
          <w:rFonts w:hint="eastAsia" w:ascii="仿宋_GB2312" w:eastAsia="仿宋_GB2312"/>
          <w:sz w:val="24"/>
        </w:rPr>
        <w:t>“</w:t>
      </w:r>
      <w:r>
        <w:rPr>
          <w:rFonts w:ascii="仿宋_GB2312" w:eastAsia="仿宋_GB2312"/>
          <w:sz w:val="24"/>
        </w:rPr>
        <w:t>5+3+1</w:t>
      </w:r>
      <w:r>
        <w:rPr>
          <w:rFonts w:hint="eastAsia" w:ascii="仿宋_GB2312" w:eastAsia="仿宋_GB2312"/>
          <w:sz w:val="24"/>
        </w:rPr>
        <w:t>”为主的现代服务业体系中的“</w:t>
      </w:r>
      <w:r>
        <w:rPr>
          <w:rFonts w:ascii="仿宋_GB2312" w:eastAsia="仿宋_GB2312"/>
          <w:sz w:val="24"/>
        </w:rPr>
        <w:t>5</w:t>
      </w:r>
      <w:r>
        <w:rPr>
          <w:rFonts w:hint="eastAsia" w:ascii="仿宋_GB2312" w:eastAsia="仿宋_GB2312"/>
          <w:sz w:val="24"/>
        </w:rPr>
        <w:t>”指创新金融业、现代物流业、软件和信息服务业、专业服务业、商务会展业五大生产性服务业；“</w:t>
      </w:r>
      <w:r>
        <w:rPr>
          <w:rFonts w:ascii="仿宋_GB2312" w:eastAsia="仿宋_GB2312"/>
          <w:sz w:val="24"/>
        </w:rPr>
        <w:t>3</w:t>
      </w:r>
      <w:r>
        <w:rPr>
          <w:rFonts w:hint="eastAsia" w:ascii="仿宋_GB2312" w:eastAsia="仿宋_GB2312"/>
          <w:sz w:val="24"/>
        </w:rPr>
        <w:t>”指文化旅游业、康养休闲业、商贸服务业三大生活性服务业；“</w:t>
      </w:r>
      <w:r>
        <w:rPr>
          <w:rFonts w:ascii="仿宋_GB2312" w:eastAsia="仿宋_GB2312"/>
          <w:sz w:val="24"/>
        </w:rPr>
        <w:t>1</w:t>
      </w:r>
      <w:r>
        <w:rPr>
          <w:rFonts w:hint="eastAsia" w:ascii="仿宋_GB2312" w:eastAsia="仿宋_GB2312"/>
          <w:sz w:val="24"/>
        </w:rPr>
        <w:t>”指总部经济。</w:t>
      </w:r>
    </w:p>
    <w:p>
      <w:pPr>
        <w:adjustRightInd w:val="0"/>
        <w:snapToGrid w:val="0"/>
        <w:spacing w:line="240" w:lineRule="atLeast"/>
        <w:ind w:firstLine="420" w:firstLineChars="200"/>
      </w:pPr>
    </w:p>
  </w:footnote>
  <w:footnote w:id="1">
    <w:p>
      <w:pPr>
        <w:pStyle w:val="21"/>
      </w:pPr>
      <w:r>
        <w:rPr>
          <w:rStyle w:val="43"/>
          <w:rFonts w:ascii="方正仿宋_GBK" w:hAnsi="方正仿宋_GBK" w:eastAsia="方正仿宋_GBK" w:cs="方正仿宋_GBK"/>
        </w:rPr>
        <w:t>[</w:t>
      </w:r>
      <w:r>
        <w:rPr>
          <w:rStyle w:val="43"/>
          <w:rFonts w:ascii="方正仿宋_GBK" w:hAnsi="方正仿宋_GBK" w:eastAsia="方正仿宋_GBK" w:cs="方正仿宋_GBK"/>
        </w:rPr>
        <w:footnoteRef/>
      </w:r>
      <w:r>
        <w:rPr>
          <w:rStyle w:val="43"/>
          <w:rFonts w:ascii="方正仿宋_GBK" w:hAnsi="方正仿宋_GBK" w:eastAsia="方正仿宋_GBK" w:cs="方正仿宋_GBK"/>
        </w:rPr>
        <w:t>]</w:t>
      </w:r>
      <w:r>
        <w:rPr>
          <w:rFonts w:hint="eastAsia" w:ascii="方正仿宋_GBK" w:hAnsi="方正仿宋_GBK" w:eastAsia="方正仿宋_GBK" w:cs="方正仿宋_GBK"/>
        </w:rPr>
        <w:t>全球</w:t>
      </w:r>
      <w:r>
        <w:rPr>
          <w:rFonts w:ascii="方正仿宋_GBK" w:hAnsi="方正仿宋_GBK" w:eastAsia="方正仿宋_GBK" w:cs="方正仿宋_GBK"/>
        </w:rPr>
        <w:t>123</w:t>
      </w:r>
      <w:r>
        <w:rPr>
          <w:rFonts w:hint="eastAsia" w:ascii="方正仿宋_GBK" w:hAnsi="方正仿宋_GBK" w:eastAsia="方正仿宋_GBK" w:cs="方正仿宋_GBK"/>
        </w:rPr>
        <w:t>快货物流圈：国内</w:t>
      </w:r>
      <w:r>
        <w:rPr>
          <w:rFonts w:ascii="方正仿宋_GBK" w:hAnsi="方正仿宋_GBK" w:eastAsia="方正仿宋_GBK" w:cs="方正仿宋_GBK"/>
        </w:rPr>
        <w:t>1</w:t>
      </w:r>
      <w:r>
        <w:rPr>
          <w:rFonts w:hint="eastAsia" w:ascii="方正仿宋_GBK" w:hAnsi="方正仿宋_GBK" w:eastAsia="方正仿宋_GBK" w:cs="方正仿宋_GBK"/>
        </w:rPr>
        <w:t>天送达，周边国家</w:t>
      </w:r>
      <w:r>
        <w:rPr>
          <w:rFonts w:ascii="方正仿宋_GBK" w:hAnsi="方正仿宋_GBK" w:eastAsia="方正仿宋_GBK" w:cs="方正仿宋_GBK"/>
        </w:rPr>
        <w:t>2</w:t>
      </w:r>
      <w:r>
        <w:rPr>
          <w:rFonts w:hint="eastAsia" w:ascii="方正仿宋_GBK" w:hAnsi="方正仿宋_GBK" w:eastAsia="方正仿宋_GBK" w:cs="方正仿宋_GBK"/>
        </w:rPr>
        <w:t>天送达，全球主要城市</w:t>
      </w:r>
      <w:r>
        <w:rPr>
          <w:rFonts w:ascii="方正仿宋_GBK" w:hAnsi="方正仿宋_GBK" w:eastAsia="方正仿宋_GBK" w:cs="方正仿宋_GBK"/>
        </w:rPr>
        <w:t>3</w:t>
      </w:r>
      <w:r>
        <w:rPr>
          <w:rFonts w:hint="eastAsia" w:ascii="方正仿宋_GBK" w:hAnsi="方正仿宋_GBK" w:eastAsia="方正仿宋_GBK" w:cs="方正仿宋_GBK"/>
        </w:rPr>
        <w:t>天送达。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199267"/>
    <w:multiLevelType w:val="singleLevel"/>
    <w:tmpl w:val="A8199267"/>
    <w:lvl w:ilvl="0" w:tentative="0">
      <w:start w:val="3"/>
      <w:numFmt w:val="chineseCounting"/>
      <w:suff w:val="space"/>
      <w:lvlText w:val="第%1节"/>
      <w:lvlJc w:val="left"/>
      <w:rPr>
        <w:rFonts w:hint="eastAsia" w:cs="Times New Roman"/>
      </w:rPr>
    </w:lvl>
  </w:abstractNum>
  <w:abstractNum w:abstractNumId="1">
    <w:nsid w:val="2793A6F6"/>
    <w:multiLevelType w:val="singleLevel"/>
    <w:tmpl w:val="2793A6F6"/>
    <w:lvl w:ilvl="0" w:tentative="0">
      <w:start w:val="1"/>
      <w:numFmt w:val="decimal"/>
      <w:lvlText w:val="%1."/>
      <w:lvlJc w:val="left"/>
      <w:pPr>
        <w:tabs>
          <w:tab w:val="left" w:pos="312"/>
        </w:tabs>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noLineBreaksAfter w:lang="zh-CN" w:val="$([{£¥·‘“〈《「『【〔〖〝﹙﹛﹝＄（．［｛￡￥"/>
  <w:noLineBreaksBefore w:lang="zh-CN" w:val="!%),.:;&gt;?]}¢¨°·ˇˉ―‖’”…‰′″›℃∶、。〃〉》」』】〕〗〞︶︺︾﹀﹄﹚﹜﹞！＂％＇），．：；？］｀｜｝～￠"/>
  <w:hdrShapeDefaults>
    <o:shapelayout v:ext="edit">
      <o:idmap v:ext="edit" data="2"/>
    </o:shapelayout>
  </w:hdrShapeDefaults>
  <w:footnotePr>
    <w:footnote w:id="4"/>
    <w:footnote w:id="5"/>
  </w:foot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5261"/>
    <w:rsid w:val="0000223B"/>
    <w:rsid w:val="000024FC"/>
    <w:rsid w:val="000033D3"/>
    <w:rsid w:val="00007F07"/>
    <w:rsid w:val="00017E2F"/>
    <w:rsid w:val="000212BD"/>
    <w:rsid w:val="00022AD3"/>
    <w:rsid w:val="000231FA"/>
    <w:rsid w:val="000252F4"/>
    <w:rsid w:val="00027E07"/>
    <w:rsid w:val="000324A8"/>
    <w:rsid w:val="0003268D"/>
    <w:rsid w:val="000346A6"/>
    <w:rsid w:val="00035EF3"/>
    <w:rsid w:val="00035FA5"/>
    <w:rsid w:val="000363E4"/>
    <w:rsid w:val="000365FB"/>
    <w:rsid w:val="00042821"/>
    <w:rsid w:val="00043971"/>
    <w:rsid w:val="00044040"/>
    <w:rsid w:val="00044C82"/>
    <w:rsid w:val="00044F58"/>
    <w:rsid w:val="000463E8"/>
    <w:rsid w:val="00047EF8"/>
    <w:rsid w:val="00050257"/>
    <w:rsid w:val="00052652"/>
    <w:rsid w:val="00054CE4"/>
    <w:rsid w:val="00056045"/>
    <w:rsid w:val="0005656D"/>
    <w:rsid w:val="00057A18"/>
    <w:rsid w:val="0006031E"/>
    <w:rsid w:val="00061CC5"/>
    <w:rsid w:val="00063FB4"/>
    <w:rsid w:val="00064284"/>
    <w:rsid w:val="0006442A"/>
    <w:rsid w:val="0006485E"/>
    <w:rsid w:val="0006679C"/>
    <w:rsid w:val="00067BF6"/>
    <w:rsid w:val="00072107"/>
    <w:rsid w:val="0007411C"/>
    <w:rsid w:val="000750AD"/>
    <w:rsid w:val="00077BED"/>
    <w:rsid w:val="00083BB2"/>
    <w:rsid w:val="000859B7"/>
    <w:rsid w:val="000868D2"/>
    <w:rsid w:val="00087669"/>
    <w:rsid w:val="0009181A"/>
    <w:rsid w:val="00097517"/>
    <w:rsid w:val="000A4354"/>
    <w:rsid w:val="000A64D3"/>
    <w:rsid w:val="000B0884"/>
    <w:rsid w:val="000B2577"/>
    <w:rsid w:val="000B3C7B"/>
    <w:rsid w:val="000B7EA6"/>
    <w:rsid w:val="000C0640"/>
    <w:rsid w:val="000C11B5"/>
    <w:rsid w:val="000C45CE"/>
    <w:rsid w:val="000C5427"/>
    <w:rsid w:val="000D5409"/>
    <w:rsid w:val="000D738C"/>
    <w:rsid w:val="000D7723"/>
    <w:rsid w:val="000D7A56"/>
    <w:rsid w:val="000E1B60"/>
    <w:rsid w:val="000E3CC5"/>
    <w:rsid w:val="000E3F33"/>
    <w:rsid w:val="000E6FD6"/>
    <w:rsid w:val="000E7D6F"/>
    <w:rsid w:val="000F3992"/>
    <w:rsid w:val="001027B8"/>
    <w:rsid w:val="00102AD8"/>
    <w:rsid w:val="00102B25"/>
    <w:rsid w:val="00105944"/>
    <w:rsid w:val="00105E13"/>
    <w:rsid w:val="00110ADB"/>
    <w:rsid w:val="00112273"/>
    <w:rsid w:val="00117629"/>
    <w:rsid w:val="001231A9"/>
    <w:rsid w:val="00125BBC"/>
    <w:rsid w:val="00130B62"/>
    <w:rsid w:val="001314CD"/>
    <w:rsid w:val="001337D7"/>
    <w:rsid w:val="001410FC"/>
    <w:rsid w:val="00146194"/>
    <w:rsid w:val="00153ED4"/>
    <w:rsid w:val="001562D6"/>
    <w:rsid w:val="0016252A"/>
    <w:rsid w:val="001633EE"/>
    <w:rsid w:val="001715A5"/>
    <w:rsid w:val="00175E51"/>
    <w:rsid w:val="001823C5"/>
    <w:rsid w:val="00182D5C"/>
    <w:rsid w:val="0018367F"/>
    <w:rsid w:val="00187010"/>
    <w:rsid w:val="00187C2E"/>
    <w:rsid w:val="001905FF"/>
    <w:rsid w:val="00190F69"/>
    <w:rsid w:val="001A072F"/>
    <w:rsid w:val="001A1C99"/>
    <w:rsid w:val="001A772C"/>
    <w:rsid w:val="001B1899"/>
    <w:rsid w:val="001B5A7F"/>
    <w:rsid w:val="001B637B"/>
    <w:rsid w:val="001C5555"/>
    <w:rsid w:val="001D7244"/>
    <w:rsid w:val="001E0A66"/>
    <w:rsid w:val="001E11D7"/>
    <w:rsid w:val="001E553E"/>
    <w:rsid w:val="001E64CB"/>
    <w:rsid w:val="001F12B8"/>
    <w:rsid w:val="001F6D41"/>
    <w:rsid w:val="001F7BAF"/>
    <w:rsid w:val="00202C0C"/>
    <w:rsid w:val="00204A1E"/>
    <w:rsid w:val="002063CC"/>
    <w:rsid w:val="00206BD9"/>
    <w:rsid w:val="00206D45"/>
    <w:rsid w:val="0020753E"/>
    <w:rsid w:val="002108BA"/>
    <w:rsid w:val="00210C73"/>
    <w:rsid w:val="0021543A"/>
    <w:rsid w:val="00227653"/>
    <w:rsid w:val="00227BC0"/>
    <w:rsid w:val="00235409"/>
    <w:rsid w:val="00236EF2"/>
    <w:rsid w:val="002413D5"/>
    <w:rsid w:val="00242DCC"/>
    <w:rsid w:val="002462C6"/>
    <w:rsid w:val="00251FAA"/>
    <w:rsid w:val="002541E5"/>
    <w:rsid w:val="002568DD"/>
    <w:rsid w:val="002638C5"/>
    <w:rsid w:val="00263C01"/>
    <w:rsid w:val="0026627B"/>
    <w:rsid w:val="002674A6"/>
    <w:rsid w:val="00272E0D"/>
    <w:rsid w:val="00272F51"/>
    <w:rsid w:val="00273319"/>
    <w:rsid w:val="002737A0"/>
    <w:rsid w:val="00273B84"/>
    <w:rsid w:val="00273DEF"/>
    <w:rsid w:val="002743E7"/>
    <w:rsid w:val="002754A6"/>
    <w:rsid w:val="002774B1"/>
    <w:rsid w:val="00280746"/>
    <w:rsid w:val="002811EB"/>
    <w:rsid w:val="00281372"/>
    <w:rsid w:val="0028198C"/>
    <w:rsid w:val="00287050"/>
    <w:rsid w:val="00292E88"/>
    <w:rsid w:val="002958B1"/>
    <w:rsid w:val="0029639D"/>
    <w:rsid w:val="002969FF"/>
    <w:rsid w:val="0029718B"/>
    <w:rsid w:val="002A034E"/>
    <w:rsid w:val="002A31FC"/>
    <w:rsid w:val="002A4140"/>
    <w:rsid w:val="002A4E99"/>
    <w:rsid w:val="002B0EEF"/>
    <w:rsid w:val="002B14CB"/>
    <w:rsid w:val="002B1920"/>
    <w:rsid w:val="002B2EDC"/>
    <w:rsid w:val="002B3007"/>
    <w:rsid w:val="002B4EEB"/>
    <w:rsid w:val="002C0951"/>
    <w:rsid w:val="002C2373"/>
    <w:rsid w:val="002C3CEB"/>
    <w:rsid w:val="002C4425"/>
    <w:rsid w:val="002C5872"/>
    <w:rsid w:val="002D1BFC"/>
    <w:rsid w:val="002D2310"/>
    <w:rsid w:val="002D2484"/>
    <w:rsid w:val="002D27BC"/>
    <w:rsid w:val="002D3CAF"/>
    <w:rsid w:val="002D7C79"/>
    <w:rsid w:val="002E00BD"/>
    <w:rsid w:val="002E01EA"/>
    <w:rsid w:val="002E27A9"/>
    <w:rsid w:val="002E4136"/>
    <w:rsid w:val="002E624B"/>
    <w:rsid w:val="002E6C6B"/>
    <w:rsid w:val="002F2C45"/>
    <w:rsid w:val="002F3634"/>
    <w:rsid w:val="002F5BBD"/>
    <w:rsid w:val="003021B0"/>
    <w:rsid w:val="00306085"/>
    <w:rsid w:val="00313D28"/>
    <w:rsid w:val="0031482F"/>
    <w:rsid w:val="00314EB1"/>
    <w:rsid w:val="0031762F"/>
    <w:rsid w:val="00320774"/>
    <w:rsid w:val="00321325"/>
    <w:rsid w:val="00326458"/>
    <w:rsid w:val="00327757"/>
    <w:rsid w:val="00330C7C"/>
    <w:rsid w:val="003354C0"/>
    <w:rsid w:val="00335DDF"/>
    <w:rsid w:val="00336EB2"/>
    <w:rsid w:val="00337ADA"/>
    <w:rsid w:val="003453A2"/>
    <w:rsid w:val="003528DF"/>
    <w:rsid w:val="0036162C"/>
    <w:rsid w:val="00362DBE"/>
    <w:rsid w:val="00363192"/>
    <w:rsid w:val="00365D30"/>
    <w:rsid w:val="003768B4"/>
    <w:rsid w:val="00380DDC"/>
    <w:rsid w:val="00384D2D"/>
    <w:rsid w:val="00386571"/>
    <w:rsid w:val="0039545C"/>
    <w:rsid w:val="00396512"/>
    <w:rsid w:val="003A3053"/>
    <w:rsid w:val="003A4B57"/>
    <w:rsid w:val="003A5CAB"/>
    <w:rsid w:val="003A6E60"/>
    <w:rsid w:val="003B0734"/>
    <w:rsid w:val="003B146A"/>
    <w:rsid w:val="003B3EB2"/>
    <w:rsid w:val="003B74FD"/>
    <w:rsid w:val="003B79B8"/>
    <w:rsid w:val="003C0B7D"/>
    <w:rsid w:val="003C0BB2"/>
    <w:rsid w:val="003C3589"/>
    <w:rsid w:val="003C358B"/>
    <w:rsid w:val="003C5805"/>
    <w:rsid w:val="003C7EDA"/>
    <w:rsid w:val="003D066B"/>
    <w:rsid w:val="003D0A17"/>
    <w:rsid w:val="003E11E3"/>
    <w:rsid w:val="003E282F"/>
    <w:rsid w:val="003E42FE"/>
    <w:rsid w:val="003F4F10"/>
    <w:rsid w:val="003F55A5"/>
    <w:rsid w:val="004008ED"/>
    <w:rsid w:val="00401BBA"/>
    <w:rsid w:val="00402E22"/>
    <w:rsid w:val="0040345E"/>
    <w:rsid w:val="00403719"/>
    <w:rsid w:val="00403FFC"/>
    <w:rsid w:val="00407BEA"/>
    <w:rsid w:val="00410221"/>
    <w:rsid w:val="00411B4B"/>
    <w:rsid w:val="00413464"/>
    <w:rsid w:val="00414EF2"/>
    <w:rsid w:val="0041643A"/>
    <w:rsid w:val="004268BF"/>
    <w:rsid w:val="00436EE0"/>
    <w:rsid w:val="00437138"/>
    <w:rsid w:val="00440AD9"/>
    <w:rsid w:val="004417EA"/>
    <w:rsid w:val="00442103"/>
    <w:rsid w:val="00444CED"/>
    <w:rsid w:val="00445147"/>
    <w:rsid w:val="0044690A"/>
    <w:rsid w:val="00450442"/>
    <w:rsid w:val="004506C0"/>
    <w:rsid w:val="00452536"/>
    <w:rsid w:val="00470964"/>
    <w:rsid w:val="00474547"/>
    <w:rsid w:val="004760B1"/>
    <w:rsid w:val="004767E7"/>
    <w:rsid w:val="00477EF2"/>
    <w:rsid w:val="00481B27"/>
    <w:rsid w:val="00485FC1"/>
    <w:rsid w:val="00492EBE"/>
    <w:rsid w:val="00493449"/>
    <w:rsid w:val="004A27CA"/>
    <w:rsid w:val="004A31BE"/>
    <w:rsid w:val="004A5755"/>
    <w:rsid w:val="004A7A44"/>
    <w:rsid w:val="004B1C55"/>
    <w:rsid w:val="004B294C"/>
    <w:rsid w:val="004B45E3"/>
    <w:rsid w:val="004B4CC4"/>
    <w:rsid w:val="004B64B8"/>
    <w:rsid w:val="004C0A9F"/>
    <w:rsid w:val="004C43CB"/>
    <w:rsid w:val="004C7018"/>
    <w:rsid w:val="004D107A"/>
    <w:rsid w:val="004D5AF8"/>
    <w:rsid w:val="004D603B"/>
    <w:rsid w:val="004D713B"/>
    <w:rsid w:val="004E0625"/>
    <w:rsid w:val="004E6E89"/>
    <w:rsid w:val="004F4ADE"/>
    <w:rsid w:val="005001F3"/>
    <w:rsid w:val="00501FF7"/>
    <w:rsid w:val="005059D9"/>
    <w:rsid w:val="005118E6"/>
    <w:rsid w:val="0051732A"/>
    <w:rsid w:val="00525C51"/>
    <w:rsid w:val="00527F09"/>
    <w:rsid w:val="00531F68"/>
    <w:rsid w:val="00541A53"/>
    <w:rsid w:val="00543EA0"/>
    <w:rsid w:val="00545C48"/>
    <w:rsid w:val="00551864"/>
    <w:rsid w:val="0055419D"/>
    <w:rsid w:val="005550A6"/>
    <w:rsid w:val="005554B8"/>
    <w:rsid w:val="00555554"/>
    <w:rsid w:val="00561833"/>
    <w:rsid w:val="00562C7C"/>
    <w:rsid w:val="005634DA"/>
    <w:rsid w:val="0057079B"/>
    <w:rsid w:val="00571D38"/>
    <w:rsid w:val="00572301"/>
    <w:rsid w:val="005729D0"/>
    <w:rsid w:val="0057522D"/>
    <w:rsid w:val="0058539F"/>
    <w:rsid w:val="00593CD2"/>
    <w:rsid w:val="00593DDE"/>
    <w:rsid w:val="00594500"/>
    <w:rsid w:val="005948A9"/>
    <w:rsid w:val="00594F4B"/>
    <w:rsid w:val="00597ADC"/>
    <w:rsid w:val="005A1EA8"/>
    <w:rsid w:val="005A2D64"/>
    <w:rsid w:val="005A31DA"/>
    <w:rsid w:val="005A4BC5"/>
    <w:rsid w:val="005A51AD"/>
    <w:rsid w:val="005B33A2"/>
    <w:rsid w:val="005B4399"/>
    <w:rsid w:val="005B5069"/>
    <w:rsid w:val="005B730A"/>
    <w:rsid w:val="005C27AF"/>
    <w:rsid w:val="005C3CEA"/>
    <w:rsid w:val="005C43FA"/>
    <w:rsid w:val="005D019B"/>
    <w:rsid w:val="005D2968"/>
    <w:rsid w:val="005D3B5E"/>
    <w:rsid w:val="005D7625"/>
    <w:rsid w:val="005E1AEB"/>
    <w:rsid w:val="005E4949"/>
    <w:rsid w:val="005E72FA"/>
    <w:rsid w:val="005F0B5A"/>
    <w:rsid w:val="005F0FC6"/>
    <w:rsid w:val="005F492C"/>
    <w:rsid w:val="006065A0"/>
    <w:rsid w:val="00611ACC"/>
    <w:rsid w:val="00612E95"/>
    <w:rsid w:val="00617C42"/>
    <w:rsid w:val="0062300F"/>
    <w:rsid w:val="00624993"/>
    <w:rsid w:val="00627897"/>
    <w:rsid w:val="0063102A"/>
    <w:rsid w:val="006349AA"/>
    <w:rsid w:val="00635CAB"/>
    <w:rsid w:val="00644897"/>
    <w:rsid w:val="006449F1"/>
    <w:rsid w:val="006509FD"/>
    <w:rsid w:val="0065402C"/>
    <w:rsid w:val="00660F2F"/>
    <w:rsid w:val="00665B22"/>
    <w:rsid w:val="00666187"/>
    <w:rsid w:val="00673043"/>
    <w:rsid w:val="006743C1"/>
    <w:rsid w:val="00685F02"/>
    <w:rsid w:val="00692808"/>
    <w:rsid w:val="00692E98"/>
    <w:rsid w:val="0069390F"/>
    <w:rsid w:val="00695A7E"/>
    <w:rsid w:val="0069669C"/>
    <w:rsid w:val="006973BE"/>
    <w:rsid w:val="006A12B2"/>
    <w:rsid w:val="006B0921"/>
    <w:rsid w:val="006B0B98"/>
    <w:rsid w:val="006B1B3A"/>
    <w:rsid w:val="006B2D07"/>
    <w:rsid w:val="006B3FC7"/>
    <w:rsid w:val="006B4EEF"/>
    <w:rsid w:val="006B5468"/>
    <w:rsid w:val="006B76F4"/>
    <w:rsid w:val="006B7937"/>
    <w:rsid w:val="006C0519"/>
    <w:rsid w:val="006C0EC6"/>
    <w:rsid w:val="006C7AB2"/>
    <w:rsid w:val="006D0BDF"/>
    <w:rsid w:val="006D5313"/>
    <w:rsid w:val="006D5BCD"/>
    <w:rsid w:val="006D7E0E"/>
    <w:rsid w:val="006E11C9"/>
    <w:rsid w:val="006E3151"/>
    <w:rsid w:val="006E338F"/>
    <w:rsid w:val="006E5BF7"/>
    <w:rsid w:val="006F326B"/>
    <w:rsid w:val="006F5A1A"/>
    <w:rsid w:val="006F7FD9"/>
    <w:rsid w:val="00702994"/>
    <w:rsid w:val="007106EE"/>
    <w:rsid w:val="0071070C"/>
    <w:rsid w:val="0071236B"/>
    <w:rsid w:val="007129B7"/>
    <w:rsid w:val="0071529F"/>
    <w:rsid w:val="0071597C"/>
    <w:rsid w:val="007169FE"/>
    <w:rsid w:val="007223D8"/>
    <w:rsid w:val="007256E8"/>
    <w:rsid w:val="007306ED"/>
    <w:rsid w:val="007320F4"/>
    <w:rsid w:val="00732699"/>
    <w:rsid w:val="00735130"/>
    <w:rsid w:val="0073548C"/>
    <w:rsid w:val="00740055"/>
    <w:rsid w:val="00741AAA"/>
    <w:rsid w:val="00741BA0"/>
    <w:rsid w:val="00742408"/>
    <w:rsid w:val="00744C72"/>
    <w:rsid w:val="00756C57"/>
    <w:rsid w:val="00761E6F"/>
    <w:rsid w:val="00762763"/>
    <w:rsid w:val="007667FC"/>
    <w:rsid w:val="00770526"/>
    <w:rsid w:val="007775E9"/>
    <w:rsid w:val="0078054C"/>
    <w:rsid w:val="00780D30"/>
    <w:rsid w:val="00782A7B"/>
    <w:rsid w:val="00784964"/>
    <w:rsid w:val="00785C4D"/>
    <w:rsid w:val="00786427"/>
    <w:rsid w:val="00786798"/>
    <w:rsid w:val="00790049"/>
    <w:rsid w:val="00790C0D"/>
    <w:rsid w:val="00793CFF"/>
    <w:rsid w:val="00794605"/>
    <w:rsid w:val="0079562C"/>
    <w:rsid w:val="007A3B58"/>
    <w:rsid w:val="007A6259"/>
    <w:rsid w:val="007A72F6"/>
    <w:rsid w:val="007A733D"/>
    <w:rsid w:val="007A79A3"/>
    <w:rsid w:val="007B35EC"/>
    <w:rsid w:val="007C27E4"/>
    <w:rsid w:val="007C744B"/>
    <w:rsid w:val="007C7558"/>
    <w:rsid w:val="007D011B"/>
    <w:rsid w:val="007D128D"/>
    <w:rsid w:val="007D3A4E"/>
    <w:rsid w:val="007D4884"/>
    <w:rsid w:val="007D7AB9"/>
    <w:rsid w:val="007D7E86"/>
    <w:rsid w:val="007E1AD7"/>
    <w:rsid w:val="007E7558"/>
    <w:rsid w:val="007F0B1A"/>
    <w:rsid w:val="007F7D97"/>
    <w:rsid w:val="00801800"/>
    <w:rsid w:val="00803AD8"/>
    <w:rsid w:val="00804F84"/>
    <w:rsid w:val="00813731"/>
    <w:rsid w:val="0081412F"/>
    <w:rsid w:val="00815091"/>
    <w:rsid w:val="00817615"/>
    <w:rsid w:val="00820661"/>
    <w:rsid w:val="00820A0B"/>
    <w:rsid w:val="00821719"/>
    <w:rsid w:val="0082341A"/>
    <w:rsid w:val="00823CF0"/>
    <w:rsid w:val="008250CC"/>
    <w:rsid w:val="00826E14"/>
    <w:rsid w:val="00827AB2"/>
    <w:rsid w:val="00831457"/>
    <w:rsid w:val="00831AF2"/>
    <w:rsid w:val="00833E46"/>
    <w:rsid w:val="0083432D"/>
    <w:rsid w:val="00834B24"/>
    <w:rsid w:val="0084044C"/>
    <w:rsid w:val="0084187C"/>
    <w:rsid w:val="00843467"/>
    <w:rsid w:val="00843A40"/>
    <w:rsid w:val="00851A32"/>
    <w:rsid w:val="00853068"/>
    <w:rsid w:val="00853558"/>
    <w:rsid w:val="00860770"/>
    <w:rsid w:val="00862934"/>
    <w:rsid w:val="008633D2"/>
    <w:rsid w:val="00875C90"/>
    <w:rsid w:val="00875FC4"/>
    <w:rsid w:val="008776D4"/>
    <w:rsid w:val="00877A86"/>
    <w:rsid w:val="00881F14"/>
    <w:rsid w:val="008878C8"/>
    <w:rsid w:val="0089332C"/>
    <w:rsid w:val="008940E7"/>
    <w:rsid w:val="008A020D"/>
    <w:rsid w:val="008A0C3B"/>
    <w:rsid w:val="008A1108"/>
    <w:rsid w:val="008A23E2"/>
    <w:rsid w:val="008A3AA7"/>
    <w:rsid w:val="008A707C"/>
    <w:rsid w:val="008A7550"/>
    <w:rsid w:val="008B48A0"/>
    <w:rsid w:val="008B7D84"/>
    <w:rsid w:val="008C73DA"/>
    <w:rsid w:val="008C79DA"/>
    <w:rsid w:val="008C7D61"/>
    <w:rsid w:val="008D009D"/>
    <w:rsid w:val="008D4103"/>
    <w:rsid w:val="008D5534"/>
    <w:rsid w:val="008F2D97"/>
    <w:rsid w:val="008F3FB5"/>
    <w:rsid w:val="008F42B4"/>
    <w:rsid w:val="008F4AD6"/>
    <w:rsid w:val="008F683B"/>
    <w:rsid w:val="008F6EB2"/>
    <w:rsid w:val="008F7889"/>
    <w:rsid w:val="0090621B"/>
    <w:rsid w:val="00910736"/>
    <w:rsid w:val="00912108"/>
    <w:rsid w:val="0091305B"/>
    <w:rsid w:val="0091388F"/>
    <w:rsid w:val="0091398D"/>
    <w:rsid w:val="00913DB2"/>
    <w:rsid w:val="0092330E"/>
    <w:rsid w:val="00925823"/>
    <w:rsid w:val="009327CF"/>
    <w:rsid w:val="00936FC7"/>
    <w:rsid w:val="00941B3F"/>
    <w:rsid w:val="00943FB5"/>
    <w:rsid w:val="009444D0"/>
    <w:rsid w:val="0096313B"/>
    <w:rsid w:val="009634C2"/>
    <w:rsid w:val="0097062F"/>
    <w:rsid w:val="00970A0A"/>
    <w:rsid w:val="009717F4"/>
    <w:rsid w:val="00975AEF"/>
    <w:rsid w:val="009768D8"/>
    <w:rsid w:val="0098523B"/>
    <w:rsid w:val="00985B2F"/>
    <w:rsid w:val="00985D72"/>
    <w:rsid w:val="0098610A"/>
    <w:rsid w:val="00987EC6"/>
    <w:rsid w:val="0099745C"/>
    <w:rsid w:val="009A2CCC"/>
    <w:rsid w:val="009A4C12"/>
    <w:rsid w:val="009B1854"/>
    <w:rsid w:val="009B5E83"/>
    <w:rsid w:val="009C2287"/>
    <w:rsid w:val="009C2922"/>
    <w:rsid w:val="009C6BE9"/>
    <w:rsid w:val="009C7762"/>
    <w:rsid w:val="009D0202"/>
    <w:rsid w:val="009D1C28"/>
    <w:rsid w:val="009D29F8"/>
    <w:rsid w:val="009D5138"/>
    <w:rsid w:val="009D7990"/>
    <w:rsid w:val="009E624F"/>
    <w:rsid w:val="009F0C3B"/>
    <w:rsid w:val="009F1AA6"/>
    <w:rsid w:val="009F5C33"/>
    <w:rsid w:val="00A01508"/>
    <w:rsid w:val="00A044CA"/>
    <w:rsid w:val="00A04534"/>
    <w:rsid w:val="00A104F5"/>
    <w:rsid w:val="00A14CCF"/>
    <w:rsid w:val="00A15CE3"/>
    <w:rsid w:val="00A177DD"/>
    <w:rsid w:val="00A21FCD"/>
    <w:rsid w:val="00A25F7E"/>
    <w:rsid w:val="00A31790"/>
    <w:rsid w:val="00A4123B"/>
    <w:rsid w:val="00A41EE9"/>
    <w:rsid w:val="00A47C37"/>
    <w:rsid w:val="00A53304"/>
    <w:rsid w:val="00A53A4E"/>
    <w:rsid w:val="00A57A47"/>
    <w:rsid w:val="00A57F86"/>
    <w:rsid w:val="00A612C2"/>
    <w:rsid w:val="00A618FD"/>
    <w:rsid w:val="00A63CF3"/>
    <w:rsid w:val="00A64C34"/>
    <w:rsid w:val="00A6676F"/>
    <w:rsid w:val="00A722B5"/>
    <w:rsid w:val="00A76311"/>
    <w:rsid w:val="00A9268D"/>
    <w:rsid w:val="00A927DE"/>
    <w:rsid w:val="00A92F6B"/>
    <w:rsid w:val="00AA32A2"/>
    <w:rsid w:val="00AA54AA"/>
    <w:rsid w:val="00AB4424"/>
    <w:rsid w:val="00AB7F1F"/>
    <w:rsid w:val="00AC0F89"/>
    <w:rsid w:val="00AC291F"/>
    <w:rsid w:val="00AD5F7C"/>
    <w:rsid w:val="00AF2164"/>
    <w:rsid w:val="00AF37CA"/>
    <w:rsid w:val="00AF5C55"/>
    <w:rsid w:val="00B035F9"/>
    <w:rsid w:val="00B046B7"/>
    <w:rsid w:val="00B05261"/>
    <w:rsid w:val="00B172A0"/>
    <w:rsid w:val="00B205BA"/>
    <w:rsid w:val="00B21AD9"/>
    <w:rsid w:val="00B22AF7"/>
    <w:rsid w:val="00B23751"/>
    <w:rsid w:val="00B274D7"/>
    <w:rsid w:val="00B275F3"/>
    <w:rsid w:val="00B321A6"/>
    <w:rsid w:val="00B3333E"/>
    <w:rsid w:val="00B367F1"/>
    <w:rsid w:val="00B43B09"/>
    <w:rsid w:val="00B52DC9"/>
    <w:rsid w:val="00B537E4"/>
    <w:rsid w:val="00B54207"/>
    <w:rsid w:val="00B54282"/>
    <w:rsid w:val="00B5773A"/>
    <w:rsid w:val="00B57C49"/>
    <w:rsid w:val="00B60FD6"/>
    <w:rsid w:val="00B66DCA"/>
    <w:rsid w:val="00B705DF"/>
    <w:rsid w:val="00B715AF"/>
    <w:rsid w:val="00B7247D"/>
    <w:rsid w:val="00B82BEC"/>
    <w:rsid w:val="00B93252"/>
    <w:rsid w:val="00B94596"/>
    <w:rsid w:val="00B94720"/>
    <w:rsid w:val="00B94D5A"/>
    <w:rsid w:val="00B94FA9"/>
    <w:rsid w:val="00BA21FD"/>
    <w:rsid w:val="00BA42D7"/>
    <w:rsid w:val="00BA4555"/>
    <w:rsid w:val="00BA4BB1"/>
    <w:rsid w:val="00BA59E0"/>
    <w:rsid w:val="00BA6B60"/>
    <w:rsid w:val="00BA762D"/>
    <w:rsid w:val="00BB0169"/>
    <w:rsid w:val="00BC1D8D"/>
    <w:rsid w:val="00BC295C"/>
    <w:rsid w:val="00BD2470"/>
    <w:rsid w:val="00BE1045"/>
    <w:rsid w:val="00BF756F"/>
    <w:rsid w:val="00C03806"/>
    <w:rsid w:val="00C111C4"/>
    <w:rsid w:val="00C12155"/>
    <w:rsid w:val="00C1437A"/>
    <w:rsid w:val="00C17E53"/>
    <w:rsid w:val="00C200E0"/>
    <w:rsid w:val="00C206BB"/>
    <w:rsid w:val="00C26743"/>
    <w:rsid w:val="00C307C0"/>
    <w:rsid w:val="00C33D28"/>
    <w:rsid w:val="00C34213"/>
    <w:rsid w:val="00C43311"/>
    <w:rsid w:val="00C459CB"/>
    <w:rsid w:val="00C47C67"/>
    <w:rsid w:val="00C5381A"/>
    <w:rsid w:val="00C630D6"/>
    <w:rsid w:val="00C70A44"/>
    <w:rsid w:val="00C738AB"/>
    <w:rsid w:val="00C760DE"/>
    <w:rsid w:val="00C8064B"/>
    <w:rsid w:val="00C91DEF"/>
    <w:rsid w:val="00C9414F"/>
    <w:rsid w:val="00C95456"/>
    <w:rsid w:val="00CA0593"/>
    <w:rsid w:val="00CA1F05"/>
    <w:rsid w:val="00CA6A27"/>
    <w:rsid w:val="00CA713D"/>
    <w:rsid w:val="00CB3E41"/>
    <w:rsid w:val="00CC0C9B"/>
    <w:rsid w:val="00CC777D"/>
    <w:rsid w:val="00CC7D40"/>
    <w:rsid w:val="00CD2CD6"/>
    <w:rsid w:val="00CD31DA"/>
    <w:rsid w:val="00CE1435"/>
    <w:rsid w:val="00CE1722"/>
    <w:rsid w:val="00CE2139"/>
    <w:rsid w:val="00CE6DE3"/>
    <w:rsid w:val="00CE76EB"/>
    <w:rsid w:val="00CE7C38"/>
    <w:rsid w:val="00CF2703"/>
    <w:rsid w:val="00D00197"/>
    <w:rsid w:val="00D02198"/>
    <w:rsid w:val="00D026F0"/>
    <w:rsid w:val="00D043E1"/>
    <w:rsid w:val="00D075A9"/>
    <w:rsid w:val="00D1089D"/>
    <w:rsid w:val="00D14EAA"/>
    <w:rsid w:val="00D24111"/>
    <w:rsid w:val="00D342A0"/>
    <w:rsid w:val="00D34AED"/>
    <w:rsid w:val="00D41E05"/>
    <w:rsid w:val="00D42C81"/>
    <w:rsid w:val="00D5499D"/>
    <w:rsid w:val="00D62230"/>
    <w:rsid w:val="00D6228C"/>
    <w:rsid w:val="00D64695"/>
    <w:rsid w:val="00D6503E"/>
    <w:rsid w:val="00D65637"/>
    <w:rsid w:val="00D715D9"/>
    <w:rsid w:val="00D71ABA"/>
    <w:rsid w:val="00D71E50"/>
    <w:rsid w:val="00D72BFE"/>
    <w:rsid w:val="00D73CC4"/>
    <w:rsid w:val="00D7448A"/>
    <w:rsid w:val="00D74D08"/>
    <w:rsid w:val="00D76461"/>
    <w:rsid w:val="00D768DB"/>
    <w:rsid w:val="00D820A2"/>
    <w:rsid w:val="00D82977"/>
    <w:rsid w:val="00D82A0A"/>
    <w:rsid w:val="00D844EA"/>
    <w:rsid w:val="00D85154"/>
    <w:rsid w:val="00D85FFD"/>
    <w:rsid w:val="00D94458"/>
    <w:rsid w:val="00D9608B"/>
    <w:rsid w:val="00DA279B"/>
    <w:rsid w:val="00DA36C9"/>
    <w:rsid w:val="00DA6008"/>
    <w:rsid w:val="00DA639F"/>
    <w:rsid w:val="00DA7703"/>
    <w:rsid w:val="00DA7F58"/>
    <w:rsid w:val="00DB0CCE"/>
    <w:rsid w:val="00DB1084"/>
    <w:rsid w:val="00DB4C8E"/>
    <w:rsid w:val="00DC0341"/>
    <w:rsid w:val="00DC16D0"/>
    <w:rsid w:val="00DC6A55"/>
    <w:rsid w:val="00DC791E"/>
    <w:rsid w:val="00DD5EAB"/>
    <w:rsid w:val="00DE1D26"/>
    <w:rsid w:val="00DE3AE8"/>
    <w:rsid w:val="00DE55D1"/>
    <w:rsid w:val="00DE60EB"/>
    <w:rsid w:val="00DF2F12"/>
    <w:rsid w:val="00DF4A2A"/>
    <w:rsid w:val="00E0199A"/>
    <w:rsid w:val="00E149CB"/>
    <w:rsid w:val="00E14FD3"/>
    <w:rsid w:val="00E203DD"/>
    <w:rsid w:val="00E21875"/>
    <w:rsid w:val="00E25D86"/>
    <w:rsid w:val="00E25E56"/>
    <w:rsid w:val="00E33151"/>
    <w:rsid w:val="00E33D15"/>
    <w:rsid w:val="00E34E3D"/>
    <w:rsid w:val="00E35822"/>
    <w:rsid w:val="00E36290"/>
    <w:rsid w:val="00E363A3"/>
    <w:rsid w:val="00E37C30"/>
    <w:rsid w:val="00E41EE3"/>
    <w:rsid w:val="00E44A54"/>
    <w:rsid w:val="00E51B28"/>
    <w:rsid w:val="00E5323E"/>
    <w:rsid w:val="00E5534F"/>
    <w:rsid w:val="00E55B56"/>
    <w:rsid w:val="00E57187"/>
    <w:rsid w:val="00E57BDB"/>
    <w:rsid w:val="00E63687"/>
    <w:rsid w:val="00E641EE"/>
    <w:rsid w:val="00E65D14"/>
    <w:rsid w:val="00E67813"/>
    <w:rsid w:val="00E67C88"/>
    <w:rsid w:val="00E70B7C"/>
    <w:rsid w:val="00E73C5B"/>
    <w:rsid w:val="00E76886"/>
    <w:rsid w:val="00E83FAA"/>
    <w:rsid w:val="00E86B6B"/>
    <w:rsid w:val="00E87276"/>
    <w:rsid w:val="00E96160"/>
    <w:rsid w:val="00E96531"/>
    <w:rsid w:val="00EA0456"/>
    <w:rsid w:val="00EA12D9"/>
    <w:rsid w:val="00EA1418"/>
    <w:rsid w:val="00EA1707"/>
    <w:rsid w:val="00EA2940"/>
    <w:rsid w:val="00EA2FA9"/>
    <w:rsid w:val="00EB3C35"/>
    <w:rsid w:val="00EB3D6B"/>
    <w:rsid w:val="00EB69A5"/>
    <w:rsid w:val="00EB7320"/>
    <w:rsid w:val="00EB74F0"/>
    <w:rsid w:val="00EC2AA0"/>
    <w:rsid w:val="00EC3AC4"/>
    <w:rsid w:val="00EC4C29"/>
    <w:rsid w:val="00ED084B"/>
    <w:rsid w:val="00ED1474"/>
    <w:rsid w:val="00ED1743"/>
    <w:rsid w:val="00ED188F"/>
    <w:rsid w:val="00ED19B1"/>
    <w:rsid w:val="00EE206B"/>
    <w:rsid w:val="00EF550C"/>
    <w:rsid w:val="00EF691E"/>
    <w:rsid w:val="00F000FF"/>
    <w:rsid w:val="00F027F6"/>
    <w:rsid w:val="00F0428E"/>
    <w:rsid w:val="00F04777"/>
    <w:rsid w:val="00F10A24"/>
    <w:rsid w:val="00F11C7D"/>
    <w:rsid w:val="00F12049"/>
    <w:rsid w:val="00F132AD"/>
    <w:rsid w:val="00F13B49"/>
    <w:rsid w:val="00F157F1"/>
    <w:rsid w:val="00F15BFD"/>
    <w:rsid w:val="00F21897"/>
    <w:rsid w:val="00F266FF"/>
    <w:rsid w:val="00F276E3"/>
    <w:rsid w:val="00F30244"/>
    <w:rsid w:val="00F36072"/>
    <w:rsid w:val="00F37787"/>
    <w:rsid w:val="00F469D1"/>
    <w:rsid w:val="00F503E1"/>
    <w:rsid w:val="00F51C03"/>
    <w:rsid w:val="00F555C1"/>
    <w:rsid w:val="00F5613E"/>
    <w:rsid w:val="00F57BFE"/>
    <w:rsid w:val="00F609E4"/>
    <w:rsid w:val="00F623C5"/>
    <w:rsid w:val="00F63618"/>
    <w:rsid w:val="00F6490D"/>
    <w:rsid w:val="00F65D48"/>
    <w:rsid w:val="00F6704C"/>
    <w:rsid w:val="00F7027A"/>
    <w:rsid w:val="00F72C2F"/>
    <w:rsid w:val="00F77237"/>
    <w:rsid w:val="00F82821"/>
    <w:rsid w:val="00F8454A"/>
    <w:rsid w:val="00F87FC2"/>
    <w:rsid w:val="00F910DC"/>
    <w:rsid w:val="00F9183C"/>
    <w:rsid w:val="00F9269F"/>
    <w:rsid w:val="00F939A8"/>
    <w:rsid w:val="00F94054"/>
    <w:rsid w:val="00F942F0"/>
    <w:rsid w:val="00F95F2C"/>
    <w:rsid w:val="00F964F6"/>
    <w:rsid w:val="00FA34EE"/>
    <w:rsid w:val="00FA4A75"/>
    <w:rsid w:val="00FB0624"/>
    <w:rsid w:val="00FB0A36"/>
    <w:rsid w:val="00FB25A5"/>
    <w:rsid w:val="00FB7E47"/>
    <w:rsid w:val="00FC1DF8"/>
    <w:rsid w:val="00FC2ABB"/>
    <w:rsid w:val="00FC2B9A"/>
    <w:rsid w:val="00FC3B12"/>
    <w:rsid w:val="00FD1CFA"/>
    <w:rsid w:val="00FE5DA7"/>
    <w:rsid w:val="00FF2C38"/>
    <w:rsid w:val="00FF34EA"/>
    <w:rsid w:val="00FF3646"/>
    <w:rsid w:val="01084197"/>
    <w:rsid w:val="0117309E"/>
    <w:rsid w:val="012D261A"/>
    <w:rsid w:val="01452958"/>
    <w:rsid w:val="01475150"/>
    <w:rsid w:val="015E61BE"/>
    <w:rsid w:val="01686F6F"/>
    <w:rsid w:val="01745293"/>
    <w:rsid w:val="01753656"/>
    <w:rsid w:val="01772360"/>
    <w:rsid w:val="018D66CF"/>
    <w:rsid w:val="019E4548"/>
    <w:rsid w:val="019E7AC5"/>
    <w:rsid w:val="019F693D"/>
    <w:rsid w:val="01BE6D3A"/>
    <w:rsid w:val="01C707BA"/>
    <w:rsid w:val="01D07AED"/>
    <w:rsid w:val="01D42BED"/>
    <w:rsid w:val="01E213CF"/>
    <w:rsid w:val="01EC0334"/>
    <w:rsid w:val="01EC7B7E"/>
    <w:rsid w:val="01EE5314"/>
    <w:rsid w:val="01F22BFA"/>
    <w:rsid w:val="01F42499"/>
    <w:rsid w:val="01F55B29"/>
    <w:rsid w:val="020F603D"/>
    <w:rsid w:val="02144AE3"/>
    <w:rsid w:val="02186956"/>
    <w:rsid w:val="022F38BC"/>
    <w:rsid w:val="02504370"/>
    <w:rsid w:val="02536ADF"/>
    <w:rsid w:val="025D633B"/>
    <w:rsid w:val="02682DAB"/>
    <w:rsid w:val="026846B6"/>
    <w:rsid w:val="026B6EDB"/>
    <w:rsid w:val="02722851"/>
    <w:rsid w:val="027C650D"/>
    <w:rsid w:val="028028A5"/>
    <w:rsid w:val="028D1562"/>
    <w:rsid w:val="029057A7"/>
    <w:rsid w:val="02956606"/>
    <w:rsid w:val="029920EF"/>
    <w:rsid w:val="029F6D22"/>
    <w:rsid w:val="02AB77CB"/>
    <w:rsid w:val="02AC5185"/>
    <w:rsid w:val="02B5436B"/>
    <w:rsid w:val="02B84C3A"/>
    <w:rsid w:val="02C30E30"/>
    <w:rsid w:val="02C41CC8"/>
    <w:rsid w:val="02CC15A2"/>
    <w:rsid w:val="02CD0D19"/>
    <w:rsid w:val="02CD168E"/>
    <w:rsid w:val="02CF3F01"/>
    <w:rsid w:val="02D846D9"/>
    <w:rsid w:val="02E903CF"/>
    <w:rsid w:val="02ED550C"/>
    <w:rsid w:val="02F97858"/>
    <w:rsid w:val="02FB5EC2"/>
    <w:rsid w:val="030238F6"/>
    <w:rsid w:val="030D7AA2"/>
    <w:rsid w:val="03104277"/>
    <w:rsid w:val="03107203"/>
    <w:rsid w:val="032D29B2"/>
    <w:rsid w:val="03306706"/>
    <w:rsid w:val="033A02E3"/>
    <w:rsid w:val="034A476C"/>
    <w:rsid w:val="03547898"/>
    <w:rsid w:val="03570D22"/>
    <w:rsid w:val="036D5711"/>
    <w:rsid w:val="037709FA"/>
    <w:rsid w:val="03777545"/>
    <w:rsid w:val="038245D4"/>
    <w:rsid w:val="038308B9"/>
    <w:rsid w:val="038616FC"/>
    <w:rsid w:val="03867B5D"/>
    <w:rsid w:val="03930FF6"/>
    <w:rsid w:val="03BB01EA"/>
    <w:rsid w:val="03BC5466"/>
    <w:rsid w:val="03C167F6"/>
    <w:rsid w:val="03C374EE"/>
    <w:rsid w:val="03D60038"/>
    <w:rsid w:val="03D968D5"/>
    <w:rsid w:val="03DA2923"/>
    <w:rsid w:val="03E04B4E"/>
    <w:rsid w:val="03E94B2B"/>
    <w:rsid w:val="03EA7454"/>
    <w:rsid w:val="03F17FA2"/>
    <w:rsid w:val="03F50F43"/>
    <w:rsid w:val="03F76932"/>
    <w:rsid w:val="03FC0F2A"/>
    <w:rsid w:val="03FD7003"/>
    <w:rsid w:val="04007771"/>
    <w:rsid w:val="04084B27"/>
    <w:rsid w:val="040E1DB0"/>
    <w:rsid w:val="04125FF8"/>
    <w:rsid w:val="04130E3D"/>
    <w:rsid w:val="04150630"/>
    <w:rsid w:val="042D334D"/>
    <w:rsid w:val="042E1DD0"/>
    <w:rsid w:val="04352272"/>
    <w:rsid w:val="04405FCF"/>
    <w:rsid w:val="0446121B"/>
    <w:rsid w:val="04550F82"/>
    <w:rsid w:val="045521C0"/>
    <w:rsid w:val="045C74E5"/>
    <w:rsid w:val="04690E8B"/>
    <w:rsid w:val="046B30EC"/>
    <w:rsid w:val="04762157"/>
    <w:rsid w:val="048718B5"/>
    <w:rsid w:val="049527AD"/>
    <w:rsid w:val="049B4F14"/>
    <w:rsid w:val="04AC34FD"/>
    <w:rsid w:val="04AC58A1"/>
    <w:rsid w:val="04BC62AC"/>
    <w:rsid w:val="04BC6EB5"/>
    <w:rsid w:val="04C76B60"/>
    <w:rsid w:val="04CA52E5"/>
    <w:rsid w:val="04D36C10"/>
    <w:rsid w:val="04DA4910"/>
    <w:rsid w:val="04DB72F7"/>
    <w:rsid w:val="04DF1447"/>
    <w:rsid w:val="04E4202A"/>
    <w:rsid w:val="04EC325A"/>
    <w:rsid w:val="04F147A1"/>
    <w:rsid w:val="04F921A0"/>
    <w:rsid w:val="04F9376E"/>
    <w:rsid w:val="04FF037E"/>
    <w:rsid w:val="05045247"/>
    <w:rsid w:val="050464BB"/>
    <w:rsid w:val="05053034"/>
    <w:rsid w:val="05056666"/>
    <w:rsid w:val="05121E5F"/>
    <w:rsid w:val="05141CA5"/>
    <w:rsid w:val="051B0C1A"/>
    <w:rsid w:val="05290320"/>
    <w:rsid w:val="05361BA5"/>
    <w:rsid w:val="053723FC"/>
    <w:rsid w:val="05467D5B"/>
    <w:rsid w:val="054A7109"/>
    <w:rsid w:val="055647CB"/>
    <w:rsid w:val="05593C38"/>
    <w:rsid w:val="05684426"/>
    <w:rsid w:val="05703B88"/>
    <w:rsid w:val="05757FB4"/>
    <w:rsid w:val="05833666"/>
    <w:rsid w:val="05984BBD"/>
    <w:rsid w:val="059B6C3C"/>
    <w:rsid w:val="059D706D"/>
    <w:rsid w:val="05AD5213"/>
    <w:rsid w:val="05B73745"/>
    <w:rsid w:val="05C6234C"/>
    <w:rsid w:val="05E55609"/>
    <w:rsid w:val="05E64FD5"/>
    <w:rsid w:val="05E66FA3"/>
    <w:rsid w:val="05ED61D6"/>
    <w:rsid w:val="05FB53F8"/>
    <w:rsid w:val="060D7171"/>
    <w:rsid w:val="06193E4F"/>
    <w:rsid w:val="0624009C"/>
    <w:rsid w:val="06250A69"/>
    <w:rsid w:val="062B3310"/>
    <w:rsid w:val="06394D48"/>
    <w:rsid w:val="065841E9"/>
    <w:rsid w:val="065C6B5F"/>
    <w:rsid w:val="06631E86"/>
    <w:rsid w:val="066602BA"/>
    <w:rsid w:val="06660A06"/>
    <w:rsid w:val="0668223E"/>
    <w:rsid w:val="067C0E99"/>
    <w:rsid w:val="068855FF"/>
    <w:rsid w:val="068A2B52"/>
    <w:rsid w:val="068C0940"/>
    <w:rsid w:val="069C1735"/>
    <w:rsid w:val="06A51ADC"/>
    <w:rsid w:val="06A93B28"/>
    <w:rsid w:val="06AF5AD7"/>
    <w:rsid w:val="06B42CF7"/>
    <w:rsid w:val="06B7722B"/>
    <w:rsid w:val="06CA5982"/>
    <w:rsid w:val="06D36C13"/>
    <w:rsid w:val="06DA0E11"/>
    <w:rsid w:val="06DC4F8B"/>
    <w:rsid w:val="06DF5382"/>
    <w:rsid w:val="06FC4FA9"/>
    <w:rsid w:val="06FD6787"/>
    <w:rsid w:val="07133217"/>
    <w:rsid w:val="07254520"/>
    <w:rsid w:val="072B0EF9"/>
    <w:rsid w:val="07301E46"/>
    <w:rsid w:val="07330509"/>
    <w:rsid w:val="073B760B"/>
    <w:rsid w:val="07466D13"/>
    <w:rsid w:val="0749753B"/>
    <w:rsid w:val="07642A5E"/>
    <w:rsid w:val="07677481"/>
    <w:rsid w:val="0768077E"/>
    <w:rsid w:val="077F3F11"/>
    <w:rsid w:val="07805B22"/>
    <w:rsid w:val="078D0732"/>
    <w:rsid w:val="07947A8B"/>
    <w:rsid w:val="079718EC"/>
    <w:rsid w:val="07A62E0D"/>
    <w:rsid w:val="07AF3EB7"/>
    <w:rsid w:val="07B97CFB"/>
    <w:rsid w:val="07BA1616"/>
    <w:rsid w:val="07BA421B"/>
    <w:rsid w:val="07C152CC"/>
    <w:rsid w:val="07C87367"/>
    <w:rsid w:val="07CC6845"/>
    <w:rsid w:val="07E447CC"/>
    <w:rsid w:val="07FE005B"/>
    <w:rsid w:val="080E008F"/>
    <w:rsid w:val="08153CF5"/>
    <w:rsid w:val="08192B0F"/>
    <w:rsid w:val="081B034D"/>
    <w:rsid w:val="081B31C9"/>
    <w:rsid w:val="082A23CA"/>
    <w:rsid w:val="082F5839"/>
    <w:rsid w:val="08353242"/>
    <w:rsid w:val="084133DA"/>
    <w:rsid w:val="084C7661"/>
    <w:rsid w:val="08536820"/>
    <w:rsid w:val="08595B75"/>
    <w:rsid w:val="085A5FF7"/>
    <w:rsid w:val="085B152F"/>
    <w:rsid w:val="085C522E"/>
    <w:rsid w:val="085E1FAA"/>
    <w:rsid w:val="0860250C"/>
    <w:rsid w:val="0865658D"/>
    <w:rsid w:val="08847008"/>
    <w:rsid w:val="08B61D3D"/>
    <w:rsid w:val="08BC374C"/>
    <w:rsid w:val="08BE19D9"/>
    <w:rsid w:val="08C504A9"/>
    <w:rsid w:val="08CF49E4"/>
    <w:rsid w:val="08D069DC"/>
    <w:rsid w:val="08E17726"/>
    <w:rsid w:val="08F02E76"/>
    <w:rsid w:val="090812A4"/>
    <w:rsid w:val="09123895"/>
    <w:rsid w:val="092619F0"/>
    <w:rsid w:val="092F40C7"/>
    <w:rsid w:val="093D3026"/>
    <w:rsid w:val="09606357"/>
    <w:rsid w:val="096E0351"/>
    <w:rsid w:val="09763973"/>
    <w:rsid w:val="097840C1"/>
    <w:rsid w:val="09863C3D"/>
    <w:rsid w:val="098A1453"/>
    <w:rsid w:val="098C1CDA"/>
    <w:rsid w:val="099D2FDE"/>
    <w:rsid w:val="09AD38CD"/>
    <w:rsid w:val="09C046AB"/>
    <w:rsid w:val="09C247EA"/>
    <w:rsid w:val="09C255DF"/>
    <w:rsid w:val="09D13393"/>
    <w:rsid w:val="09D515C7"/>
    <w:rsid w:val="09F93262"/>
    <w:rsid w:val="09FF78F8"/>
    <w:rsid w:val="0A026F90"/>
    <w:rsid w:val="0A043A48"/>
    <w:rsid w:val="0A067FF1"/>
    <w:rsid w:val="0A1659CE"/>
    <w:rsid w:val="0A2166A1"/>
    <w:rsid w:val="0A2627DC"/>
    <w:rsid w:val="0A2B63EE"/>
    <w:rsid w:val="0A305805"/>
    <w:rsid w:val="0A3657E7"/>
    <w:rsid w:val="0A405895"/>
    <w:rsid w:val="0A4154E2"/>
    <w:rsid w:val="0A4D56E8"/>
    <w:rsid w:val="0A4F3E71"/>
    <w:rsid w:val="0A5446D8"/>
    <w:rsid w:val="0A5708A6"/>
    <w:rsid w:val="0A6D7362"/>
    <w:rsid w:val="0A735CE4"/>
    <w:rsid w:val="0A747794"/>
    <w:rsid w:val="0A7567AD"/>
    <w:rsid w:val="0A7E4B64"/>
    <w:rsid w:val="0A817EB9"/>
    <w:rsid w:val="0A896C4C"/>
    <w:rsid w:val="0A951C46"/>
    <w:rsid w:val="0A9B46A5"/>
    <w:rsid w:val="0AAC62F4"/>
    <w:rsid w:val="0AAD09DD"/>
    <w:rsid w:val="0AC7367C"/>
    <w:rsid w:val="0ACD5079"/>
    <w:rsid w:val="0AD65070"/>
    <w:rsid w:val="0AD87CE8"/>
    <w:rsid w:val="0AF16BAB"/>
    <w:rsid w:val="0AF738DB"/>
    <w:rsid w:val="0B0660C7"/>
    <w:rsid w:val="0B0A0096"/>
    <w:rsid w:val="0B0A6457"/>
    <w:rsid w:val="0B0C55A3"/>
    <w:rsid w:val="0B0F49A2"/>
    <w:rsid w:val="0B0F7EDB"/>
    <w:rsid w:val="0B1C2FCC"/>
    <w:rsid w:val="0B296264"/>
    <w:rsid w:val="0B296AE9"/>
    <w:rsid w:val="0B39041E"/>
    <w:rsid w:val="0B3A5A42"/>
    <w:rsid w:val="0B4B2AF6"/>
    <w:rsid w:val="0B4B540D"/>
    <w:rsid w:val="0B584CB8"/>
    <w:rsid w:val="0B593086"/>
    <w:rsid w:val="0B6047C6"/>
    <w:rsid w:val="0B6D2B42"/>
    <w:rsid w:val="0B754C0C"/>
    <w:rsid w:val="0B7A3AB1"/>
    <w:rsid w:val="0B7C5283"/>
    <w:rsid w:val="0B916A5A"/>
    <w:rsid w:val="0BA3687D"/>
    <w:rsid w:val="0BA47666"/>
    <w:rsid w:val="0BA95673"/>
    <w:rsid w:val="0BAD1674"/>
    <w:rsid w:val="0BBA749D"/>
    <w:rsid w:val="0BC722D4"/>
    <w:rsid w:val="0BD4678C"/>
    <w:rsid w:val="0BD611DA"/>
    <w:rsid w:val="0BE96F38"/>
    <w:rsid w:val="0BEC4B03"/>
    <w:rsid w:val="0BF72246"/>
    <w:rsid w:val="0C1D2702"/>
    <w:rsid w:val="0C254A87"/>
    <w:rsid w:val="0C2F7583"/>
    <w:rsid w:val="0C3118E9"/>
    <w:rsid w:val="0C324B53"/>
    <w:rsid w:val="0C361B93"/>
    <w:rsid w:val="0C394E78"/>
    <w:rsid w:val="0C471769"/>
    <w:rsid w:val="0C4C1B61"/>
    <w:rsid w:val="0C5F5E41"/>
    <w:rsid w:val="0C693EF2"/>
    <w:rsid w:val="0C7C7A7D"/>
    <w:rsid w:val="0C7D74EE"/>
    <w:rsid w:val="0C7F6CFD"/>
    <w:rsid w:val="0C8E3E83"/>
    <w:rsid w:val="0CB101B0"/>
    <w:rsid w:val="0CB116BF"/>
    <w:rsid w:val="0CB35EC1"/>
    <w:rsid w:val="0CCA5312"/>
    <w:rsid w:val="0CD07339"/>
    <w:rsid w:val="0CDE5DC9"/>
    <w:rsid w:val="0CE05748"/>
    <w:rsid w:val="0CE13CCF"/>
    <w:rsid w:val="0CEE7DE9"/>
    <w:rsid w:val="0CF01696"/>
    <w:rsid w:val="0CF06A71"/>
    <w:rsid w:val="0CF66F4D"/>
    <w:rsid w:val="0CF80C45"/>
    <w:rsid w:val="0CFC6CA7"/>
    <w:rsid w:val="0CFE477A"/>
    <w:rsid w:val="0D0A6872"/>
    <w:rsid w:val="0D1350BC"/>
    <w:rsid w:val="0D507DA4"/>
    <w:rsid w:val="0D5C3A4B"/>
    <w:rsid w:val="0D77391E"/>
    <w:rsid w:val="0D8C046C"/>
    <w:rsid w:val="0D8D6D6B"/>
    <w:rsid w:val="0D957AD2"/>
    <w:rsid w:val="0DA110D0"/>
    <w:rsid w:val="0DA9709F"/>
    <w:rsid w:val="0DAE399B"/>
    <w:rsid w:val="0DB85790"/>
    <w:rsid w:val="0DB901D4"/>
    <w:rsid w:val="0DC7755F"/>
    <w:rsid w:val="0DCD7113"/>
    <w:rsid w:val="0DD3683D"/>
    <w:rsid w:val="0DD92D90"/>
    <w:rsid w:val="0DDB4D5A"/>
    <w:rsid w:val="0DDB6449"/>
    <w:rsid w:val="0DEB52E6"/>
    <w:rsid w:val="0DFA43D9"/>
    <w:rsid w:val="0E0473B2"/>
    <w:rsid w:val="0E0F3AF9"/>
    <w:rsid w:val="0E162345"/>
    <w:rsid w:val="0E190AE8"/>
    <w:rsid w:val="0E202239"/>
    <w:rsid w:val="0E2D32AF"/>
    <w:rsid w:val="0E3101E4"/>
    <w:rsid w:val="0E3435A8"/>
    <w:rsid w:val="0E4615C5"/>
    <w:rsid w:val="0E7027BC"/>
    <w:rsid w:val="0E765B7C"/>
    <w:rsid w:val="0E7C049D"/>
    <w:rsid w:val="0E7C4A62"/>
    <w:rsid w:val="0E7D1E99"/>
    <w:rsid w:val="0E7E064D"/>
    <w:rsid w:val="0E91796C"/>
    <w:rsid w:val="0E921501"/>
    <w:rsid w:val="0EA97776"/>
    <w:rsid w:val="0EC37642"/>
    <w:rsid w:val="0EDF755B"/>
    <w:rsid w:val="0EE05ABC"/>
    <w:rsid w:val="0EF16A13"/>
    <w:rsid w:val="0EFE690E"/>
    <w:rsid w:val="0F0F6F38"/>
    <w:rsid w:val="0F124079"/>
    <w:rsid w:val="0F24087C"/>
    <w:rsid w:val="0F3A1B60"/>
    <w:rsid w:val="0F3B0FFA"/>
    <w:rsid w:val="0F3E6450"/>
    <w:rsid w:val="0F407018"/>
    <w:rsid w:val="0F4A2C82"/>
    <w:rsid w:val="0F4A3CBE"/>
    <w:rsid w:val="0F4B3DDC"/>
    <w:rsid w:val="0F51048A"/>
    <w:rsid w:val="0F555EBC"/>
    <w:rsid w:val="0F590D41"/>
    <w:rsid w:val="0F5A5953"/>
    <w:rsid w:val="0F5B2335"/>
    <w:rsid w:val="0F601C98"/>
    <w:rsid w:val="0F6D11E6"/>
    <w:rsid w:val="0F6D375F"/>
    <w:rsid w:val="0F6E3B65"/>
    <w:rsid w:val="0F7769D9"/>
    <w:rsid w:val="0F845B37"/>
    <w:rsid w:val="0F963BAA"/>
    <w:rsid w:val="0FA04BF1"/>
    <w:rsid w:val="0FB7564B"/>
    <w:rsid w:val="0FC307F7"/>
    <w:rsid w:val="0FC40B12"/>
    <w:rsid w:val="0FC576F1"/>
    <w:rsid w:val="0FD0104B"/>
    <w:rsid w:val="0FDA3BA1"/>
    <w:rsid w:val="0FE5101B"/>
    <w:rsid w:val="0FE91C90"/>
    <w:rsid w:val="0FF1779D"/>
    <w:rsid w:val="0FF5486F"/>
    <w:rsid w:val="0FF6766F"/>
    <w:rsid w:val="0FFD7C77"/>
    <w:rsid w:val="0FFE509B"/>
    <w:rsid w:val="100127F0"/>
    <w:rsid w:val="10075607"/>
    <w:rsid w:val="100A22E6"/>
    <w:rsid w:val="100E17E6"/>
    <w:rsid w:val="10102189"/>
    <w:rsid w:val="10164368"/>
    <w:rsid w:val="102313C5"/>
    <w:rsid w:val="102C4994"/>
    <w:rsid w:val="102F4320"/>
    <w:rsid w:val="104373F5"/>
    <w:rsid w:val="10584129"/>
    <w:rsid w:val="105A5F79"/>
    <w:rsid w:val="105B2906"/>
    <w:rsid w:val="10602AA2"/>
    <w:rsid w:val="106A390B"/>
    <w:rsid w:val="106D0DFA"/>
    <w:rsid w:val="106E32C0"/>
    <w:rsid w:val="10710C92"/>
    <w:rsid w:val="10785618"/>
    <w:rsid w:val="108864EC"/>
    <w:rsid w:val="10896282"/>
    <w:rsid w:val="10921A71"/>
    <w:rsid w:val="10981D4F"/>
    <w:rsid w:val="109D05F0"/>
    <w:rsid w:val="10A005DD"/>
    <w:rsid w:val="10A54BB1"/>
    <w:rsid w:val="10A93C08"/>
    <w:rsid w:val="10BD7331"/>
    <w:rsid w:val="10C6617C"/>
    <w:rsid w:val="10D36271"/>
    <w:rsid w:val="10DA59E2"/>
    <w:rsid w:val="10DA5A7C"/>
    <w:rsid w:val="10DB0E84"/>
    <w:rsid w:val="10F231A5"/>
    <w:rsid w:val="10F25464"/>
    <w:rsid w:val="10FA1E4B"/>
    <w:rsid w:val="10FA2768"/>
    <w:rsid w:val="10FC0E39"/>
    <w:rsid w:val="10FE6320"/>
    <w:rsid w:val="10FF0A2F"/>
    <w:rsid w:val="10FF1997"/>
    <w:rsid w:val="110B7566"/>
    <w:rsid w:val="110C2535"/>
    <w:rsid w:val="11126649"/>
    <w:rsid w:val="1113219F"/>
    <w:rsid w:val="11165970"/>
    <w:rsid w:val="1131702E"/>
    <w:rsid w:val="113B6793"/>
    <w:rsid w:val="11563F97"/>
    <w:rsid w:val="11592AF4"/>
    <w:rsid w:val="11595B57"/>
    <w:rsid w:val="115C5082"/>
    <w:rsid w:val="11650E32"/>
    <w:rsid w:val="11670C2D"/>
    <w:rsid w:val="116D799A"/>
    <w:rsid w:val="117E3504"/>
    <w:rsid w:val="118A0E4A"/>
    <w:rsid w:val="11970ADA"/>
    <w:rsid w:val="119B460C"/>
    <w:rsid w:val="119D3BB9"/>
    <w:rsid w:val="11A93BA9"/>
    <w:rsid w:val="11A950BD"/>
    <w:rsid w:val="11BD20B8"/>
    <w:rsid w:val="11BE69BB"/>
    <w:rsid w:val="11D73065"/>
    <w:rsid w:val="11DB00EE"/>
    <w:rsid w:val="11DC19BD"/>
    <w:rsid w:val="11DD6E0A"/>
    <w:rsid w:val="11DE2BBF"/>
    <w:rsid w:val="11E8664A"/>
    <w:rsid w:val="11F4235C"/>
    <w:rsid w:val="11F501DD"/>
    <w:rsid w:val="11F94855"/>
    <w:rsid w:val="12027692"/>
    <w:rsid w:val="12045503"/>
    <w:rsid w:val="120A5B7D"/>
    <w:rsid w:val="120F7E75"/>
    <w:rsid w:val="121851B1"/>
    <w:rsid w:val="121C3E1F"/>
    <w:rsid w:val="12286F52"/>
    <w:rsid w:val="122D5BA0"/>
    <w:rsid w:val="123F1F38"/>
    <w:rsid w:val="12435440"/>
    <w:rsid w:val="12522A2E"/>
    <w:rsid w:val="125D7BBD"/>
    <w:rsid w:val="126256F6"/>
    <w:rsid w:val="126D7587"/>
    <w:rsid w:val="12765034"/>
    <w:rsid w:val="12776191"/>
    <w:rsid w:val="127862A7"/>
    <w:rsid w:val="128709E8"/>
    <w:rsid w:val="128F54D4"/>
    <w:rsid w:val="12906F1A"/>
    <w:rsid w:val="12942061"/>
    <w:rsid w:val="1296747D"/>
    <w:rsid w:val="129770A4"/>
    <w:rsid w:val="12A33974"/>
    <w:rsid w:val="12B141B4"/>
    <w:rsid w:val="12B35891"/>
    <w:rsid w:val="12B444D4"/>
    <w:rsid w:val="12C76AFD"/>
    <w:rsid w:val="12D31AAB"/>
    <w:rsid w:val="12E5358B"/>
    <w:rsid w:val="12EC3DE0"/>
    <w:rsid w:val="12F60404"/>
    <w:rsid w:val="130270FB"/>
    <w:rsid w:val="130E41B6"/>
    <w:rsid w:val="1312190E"/>
    <w:rsid w:val="1314540C"/>
    <w:rsid w:val="13156859"/>
    <w:rsid w:val="131C33AA"/>
    <w:rsid w:val="131F31F6"/>
    <w:rsid w:val="132533E4"/>
    <w:rsid w:val="132F0858"/>
    <w:rsid w:val="13304DD2"/>
    <w:rsid w:val="13317FB8"/>
    <w:rsid w:val="13367302"/>
    <w:rsid w:val="1348220F"/>
    <w:rsid w:val="13491142"/>
    <w:rsid w:val="135064EC"/>
    <w:rsid w:val="1367226E"/>
    <w:rsid w:val="136F4E42"/>
    <w:rsid w:val="1390230B"/>
    <w:rsid w:val="13934E32"/>
    <w:rsid w:val="139E0F47"/>
    <w:rsid w:val="13A22600"/>
    <w:rsid w:val="13A356F8"/>
    <w:rsid w:val="13A365BF"/>
    <w:rsid w:val="13BE7A8D"/>
    <w:rsid w:val="13CB0FDF"/>
    <w:rsid w:val="13CE24FA"/>
    <w:rsid w:val="13DD528A"/>
    <w:rsid w:val="13E53552"/>
    <w:rsid w:val="13ED03FE"/>
    <w:rsid w:val="13F62618"/>
    <w:rsid w:val="13F80315"/>
    <w:rsid w:val="13F97E40"/>
    <w:rsid w:val="141738B8"/>
    <w:rsid w:val="141C6A91"/>
    <w:rsid w:val="141E0D79"/>
    <w:rsid w:val="142277AA"/>
    <w:rsid w:val="142669C3"/>
    <w:rsid w:val="143E3312"/>
    <w:rsid w:val="144801E7"/>
    <w:rsid w:val="144F5FC3"/>
    <w:rsid w:val="14503179"/>
    <w:rsid w:val="1453562D"/>
    <w:rsid w:val="14587D71"/>
    <w:rsid w:val="14594E96"/>
    <w:rsid w:val="145C0F90"/>
    <w:rsid w:val="1466352B"/>
    <w:rsid w:val="146C46D5"/>
    <w:rsid w:val="147441AA"/>
    <w:rsid w:val="14774EC2"/>
    <w:rsid w:val="147E306D"/>
    <w:rsid w:val="14813FE1"/>
    <w:rsid w:val="14AF4FFB"/>
    <w:rsid w:val="14B0580C"/>
    <w:rsid w:val="14B30F5F"/>
    <w:rsid w:val="14B87A09"/>
    <w:rsid w:val="14BE367D"/>
    <w:rsid w:val="14C00F9F"/>
    <w:rsid w:val="14C15CA1"/>
    <w:rsid w:val="14E27C4E"/>
    <w:rsid w:val="1506288A"/>
    <w:rsid w:val="15085C22"/>
    <w:rsid w:val="151141CF"/>
    <w:rsid w:val="152016DB"/>
    <w:rsid w:val="153171D2"/>
    <w:rsid w:val="15333F9E"/>
    <w:rsid w:val="15425D5F"/>
    <w:rsid w:val="154D5F52"/>
    <w:rsid w:val="154D6A8B"/>
    <w:rsid w:val="15513AEE"/>
    <w:rsid w:val="15594B6B"/>
    <w:rsid w:val="15703FCA"/>
    <w:rsid w:val="157B24FC"/>
    <w:rsid w:val="15821BD8"/>
    <w:rsid w:val="158E7358"/>
    <w:rsid w:val="15945853"/>
    <w:rsid w:val="1598015F"/>
    <w:rsid w:val="159D7413"/>
    <w:rsid w:val="159E06C6"/>
    <w:rsid w:val="15B61CF7"/>
    <w:rsid w:val="15CA3762"/>
    <w:rsid w:val="15D3462F"/>
    <w:rsid w:val="15D67B8F"/>
    <w:rsid w:val="15E25BC1"/>
    <w:rsid w:val="15E6386F"/>
    <w:rsid w:val="15EE58E9"/>
    <w:rsid w:val="15EE621C"/>
    <w:rsid w:val="15F43377"/>
    <w:rsid w:val="1608440E"/>
    <w:rsid w:val="160A23BE"/>
    <w:rsid w:val="160C0E7F"/>
    <w:rsid w:val="161A1FF0"/>
    <w:rsid w:val="161F5E31"/>
    <w:rsid w:val="162C3162"/>
    <w:rsid w:val="1641308F"/>
    <w:rsid w:val="164906B8"/>
    <w:rsid w:val="164B21F3"/>
    <w:rsid w:val="164D719B"/>
    <w:rsid w:val="165B77B0"/>
    <w:rsid w:val="166D7300"/>
    <w:rsid w:val="166E4D40"/>
    <w:rsid w:val="167161B4"/>
    <w:rsid w:val="16753FFC"/>
    <w:rsid w:val="168C25BE"/>
    <w:rsid w:val="16933589"/>
    <w:rsid w:val="16947825"/>
    <w:rsid w:val="16A47A96"/>
    <w:rsid w:val="16A56CFB"/>
    <w:rsid w:val="16B67346"/>
    <w:rsid w:val="16B73431"/>
    <w:rsid w:val="16C743AF"/>
    <w:rsid w:val="16D56FBB"/>
    <w:rsid w:val="16DD5089"/>
    <w:rsid w:val="16DD7024"/>
    <w:rsid w:val="16DE7DF3"/>
    <w:rsid w:val="1708145E"/>
    <w:rsid w:val="171B3EE5"/>
    <w:rsid w:val="171E1A2D"/>
    <w:rsid w:val="172240E2"/>
    <w:rsid w:val="172372F9"/>
    <w:rsid w:val="17256668"/>
    <w:rsid w:val="17312430"/>
    <w:rsid w:val="174100BC"/>
    <w:rsid w:val="1745761B"/>
    <w:rsid w:val="177B0A7F"/>
    <w:rsid w:val="178A2FE0"/>
    <w:rsid w:val="179773B1"/>
    <w:rsid w:val="179835BE"/>
    <w:rsid w:val="179874AE"/>
    <w:rsid w:val="17990087"/>
    <w:rsid w:val="17AE38E4"/>
    <w:rsid w:val="17B05558"/>
    <w:rsid w:val="17BA4F49"/>
    <w:rsid w:val="17BE0ABA"/>
    <w:rsid w:val="17CC3E17"/>
    <w:rsid w:val="17CC78E4"/>
    <w:rsid w:val="17CE3B17"/>
    <w:rsid w:val="17D023BA"/>
    <w:rsid w:val="17D24A47"/>
    <w:rsid w:val="17DF6B03"/>
    <w:rsid w:val="17F66A50"/>
    <w:rsid w:val="17F8348B"/>
    <w:rsid w:val="18045A44"/>
    <w:rsid w:val="1805023C"/>
    <w:rsid w:val="180B0F0A"/>
    <w:rsid w:val="1814643D"/>
    <w:rsid w:val="18153CE9"/>
    <w:rsid w:val="18172A6B"/>
    <w:rsid w:val="182A51BB"/>
    <w:rsid w:val="182B320F"/>
    <w:rsid w:val="18313654"/>
    <w:rsid w:val="18342C47"/>
    <w:rsid w:val="183A0B13"/>
    <w:rsid w:val="183E21B8"/>
    <w:rsid w:val="18470F52"/>
    <w:rsid w:val="18576A1A"/>
    <w:rsid w:val="18590A69"/>
    <w:rsid w:val="18602453"/>
    <w:rsid w:val="18661881"/>
    <w:rsid w:val="18745870"/>
    <w:rsid w:val="187520F0"/>
    <w:rsid w:val="18825541"/>
    <w:rsid w:val="188867CD"/>
    <w:rsid w:val="189200B4"/>
    <w:rsid w:val="18984057"/>
    <w:rsid w:val="189C045D"/>
    <w:rsid w:val="189D2A97"/>
    <w:rsid w:val="18AE3814"/>
    <w:rsid w:val="18B32920"/>
    <w:rsid w:val="18BE4CB3"/>
    <w:rsid w:val="18C506B7"/>
    <w:rsid w:val="18C74F0E"/>
    <w:rsid w:val="18DB34F0"/>
    <w:rsid w:val="18EE0D6C"/>
    <w:rsid w:val="18FE73C9"/>
    <w:rsid w:val="190612DC"/>
    <w:rsid w:val="19074E33"/>
    <w:rsid w:val="190800C8"/>
    <w:rsid w:val="190A5E82"/>
    <w:rsid w:val="191137F9"/>
    <w:rsid w:val="19240A86"/>
    <w:rsid w:val="192A7F89"/>
    <w:rsid w:val="193D16F5"/>
    <w:rsid w:val="19447979"/>
    <w:rsid w:val="19462BC9"/>
    <w:rsid w:val="194E3E69"/>
    <w:rsid w:val="195806AF"/>
    <w:rsid w:val="195E5313"/>
    <w:rsid w:val="195E75F0"/>
    <w:rsid w:val="1965381D"/>
    <w:rsid w:val="196B0F77"/>
    <w:rsid w:val="196C4DFA"/>
    <w:rsid w:val="19721942"/>
    <w:rsid w:val="197677D0"/>
    <w:rsid w:val="197E4669"/>
    <w:rsid w:val="19922F27"/>
    <w:rsid w:val="19A13112"/>
    <w:rsid w:val="19B60089"/>
    <w:rsid w:val="19BB1570"/>
    <w:rsid w:val="19C90B0A"/>
    <w:rsid w:val="19F040DE"/>
    <w:rsid w:val="19F4792E"/>
    <w:rsid w:val="1A092B4F"/>
    <w:rsid w:val="1A124234"/>
    <w:rsid w:val="1A167F2F"/>
    <w:rsid w:val="1A181DFA"/>
    <w:rsid w:val="1A1B6B97"/>
    <w:rsid w:val="1A3329C3"/>
    <w:rsid w:val="1A3F6D64"/>
    <w:rsid w:val="1A492710"/>
    <w:rsid w:val="1A5D09E3"/>
    <w:rsid w:val="1A5D26AD"/>
    <w:rsid w:val="1A6A7039"/>
    <w:rsid w:val="1A71704A"/>
    <w:rsid w:val="1A720F37"/>
    <w:rsid w:val="1A7F47B4"/>
    <w:rsid w:val="1A861BC0"/>
    <w:rsid w:val="1A872083"/>
    <w:rsid w:val="1A880ED1"/>
    <w:rsid w:val="1A9A6987"/>
    <w:rsid w:val="1AA232C9"/>
    <w:rsid w:val="1AA35F87"/>
    <w:rsid w:val="1AA97EDE"/>
    <w:rsid w:val="1AAB0666"/>
    <w:rsid w:val="1AB003CD"/>
    <w:rsid w:val="1AB7246B"/>
    <w:rsid w:val="1AB81E7E"/>
    <w:rsid w:val="1AC76155"/>
    <w:rsid w:val="1AC963E1"/>
    <w:rsid w:val="1ACB0001"/>
    <w:rsid w:val="1AD021CD"/>
    <w:rsid w:val="1ADD4250"/>
    <w:rsid w:val="1AF01F62"/>
    <w:rsid w:val="1AF745C6"/>
    <w:rsid w:val="1AFB093A"/>
    <w:rsid w:val="1AFB7849"/>
    <w:rsid w:val="1B19589E"/>
    <w:rsid w:val="1B196FE7"/>
    <w:rsid w:val="1B1D4C62"/>
    <w:rsid w:val="1B240EBD"/>
    <w:rsid w:val="1B2A2DDF"/>
    <w:rsid w:val="1B333BB6"/>
    <w:rsid w:val="1B3458FC"/>
    <w:rsid w:val="1B3C4A99"/>
    <w:rsid w:val="1B426EAE"/>
    <w:rsid w:val="1B4A1477"/>
    <w:rsid w:val="1B4F69E1"/>
    <w:rsid w:val="1B52056C"/>
    <w:rsid w:val="1B54483D"/>
    <w:rsid w:val="1B592F80"/>
    <w:rsid w:val="1B63268F"/>
    <w:rsid w:val="1B673F40"/>
    <w:rsid w:val="1B6C5BF1"/>
    <w:rsid w:val="1B6E624E"/>
    <w:rsid w:val="1B7075AD"/>
    <w:rsid w:val="1B71434C"/>
    <w:rsid w:val="1B7B60D5"/>
    <w:rsid w:val="1B840F54"/>
    <w:rsid w:val="1B8545FC"/>
    <w:rsid w:val="1B8E7092"/>
    <w:rsid w:val="1B9F07DF"/>
    <w:rsid w:val="1BA41F78"/>
    <w:rsid w:val="1BA7522D"/>
    <w:rsid w:val="1BAC1BEA"/>
    <w:rsid w:val="1BAF6938"/>
    <w:rsid w:val="1BB01C99"/>
    <w:rsid w:val="1BB41FD7"/>
    <w:rsid w:val="1BBE37D9"/>
    <w:rsid w:val="1BCD0CFA"/>
    <w:rsid w:val="1BCD6148"/>
    <w:rsid w:val="1BCF41AF"/>
    <w:rsid w:val="1BD714C9"/>
    <w:rsid w:val="1BDC2041"/>
    <w:rsid w:val="1BDE2378"/>
    <w:rsid w:val="1BEA2823"/>
    <w:rsid w:val="1BF90780"/>
    <w:rsid w:val="1BFE34F0"/>
    <w:rsid w:val="1C0360E9"/>
    <w:rsid w:val="1C122A6D"/>
    <w:rsid w:val="1C126E64"/>
    <w:rsid w:val="1C212D89"/>
    <w:rsid w:val="1C26719A"/>
    <w:rsid w:val="1C2F09D0"/>
    <w:rsid w:val="1C312CDA"/>
    <w:rsid w:val="1C32144F"/>
    <w:rsid w:val="1C3B2361"/>
    <w:rsid w:val="1C426090"/>
    <w:rsid w:val="1C4503F0"/>
    <w:rsid w:val="1C483E17"/>
    <w:rsid w:val="1C4848BB"/>
    <w:rsid w:val="1C4C75BF"/>
    <w:rsid w:val="1C511106"/>
    <w:rsid w:val="1C51254A"/>
    <w:rsid w:val="1C694E0B"/>
    <w:rsid w:val="1C732883"/>
    <w:rsid w:val="1C9C2037"/>
    <w:rsid w:val="1CA73C0B"/>
    <w:rsid w:val="1CAE1A70"/>
    <w:rsid w:val="1CAE4955"/>
    <w:rsid w:val="1CB567AC"/>
    <w:rsid w:val="1CBC31AC"/>
    <w:rsid w:val="1CC04B42"/>
    <w:rsid w:val="1CC104B8"/>
    <w:rsid w:val="1CC2343F"/>
    <w:rsid w:val="1CC81E3D"/>
    <w:rsid w:val="1CCA6522"/>
    <w:rsid w:val="1CCC19CF"/>
    <w:rsid w:val="1CD34306"/>
    <w:rsid w:val="1CD6194C"/>
    <w:rsid w:val="1CD70D27"/>
    <w:rsid w:val="1CD85703"/>
    <w:rsid w:val="1CE96514"/>
    <w:rsid w:val="1CEA05B1"/>
    <w:rsid w:val="1CEE3CAF"/>
    <w:rsid w:val="1CEF1541"/>
    <w:rsid w:val="1CF739A4"/>
    <w:rsid w:val="1CFC0513"/>
    <w:rsid w:val="1D1860CA"/>
    <w:rsid w:val="1D1A502B"/>
    <w:rsid w:val="1D230AFA"/>
    <w:rsid w:val="1D322E92"/>
    <w:rsid w:val="1D407E48"/>
    <w:rsid w:val="1D445B63"/>
    <w:rsid w:val="1D4F1B4D"/>
    <w:rsid w:val="1D597228"/>
    <w:rsid w:val="1D5E1A7F"/>
    <w:rsid w:val="1D61430B"/>
    <w:rsid w:val="1D643B0C"/>
    <w:rsid w:val="1D7174C6"/>
    <w:rsid w:val="1D7F199D"/>
    <w:rsid w:val="1D8312EA"/>
    <w:rsid w:val="1D853862"/>
    <w:rsid w:val="1D8D6DDB"/>
    <w:rsid w:val="1D8F204C"/>
    <w:rsid w:val="1D8F5F1E"/>
    <w:rsid w:val="1D982041"/>
    <w:rsid w:val="1D9F4E25"/>
    <w:rsid w:val="1DBD543B"/>
    <w:rsid w:val="1DCB4219"/>
    <w:rsid w:val="1DD75EC1"/>
    <w:rsid w:val="1DDF34C2"/>
    <w:rsid w:val="1DDF3D70"/>
    <w:rsid w:val="1DE518E9"/>
    <w:rsid w:val="1DE80E15"/>
    <w:rsid w:val="1DE81893"/>
    <w:rsid w:val="1DFC175E"/>
    <w:rsid w:val="1DFE06EB"/>
    <w:rsid w:val="1E0131F4"/>
    <w:rsid w:val="1E0659E3"/>
    <w:rsid w:val="1E070579"/>
    <w:rsid w:val="1E08472B"/>
    <w:rsid w:val="1E176523"/>
    <w:rsid w:val="1E1B4835"/>
    <w:rsid w:val="1E1F5566"/>
    <w:rsid w:val="1E262080"/>
    <w:rsid w:val="1E310ADB"/>
    <w:rsid w:val="1E3E28DA"/>
    <w:rsid w:val="1E45678B"/>
    <w:rsid w:val="1E4946EC"/>
    <w:rsid w:val="1E591384"/>
    <w:rsid w:val="1E5B2F6D"/>
    <w:rsid w:val="1E5D2E68"/>
    <w:rsid w:val="1E603C68"/>
    <w:rsid w:val="1E63617E"/>
    <w:rsid w:val="1E662264"/>
    <w:rsid w:val="1E6C4791"/>
    <w:rsid w:val="1E973ADD"/>
    <w:rsid w:val="1EA30E95"/>
    <w:rsid w:val="1EA33CC4"/>
    <w:rsid w:val="1EAA6341"/>
    <w:rsid w:val="1EAC23C9"/>
    <w:rsid w:val="1EB01251"/>
    <w:rsid w:val="1EC77BA6"/>
    <w:rsid w:val="1ECB3353"/>
    <w:rsid w:val="1ED0521A"/>
    <w:rsid w:val="1ED335C3"/>
    <w:rsid w:val="1EDE5495"/>
    <w:rsid w:val="1EE1191E"/>
    <w:rsid w:val="1EE12093"/>
    <w:rsid w:val="1EF75477"/>
    <w:rsid w:val="1F030B87"/>
    <w:rsid w:val="1F085F1F"/>
    <w:rsid w:val="1F097DF5"/>
    <w:rsid w:val="1F0A5541"/>
    <w:rsid w:val="1F0A5FFA"/>
    <w:rsid w:val="1F1B1398"/>
    <w:rsid w:val="1F1C1736"/>
    <w:rsid w:val="1F334B00"/>
    <w:rsid w:val="1F364113"/>
    <w:rsid w:val="1F474C4B"/>
    <w:rsid w:val="1F482311"/>
    <w:rsid w:val="1F4A6855"/>
    <w:rsid w:val="1F4E51CE"/>
    <w:rsid w:val="1F582F19"/>
    <w:rsid w:val="1F6B68CB"/>
    <w:rsid w:val="1F6C5276"/>
    <w:rsid w:val="1F6F4200"/>
    <w:rsid w:val="1F774A6F"/>
    <w:rsid w:val="1F79364E"/>
    <w:rsid w:val="1F93703E"/>
    <w:rsid w:val="1F9A6C26"/>
    <w:rsid w:val="1FA15400"/>
    <w:rsid w:val="1FA51506"/>
    <w:rsid w:val="1FC71056"/>
    <w:rsid w:val="1FCD5515"/>
    <w:rsid w:val="1FD941C1"/>
    <w:rsid w:val="1FDE7E49"/>
    <w:rsid w:val="1FE20B53"/>
    <w:rsid w:val="1FEF18E2"/>
    <w:rsid w:val="1FFB2D91"/>
    <w:rsid w:val="20071F29"/>
    <w:rsid w:val="200C0E39"/>
    <w:rsid w:val="200D43BC"/>
    <w:rsid w:val="20261508"/>
    <w:rsid w:val="202640C8"/>
    <w:rsid w:val="202853DD"/>
    <w:rsid w:val="202A1F87"/>
    <w:rsid w:val="20400FF0"/>
    <w:rsid w:val="20447C66"/>
    <w:rsid w:val="204D64F5"/>
    <w:rsid w:val="204F6941"/>
    <w:rsid w:val="20514289"/>
    <w:rsid w:val="205F2065"/>
    <w:rsid w:val="2064164A"/>
    <w:rsid w:val="20670587"/>
    <w:rsid w:val="20676665"/>
    <w:rsid w:val="206E3DD4"/>
    <w:rsid w:val="207417C9"/>
    <w:rsid w:val="20935F15"/>
    <w:rsid w:val="209C514E"/>
    <w:rsid w:val="209D7694"/>
    <w:rsid w:val="20A43877"/>
    <w:rsid w:val="20A938D4"/>
    <w:rsid w:val="20AF19DB"/>
    <w:rsid w:val="20B234B4"/>
    <w:rsid w:val="20B72B46"/>
    <w:rsid w:val="20C049B9"/>
    <w:rsid w:val="20C42992"/>
    <w:rsid w:val="20C804C8"/>
    <w:rsid w:val="20D9451A"/>
    <w:rsid w:val="20DC474B"/>
    <w:rsid w:val="20DF5F38"/>
    <w:rsid w:val="20FB22A9"/>
    <w:rsid w:val="20FC4114"/>
    <w:rsid w:val="21004017"/>
    <w:rsid w:val="21021873"/>
    <w:rsid w:val="21145E6C"/>
    <w:rsid w:val="21150191"/>
    <w:rsid w:val="21196EC3"/>
    <w:rsid w:val="211D5CBE"/>
    <w:rsid w:val="21294E94"/>
    <w:rsid w:val="213523C4"/>
    <w:rsid w:val="213817E3"/>
    <w:rsid w:val="214348C3"/>
    <w:rsid w:val="214D1C26"/>
    <w:rsid w:val="21526C76"/>
    <w:rsid w:val="215D0928"/>
    <w:rsid w:val="215F149C"/>
    <w:rsid w:val="216117B1"/>
    <w:rsid w:val="216B294B"/>
    <w:rsid w:val="21732CFA"/>
    <w:rsid w:val="21800683"/>
    <w:rsid w:val="218350CA"/>
    <w:rsid w:val="218778BC"/>
    <w:rsid w:val="219E6842"/>
    <w:rsid w:val="21A437B9"/>
    <w:rsid w:val="21B756A9"/>
    <w:rsid w:val="21BF5F6D"/>
    <w:rsid w:val="21C41EAD"/>
    <w:rsid w:val="21C86627"/>
    <w:rsid w:val="21D60281"/>
    <w:rsid w:val="21DC7A33"/>
    <w:rsid w:val="21ED1ABE"/>
    <w:rsid w:val="21F251A2"/>
    <w:rsid w:val="21F83746"/>
    <w:rsid w:val="220D1C2B"/>
    <w:rsid w:val="22146490"/>
    <w:rsid w:val="22156A3C"/>
    <w:rsid w:val="221B07AF"/>
    <w:rsid w:val="2232126C"/>
    <w:rsid w:val="22361B20"/>
    <w:rsid w:val="22496E75"/>
    <w:rsid w:val="22537FEF"/>
    <w:rsid w:val="22545A15"/>
    <w:rsid w:val="226939B7"/>
    <w:rsid w:val="22753491"/>
    <w:rsid w:val="22766B27"/>
    <w:rsid w:val="22843D36"/>
    <w:rsid w:val="2284564C"/>
    <w:rsid w:val="229408B9"/>
    <w:rsid w:val="229454D1"/>
    <w:rsid w:val="22B13FF8"/>
    <w:rsid w:val="22B40CDB"/>
    <w:rsid w:val="22B42273"/>
    <w:rsid w:val="22B53453"/>
    <w:rsid w:val="22BB448C"/>
    <w:rsid w:val="22C87812"/>
    <w:rsid w:val="22D06BA8"/>
    <w:rsid w:val="22D348D6"/>
    <w:rsid w:val="22DA664D"/>
    <w:rsid w:val="22E53B9E"/>
    <w:rsid w:val="22E6670D"/>
    <w:rsid w:val="22F6774F"/>
    <w:rsid w:val="22F77389"/>
    <w:rsid w:val="22F77BDE"/>
    <w:rsid w:val="22F84DE7"/>
    <w:rsid w:val="22FA357D"/>
    <w:rsid w:val="22FF2E6B"/>
    <w:rsid w:val="23005684"/>
    <w:rsid w:val="230215A1"/>
    <w:rsid w:val="230B6414"/>
    <w:rsid w:val="230D00AC"/>
    <w:rsid w:val="23162D0F"/>
    <w:rsid w:val="231D1835"/>
    <w:rsid w:val="23237080"/>
    <w:rsid w:val="232B3884"/>
    <w:rsid w:val="23390F5B"/>
    <w:rsid w:val="233F62F7"/>
    <w:rsid w:val="23476D90"/>
    <w:rsid w:val="23537A3B"/>
    <w:rsid w:val="23553E9E"/>
    <w:rsid w:val="235C1623"/>
    <w:rsid w:val="23616F0A"/>
    <w:rsid w:val="23686A73"/>
    <w:rsid w:val="237638C8"/>
    <w:rsid w:val="23853F8C"/>
    <w:rsid w:val="239B07BA"/>
    <w:rsid w:val="239D495A"/>
    <w:rsid w:val="239F090A"/>
    <w:rsid w:val="239F6A21"/>
    <w:rsid w:val="23A30160"/>
    <w:rsid w:val="23A47136"/>
    <w:rsid w:val="23A72307"/>
    <w:rsid w:val="23AB3341"/>
    <w:rsid w:val="23AD4D7A"/>
    <w:rsid w:val="23B0095A"/>
    <w:rsid w:val="23B6403B"/>
    <w:rsid w:val="23C63C59"/>
    <w:rsid w:val="23D56BAF"/>
    <w:rsid w:val="23D87B3B"/>
    <w:rsid w:val="23D94E32"/>
    <w:rsid w:val="23ED763E"/>
    <w:rsid w:val="23F4007A"/>
    <w:rsid w:val="23F948C0"/>
    <w:rsid w:val="24067AA9"/>
    <w:rsid w:val="24070542"/>
    <w:rsid w:val="24186F31"/>
    <w:rsid w:val="241A08EB"/>
    <w:rsid w:val="242728BB"/>
    <w:rsid w:val="242967E1"/>
    <w:rsid w:val="243C2479"/>
    <w:rsid w:val="243F0673"/>
    <w:rsid w:val="24457B55"/>
    <w:rsid w:val="24510C60"/>
    <w:rsid w:val="245E795F"/>
    <w:rsid w:val="24630617"/>
    <w:rsid w:val="24893D54"/>
    <w:rsid w:val="248D70F9"/>
    <w:rsid w:val="24906D99"/>
    <w:rsid w:val="24961867"/>
    <w:rsid w:val="24A22DB7"/>
    <w:rsid w:val="24A563F4"/>
    <w:rsid w:val="24AF2DA6"/>
    <w:rsid w:val="24B164DA"/>
    <w:rsid w:val="24B64F64"/>
    <w:rsid w:val="24B81C32"/>
    <w:rsid w:val="24CC1E3A"/>
    <w:rsid w:val="24D05FFE"/>
    <w:rsid w:val="24D361DA"/>
    <w:rsid w:val="24DB748E"/>
    <w:rsid w:val="24EA57DC"/>
    <w:rsid w:val="24EC448D"/>
    <w:rsid w:val="24ED773A"/>
    <w:rsid w:val="24FA4703"/>
    <w:rsid w:val="251A293E"/>
    <w:rsid w:val="251B65A2"/>
    <w:rsid w:val="25206888"/>
    <w:rsid w:val="252175DE"/>
    <w:rsid w:val="2531266F"/>
    <w:rsid w:val="253802B3"/>
    <w:rsid w:val="2546799C"/>
    <w:rsid w:val="254B6EC5"/>
    <w:rsid w:val="25577783"/>
    <w:rsid w:val="25626A63"/>
    <w:rsid w:val="25631690"/>
    <w:rsid w:val="25747686"/>
    <w:rsid w:val="257934CA"/>
    <w:rsid w:val="258203C2"/>
    <w:rsid w:val="25844875"/>
    <w:rsid w:val="258615AF"/>
    <w:rsid w:val="258B1D22"/>
    <w:rsid w:val="258D09E3"/>
    <w:rsid w:val="25916DC3"/>
    <w:rsid w:val="259170B2"/>
    <w:rsid w:val="259252E2"/>
    <w:rsid w:val="25951FC5"/>
    <w:rsid w:val="259C47D6"/>
    <w:rsid w:val="25BD70F2"/>
    <w:rsid w:val="25C67745"/>
    <w:rsid w:val="25D57559"/>
    <w:rsid w:val="25D973D8"/>
    <w:rsid w:val="25DC5BE0"/>
    <w:rsid w:val="25F10A46"/>
    <w:rsid w:val="25F26834"/>
    <w:rsid w:val="25FE45C1"/>
    <w:rsid w:val="2602422F"/>
    <w:rsid w:val="26030C96"/>
    <w:rsid w:val="260448F3"/>
    <w:rsid w:val="260C2976"/>
    <w:rsid w:val="261004FC"/>
    <w:rsid w:val="26185D96"/>
    <w:rsid w:val="26197922"/>
    <w:rsid w:val="261B77D0"/>
    <w:rsid w:val="261E0768"/>
    <w:rsid w:val="262407AA"/>
    <w:rsid w:val="262E3EC9"/>
    <w:rsid w:val="262F0287"/>
    <w:rsid w:val="26331A19"/>
    <w:rsid w:val="263B1E19"/>
    <w:rsid w:val="2643270C"/>
    <w:rsid w:val="26485CAE"/>
    <w:rsid w:val="26546268"/>
    <w:rsid w:val="2657345B"/>
    <w:rsid w:val="265A06E2"/>
    <w:rsid w:val="266C5C97"/>
    <w:rsid w:val="267244CA"/>
    <w:rsid w:val="267858CC"/>
    <w:rsid w:val="267D186E"/>
    <w:rsid w:val="26845368"/>
    <w:rsid w:val="268473FE"/>
    <w:rsid w:val="26964CF9"/>
    <w:rsid w:val="269B48B6"/>
    <w:rsid w:val="26A54AD9"/>
    <w:rsid w:val="26A728FD"/>
    <w:rsid w:val="26A91B9D"/>
    <w:rsid w:val="26B37314"/>
    <w:rsid w:val="26B83A90"/>
    <w:rsid w:val="26C43BC8"/>
    <w:rsid w:val="26DE6CFC"/>
    <w:rsid w:val="26E17B2A"/>
    <w:rsid w:val="26E256DE"/>
    <w:rsid w:val="26E70D11"/>
    <w:rsid w:val="26E8681F"/>
    <w:rsid w:val="271170EC"/>
    <w:rsid w:val="2712408B"/>
    <w:rsid w:val="272057B3"/>
    <w:rsid w:val="27237C43"/>
    <w:rsid w:val="272A0796"/>
    <w:rsid w:val="272C1AD0"/>
    <w:rsid w:val="274A2F01"/>
    <w:rsid w:val="27590447"/>
    <w:rsid w:val="275D4EFB"/>
    <w:rsid w:val="2764705A"/>
    <w:rsid w:val="27653DD6"/>
    <w:rsid w:val="276F5702"/>
    <w:rsid w:val="27753902"/>
    <w:rsid w:val="277D2234"/>
    <w:rsid w:val="278134C7"/>
    <w:rsid w:val="278F21EC"/>
    <w:rsid w:val="27B7073D"/>
    <w:rsid w:val="27C07792"/>
    <w:rsid w:val="27DE06F2"/>
    <w:rsid w:val="27EB2408"/>
    <w:rsid w:val="27ED755C"/>
    <w:rsid w:val="27EE6F0B"/>
    <w:rsid w:val="27EF3339"/>
    <w:rsid w:val="27FC27CF"/>
    <w:rsid w:val="280A7D92"/>
    <w:rsid w:val="2811623C"/>
    <w:rsid w:val="281B006E"/>
    <w:rsid w:val="2822667B"/>
    <w:rsid w:val="28227086"/>
    <w:rsid w:val="2823471E"/>
    <w:rsid w:val="2825145E"/>
    <w:rsid w:val="282D7645"/>
    <w:rsid w:val="282E0392"/>
    <w:rsid w:val="283A098D"/>
    <w:rsid w:val="283A1CD9"/>
    <w:rsid w:val="28490992"/>
    <w:rsid w:val="28507994"/>
    <w:rsid w:val="28554F14"/>
    <w:rsid w:val="28601DC3"/>
    <w:rsid w:val="286352E9"/>
    <w:rsid w:val="287E1436"/>
    <w:rsid w:val="287F4945"/>
    <w:rsid w:val="288468B2"/>
    <w:rsid w:val="288A11E0"/>
    <w:rsid w:val="288D120D"/>
    <w:rsid w:val="28991831"/>
    <w:rsid w:val="289D63A9"/>
    <w:rsid w:val="28A83E6F"/>
    <w:rsid w:val="28D139EA"/>
    <w:rsid w:val="28D46A1B"/>
    <w:rsid w:val="28EC566D"/>
    <w:rsid w:val="28F63EAF"/>
    <w:rsid w:val="28FA1964"/>
    <w:rsid w:val="29032A09"/>
    <w:rsid w:val="290E5E62"/>
    <w:rsid w:val="29162181"/>
    <w:rsid w:val="2916605A"/>
    <w:rsid w:val="29286BA7"/>
    <w:rsid w:val="292B6560"/>
    <w:rsid w:val="29336ED9"/>
    <w:rsid w:val="29352835"/>
    <w:rsid w:val="2943692C"/>
    <w:rsid w:val="294A38AE"/>
    <w:rsid w:val="294C07E6"/>
    <w:rsid w:val="294C6D57"/>
    <w:rsid w:val="295157CD"/>
    <w:rsid w:val="29583EA9"/>
    <w:rsid w:val="295C2DFA"/>
    <w:rsid w:val="29635758"/>
    <w:rsid w:val="296C1E29"/>
    <w:rsid w:val="29811133"/>
    <w:rsid w:val="29864F97"/>
    <w:rsid w:val="29891E41"/>
    <w:rsid w:val="29977E42"/>
    <w:rsid w:val="299D0C96"/>
    <w:rsid w:val="29A10116"/>
    <w:rsid w:val="29A47475"/>
    <w:rsid w:val="29A64CF2"/>
    <w:rsid w:val="29AA413C"/>
    <w:rsid w:val="29AE4476"/>
    <w:rsid w:val="29B64C00"/>
    <w:rsid w:val="29BA5399"/>
    <w:rsid w:val="29BE486B"/>
    <w:rsid w:val="29BE787F"/>
    <w:rsid w:val="29E03A2B"/>
    <w:rsid w:val="29E75E18"/>
    <w:rsid w:val="29F00F38"/>
    <w:rsid w:val="29F23E8A"/>
    <w:rsid w:val="29FF0686"/>
    <w:rsid w:val="2A0F30DB"/>
    <w:rsid w:val="2A204A5D"/>
    <w:rsid w:val="2A466204"/>
    <w:rsid w:val="2A4B4B52"/>
    <w:rsid w:val="2A5627B4"/>
    <w:rsid w:val="2A596B2B"/>
    <w:rsid w:val="2A65112B"/>
    <w:rsid w:val="2A6648D3"/>
    <w:rsid w:val="2A6C309B"/>
    <w:rsid w:val="2A6E133F"/>
    <w:rsid w:val="2A6E342E"/>
    <w:rsid w:val="2A6E7289"/>
    <w:rsid w:val="2A7F3D41"/>
    <w:rsid w:val="2A810EDC"/>
    <w:rsid w:val="2A822528"/>
    <w:rsid w:val="2A8D2FD1"/>
    <w:rsid w:val="2A930039"/>
    <w:rsid w:val="2A94543C"/>
    <w:rsid w:val="2AAE6836"/>
    <w:rsid w:val="2ACD5C75"/>
    <w:rsid w:val="2AD202C3"/>
    <w:rsid w:val="2AD43A65"/>
    <w:rsid w:val="2AE66E1D"/>
    <w:rsid w:val="2AE90EFD"/>
    <w:rsid w:val="2AE9299A"/>
    <w:rsid w:val="2AEB7D8E"/>
    <w:rsid w:val="2AED5986"/>
    <w:rsid w:val="2AF47510"/>
    <w:rsid w:val="2AF91248"/>
    <w:rsid w:val="2AFB7E6C"/>
    <w:rsid w:val="2AFD0DA8"/>
    <w:rsid w:val="2B010438"/>
    <w:rsid w:val="2B0D5607"/>
    <w:rsid w:val="2B154D9E"/>
    <w:rsid w:val="2B1D4690"/>
    <w:rsid w:val="2B1D5E23"/>
    <w:rsid w:val="2B337E29"/>
    <w:rsid w:val="2B344DB2"/>
    <w:rsid w:val="2B381079"/>
    <w:rsid w:val="2B464ADA"/>
    <w:rsid w:val="2B515C00"/>
    <w:rsid w:val="2B5565F8"/>
    <w:rsid w:val="2B57010A"/>
    <w:rsid w:val="2B66588B"/>
    <w:rsid w:val="2B6C0ACC"/>
    <w:rsid w:val="2B703976"/>
    <w:rsid w:val="2B7B4363"/>
    <w:rsid w:val="2B8527B4"/>
    <w:rsid w:val="2B887D1F"/>
    <w:rsid w:val="2B8A499D"/>
    <w:rsid w:val="2B8D145A"/>
    <w:rsid w:val="2B957F10"/>
    <w:rsid w:val="2BB83700"/>
    <w:rsid w:val="2BBA1768"/>
    <w:rsid w:val="2BD33E0E"/>
    <w:rsid w:val="2BE1203E"/>
    <w:rsid w:val="2BEC7A91"/>
    <w:rsid w:val="2BF113B6"/>
    <w:rsid w:val="2BF13B86"/>
    <w:rsid w:val="2BF22797"/>
    <w:rsid w:val="2BF74509"/>
    <w:rsid w:val="2BF76D15"/>
    <w:rsid w:val="2BFF2202"/>
    <w:rsid w:val="2C0C6B9F"/>
    <w:rsid w:val="2C105911"/>
    <w:rsid w:val="2C1C0B61"/>
    <w:rsid w:val="2C3023E2"/>
    <w:rsid w:val="2C3772B2"/>
    <w:rsid w:val="2C3F65DA"/>
    <w:rsid w:val="2C4C0528"/>
    <w:rsid w:val="2C5C0B81"/>
    <w:rsid w:val="2C5D3FCF"/>
    <w:rsid w:val="2C5E2524"/>
    <w:rsid w:val="2C665F6A"/>
    <w:rsid w:val="2C673C0A"/>
    <w:rsid w:val="2C6C2A0F"/>
    <w:rsid w:val="2C71599A"/>
    <w:rsid w:val="2C7543BB"/>
    <w:rsid w:val="2C993316"/>
    <w:rsid w:val="2CA10E58"/>
    <w:rsid w:val="2CA70356"/>
    <w:rsid w:val="2CA84182"/>
    <w:rsid w:val="2CAA34BF"/>
    <w:rsid w:val="2CB47D4C"/>
    <w:rsid w:val="2CB74410"/>
    <w:rsid w:val="2CC80E2B"/>
    <w:rsid w:val="2CCF0B76"/>
    <w:rsid w:val="2CD27ABA"/>
    <w:rsid w:val="2CE30553"/>
    <w:rsid w:val="2CE330B2"/>
    <w:rsid w:val="2CE46028"/>
    <w:rsid w:val="2CEC3322"/>
    <w:rsid w:val="2CEF0AF2"/>
    <w:rsid w:val="2CF21667"/>
    <w:rsid w:val="2CF229C5"/>
    <w:rsid w:val="2CF67AF0"/>
    <w:rsid w:val="2CFA5AB0"/>
    <w:rsid w:val="2CFB7CCC"/>
    <w:rsid w:val="2D022C3C"/>
    <w:rsid w:val="2D036117"/>
    <w:rsid w:val="2D0E24B9"/>
    <w:rsid w:val="2D1E123D"/>
    <w:rsid w:val="2D247D83"/>
    <w:rsid w:val="2D3D129F"/>
    <w:rsid w:val="2D401789"/>
    <w:rsid w:val="2D4B404E"/>
    <w:rsid w:val="2D4B6645"/>
    <w:rsid w:val="2D5776A8"/>
    <w:rsid w:val="2D657FFA"/>
    <w:rsid w:val="2D6A3144"/>
    <w:rsid w:val="2D6F1DC4"/>
    <w:rsid w:val="2D7230C4"/>
    <w:rsid w:val="2D744BB6"/>
    <w:rsid w:val="2D772469"/>
    <w:rsid w:val="2D7A7FCE"/>
    <w:rsid w:val="2D8A02EF"/>
    <w:rsid w:val="2D91405C"/>
    <w:rsid w:val="2D96425A"/>
    <w:rsid w:val="2D98669A"/>
    <w:rsid w:val="2D99009A"/>
    <w:rsid w:val="2D9C7BED"/>
    <w:rsid w:val="2DA0218A"/>
    <w:rsid w:val="2DB67F64"/>
    <w:rsid w:val="2DBE324A"/>
    <w:rsid w:val="2DC14ECD"/>
    <w:rsid w:val="2DCA6F7C"/>
    <w:rsid w:val="2DD5701F"/>
    <w:rsid w:val="2DEF3766"/>
    <w:rsid w:val="2DF8428B"/>
    <w:rsid w:val="2DF91CBF"/>
    <w:rsid w:val="2E0E3EB3"/>
    <w:rsid w:val="2E1164EF"/>
    <w:rsid w:val="2E197FEC"/>
    <w:rsid w:val="2E2532F0"/>
    <w:rsid w:val="2E280BD0"/>
    <w:rsid w:val="2E39671B"/>
    <w:rsid w:val="2E3F2CF9"/>
    <w:rsid w:val="2E470DC7"/>
    <w:rsid w:val="2E4E033E"/>
    <w:rsid w:val="2E5162F4"/>
    <w:rsid w:val="2E575727"/>
    <w:rsid w:val="2E70065E"/>
    <w:rsid w:val="2E794AB7"/>
    <w:rsid w:val="2E7D25B6"/>
    <w:rsid w:val="2E7E7A7D"/>
    <w:rsid w:val="2E800F19"/>
    <w:rsid w:val="2E850F69"/>
    <w:rsid w:val="2E866566"/>
    <w:rsid w:val="2E9131E0"/>
    <w:rsid w:val="2E985F5E"/>
    <w:rsid w:val="2E9E648A"/>
    <w:rsid w:val="2EA52BC7"/>
    <w:rsid w:val="2EAE56DE"/>
    <w:rsid w:val="2EB36DF7"/>
    <w:rsid w:val="2EB45EF6"/>
    <w:rsid w:val="2EB86245"/>
    <w:rsid w:val="2EB9577C"/>
    <w:rsid w:val="2EC16BD1"/>
    <w:rsid w:val="2ED17C75"/>
    <w:rsid w:val="2EDD4FD9"/>
    <w:rsid w:val="2EE2578D"/>
    <w:rsid w:val="2F0126D2"/>
    <w:rsid w:val="2F070DE3"/>
    <w:rsid w:val="2F08601D"/>
    <w:rsid w:val="2F0B3D1E"/>
    <w:rsid w:val="2F2F7B34"/>
    <w:rsid w:val="2F340C71"/>
    <w:rsid w:val="2F405BAE"/>
    <w:rsid w:val="2F4524DC"/>
    <w:rsid w:val="2F4E6646"/>
    <w:rsid w:val="2F543884"/>
    <w:rsid w:val="2F551796"/>
    <w:rsid w:val="2F5570FF"/>
    <w:rsid w:val="2F584220"/>
    <w:rsid w:val="2F5D35F5"/>
    <w:rsid w:val="2F60512D"/>
    <w:rsid w:val="2F607DB7"/>
    <w:rsid w:val="2F6D6BF8"/>
    <w:rsid w:val="2F72168C"/>
    <w:rsid w:val="2F7601E4"/>
    <w:rsid w:val="2F7C3A04"/>
    <w:rsid w:val="2F8D2B02"/>
    <w:rsid w:val="2F8F27B4"/>
    <w:rsid w:val="2F924BD9"/>
    <w:rsid w:val="2F97450E"/>
    <w:rsid w:val="2F995907"/>
    <w:rsid w:val="2FAC692E"/>
    <w:rsid w:val="2FB41C49"/>
    <w:rsid w:val="2FB46B0B"/>
    <w:rsid w:val="2FBB6209"/>
    <w:rsid w:val="2FBD7549"/>
    <w:rsid w:val="2FD3282C"/>
    <w:rsid w:val="2FDB1EFD"/>
    <w:rsid w:val="2FE60C42"/>
    <w:rsid w:val="2FEA7507"/>
    <w:rsid w:val="300A3688"/>
    <w:rsid w:val="30251EFB"/>
    <w:rsid w:val="302F0E94"/>
    <w:rsid w:val="30310D7B"/>
    <w:rsid w:val="30440704"/>
    <w:rsid w:val="305418AE"/>
    <w:rsid w:val="30563D95"/>
    <w:rsid w:val="30594410"/>
    <w:rsid w:val="305F743A"/>
    <w:rsid w:val="306929CC"/>
    <w:rsid w:val="306D6EE5"/>
    <w:rsid w:val="307E106A"/>
    <w:rsid w:val="308C5810"/>
    <w:rsid w:val="30A56FEA"/>
    <w:rsid w:val="30BD181E"/>
    <w:rsid w:val="30BE6186"/>
    <w:rsid w:val="30C02427"/>
    <w:rsid w:val="30C14C41"/>
    <w:rsid w:val="30CA6870"/>
    <w:rsid w:val="30D07FA5"/>
    <w:rsid w:val="30D43AB0"/>
    <w:rsid w:val="30DD22B9"/>
    <w:rsid w:val="30FA527E"/>
    <w:rsid w:val="30FD1A68"/>
    <w:rsid w:val="310A5A55"/>
    <w:rsid w:val="31123C14"/>
    <w:rsid w:val="311C2B48"/>
    <w:rsid w:val="31252C35"/>
    <w:rsid w:val="3129638A"/>
    <w:rsid w:val="31301EBA"/>
    <w:rsid w:val="31386DE5"/>
    <w:rsid w:val="313F57DB"/>
    <w:rsid w:val="314709A2"/>
    <w:rsid w:val="314D7F42"/>
    <w:rsid w:val="314E14FC"/>
    <w:rsid w:val="31500F0E"/>
    <w:rsid w:val="315B43E1"/>
    <w:rsid w:val="31643C06"/>
    <w:rsid w:val="31675898"/>
    <w:rsid w:val="31774DF6"/>
    <w:rsid w:val="318F632C"/>
    <w:rsid w:val="31934695"/>
    <w:rsid w:val="319B3DAF"/>
    <w:rsid w:val="31B454CF"/>
    <w:rsid w:val="31BD3300"/>
    <w:rsid w:val="31C93680"/>
    <w:rsid w:val="31CF300B"/>
    <w:rsid w:val="31EB660A"/>
    <w:rsid w:val="31EC1577"/>
    <w:rsid w:val="31EC490D"/>
    <w:rsid w:val="31F05B18"/>
    <w:rsid w:val="3205583D"/>
    <w:rsid w:val="320832BC"/>
    <w:rsid w:val="320A1A93"/>
    <w:rsid w:val="320F75A3"/>
    <w:rsid w:val="321D6DAB"/>
    <w:rsid w:val="322377B1"/>
    <w:rsid w:val="32274C4E"/>
    <w:rsid w:val="322A5DB5"/>
    <w:rsid w:val="322C2EFF"/>
    <w:rsid w:val="322E317A"/>
    <w:rsid w:val="323C7262"/>
    <w:rsid w:val="323E10BC"/>
    <w:rsid w:val="32473296"/>
    <w:rsid w:val="324A60A5"/>
    <w:rsid w:val="324D0776"/>
    <w:rsid w:val="324F78A0"/>
    <w:rsid w:val="32557CCE"/>
    <w:rsid w:val="325634BE"/>
    <w:rsid w:val="325A7DF1"/>
    <w:rsid w:val="325C7614"/>
    <w:rsid w:val="32693966"/>
    <w:rsid w:val="326D1E87"/>
    <w:rsid w:val="3277657B"/>
    <w:rsid w:val="32790035"/>
    <w:rsid w:val="327C53FA"/>
    <w:rsid w:val="327F24C9"/>
    <w:rsid w:val="32851613"/>
    <w:rsid w:val="328718AD"/>
    <w:rsid w:val="328F28D4"/>
    <w:rsid w:val="329118DC"/>
    <w:rsid w:val="32986089"/>
    <w:rsid w:val="329F57ED"/>
    <w:rsid w:val="32AB591B"/>
    <w:rsid w:val="32C031F8"/>
    <w:rsid w:val="32C21FFD"/>
    <w:rsid w:val="32D02A62"/>
    <w:rsid w:val="32D31743"/>
    <w:rsid w:val="32D560F7"/>
    <w:rsid w:val="32D63010"/>
    <w:rsid w:val="32D72F66"/>
    <w:rsid w:val="330E537E"/>
    <w:rsid w:val="331E51E5"/>
    <w:rsid w:val="33214651"/>
    <w:rsid w:val="332A02F7"/>
    <w:rsid w:val="332C05EA"/>
    <w:rsid w:val="3333375E"/>
    <w:rsid w:val="33433B96"/>
    <w:rsid w:val="33514078"/>
    <w:rsid w:val="33572496"/>
    <w:rsid w:val="33586B6E"/>
    <w:rsid w:val="335E5F5A"/>
    <w:rsid w:val="33612D51"/>
    <w:rsid w:val="33662976"/>
    <w:rsid w:val="33691E76"/>
    <w:rsid w:val="33754029"/>
    <w:rsid w:val="3378542B"/>
    <w:rsid w:val="33822C1F"/>
    <w:rsid w:val="33827CA7"/>
    <w:rsid w:val="338411A5"/>
    <w:rsid w:val="33857B93"/>
    <w:rsid w:val="33907D40"/>
    <w:rsid w:val="339300F3"/>
    <w:rsid w:val="33943B76"/>
    <w:rsid w:val="339A3AEE"/>
    <w:rsid w:val="339D5FA1"/>
    <w:rsid w:val="33AA4760"/>
    <w:rsid w:val="33AE182F"/>
    <w:rsid w:val="33AF4B9A"/>
    <w:rsid w:val="33B256F3"/>
    <w:rsid w:val="33B3581F"/>
    <w:rsid w:val="33B92F78"/>
    <w:rsid w:val="33B932BA"/>
    <w:rsid w:val="33CC7461"/>
    <w:rsid w:val="33D83B8B"/>
    <w:rsid w:val="33EC06B4"/>
    <w:rsid w:val="33ED3C3D"/>
    <w:rsid w:val="33F27F24"/>
    <w:rsid w:val="34130AF1"/>
    <w:rsid w:val="341B5B7B"/>
    <w:rsid w:val="341C5242"/>
    <w:rsid w:val="342267DE"/>
    <w:rsid w:val="342D5ABF"/>
    <w:rsid w:val="342F2172"/>
    <w:rsid w:val="3444745B"/>
    <w:rsid w:val="344872FD"/>
    <w:rsid w:val="34507E14"/>
    <w:rsid w:val="34536B9B"/>
    <w:rsid w:val="345E0DC0"/>
    <w:rsid w:val="346E6803"/>
    <w:rsid w:val="347501DB"/>
    <w:rsid w:val="347A1C25"/>
    <w:rsid w:val="34985E36"/>
    <w:rsid w:val="34B17724"/>
    <w:rsid w:val="34BD4FA8"/>
    <w:rsid w:val="34C75818"/>
    <w:rsid w:val="34C77A53"/>
    <w:rsid w:val="34D05065"/>
    <w:rsid w:val="34DA58F1"/>
    <w:rsid w:val="34E7393B"/>
    <w:rsid w:val="34E73DE4"/>
    <w:rsid w:val="34EF623E"/>
    <w:rsid w:val="34F067BB"/>
    <w:rsid w:val="34F57B8C"/>
    <w:rsid w:val="35031A96"/>
    <w:rsid w:val="351234C7"/>
    <w:rsid w:val="35123A27"/>
    <w:rsid w:val="351640DD"/>
    <w:rsid w:val="351C20DB"/>
    <w:rsid w:val="35285E3C"/>
    <w:rsid w:val="352A354C"/>
    <w:rsid w:val="352D236E"/>
    <w:rsid w:val="35380C17"/>
    <w:rsid w:val="3538403A"/>
    <w:rsid w:val="353A3212"/>
    <w:rsid w:val="35482A20"/>
    <w:rsid w:val="355359F9"/>
    <w:rsid w:val="355F58CC"/>
    <w:rsid w:val="355F6C7F"/>
    <w:rsid w:val="356D3073"/>
    <w:rsid w:val="356F4DC3"/>
    <w:rsid w:val="3571193A"/>
    <w:rsid w:val="357623E0"/>
    <w:rsid w:val="357E51C2"/>
    <w:rsid w:val="358E4002"/>
    <w:rsid w:val="35AE3166"/>
    <w:rsid w:val="35BC1C9F"/>
    <w:rsid w:val="35BE48D6"/>
    <w:rsid w:val="35D41704"/>
    <w:rsid w:val="35DC3BD1"/>
    <w:rsid w:val="35E1357E"/>
    <w:rsid w:val="35EB3AE4"/>
    <w:rsid w:val="35F0325A"/>
    <w:rsid w:val="35FE3258"/>
    <w:rsid w:val="35FF6379"/>
    <w:rsid w:val="36000857"/>
    <w:rsid w:val="36020210"/>
    <w:rsid w:val="36084024"/>
    <w:rsid w:val="3628667E"/>
    <w:rsid w:val="362C6AAD"/>
    <w:rsid w:val="36314C4F"/>
    <w:rsid w:val="36387B5A"/>
    <w:rsid w:val="363D56AF"/>
    <w:rsid w:val="3640219D"/>
    <w:rsid w:val="3643438D"/>
    <w:rsid w:val="364E7006"/>
    <w:rsid w:val="36657792"/>
    <w:rsid w:val="36680C3C"/>
    <w:rsid w:val="36736159"/>
    <w:rsid w:val="36770ECC"/>
    <w:rsid w:val="367E155B"/>
    <w:rsid w:val="36825D9F"/>
    <w:rsid w:val="36890874"/>
    <w:rsid w:val="36907D8F"/>
    <w:rsid w:val="369B62AB"/>
    <w:rsid w:val="369D3699"/>
    <w:rsid w:val="36A22655"/>
    <w:rsid w:val="36A40E5F"/>
    <w:rsid w:val="36B0105B"/>
    <w:rsid w:val="36B45631"/>
    <w:rsid w:val="36B46D78"/>
    <w:rsid w:val="36C45651"/>
    <w:rsid w:val="36EE5B9A"/>
    <w:rsid w:val="36FE738B"/>
    <w:rsid w:val="37006CAD"/>
    <w:rsid w:val="37170DD4"/>
    <w:rsid w:val="3719598B"/>
    <w:rsid w:val="371B0848"/>
    <w:rsid w:val="371E723F"/>
    <w:rsid w:val="372E04CB"/>
    <w:rsid w:val="372E32CC"/>
    <w:rsid w:val="372E3D8B"/>
    <w:rsid w:val="373A0652"/>
    <w:rsid w:val="374205A2"/>
    <w:rsid w:val="374A6376"/>
    <w:rsid w:val="37727A30"/>
    <w:rsid w:val="378214A9"/>
    <w:rsid w:val="37B16B05"/>
    <w:rsid w:val="37BB1E1B"/>
    <w:rsid w:val="37BB3029"/>
    <w:rsid w:val="37BD279F"/>
    <w:rsid w:val="37BF5618"/>
    <w:rsid w:val="37C02D12"/>
    <w:rsid w:val="37C42A0F"/>
    <w:rsid w:val="37D15247"/>
    <w:rsid w:val="37DF12D5"/>
    <w:rsid w:val="37E52378"/>
    <w:rsid w:val="37ED342E"/>
    <w:rsid w:val="37EF786B"/>
    <w:rsid w:val="38033900"/>
    <w:rsid w:val="380462BF"/>
    <w:rsid w:val="381B3A0B"/>
    <w:rsid w:val="382428B8"/>
    <w:rsid w:val="38291DBF"/>
    <w:rsid w:val="382A11F0"/>
    <w:rsid w:val="382B0567"/>
    <w:rsid w:val="38342F2F"/>
    <w:rsid w:val="383D2140"/>
    <w:rsid w:val="38414FD1"/>
    <w:rsid w:val="38440103"/>
    <w:rsid w:val="3845291F"/>
    <w:rsid w:val="384F0A75"/>
    <w:rsid w:val="38545D34"/>
    <w:rsid w:val="386F1110"/>
    <w:rsid w:val="3870726A"/>
    <w:rsid w:val="38777E08"/>
    <w:rsid w:val="38780AD1"/>
    <w:rsid w:val="387A76C0"/>
    <w:rsid w:val="387D5EAE"/>
    <w:rsid w:val="387E1F1E"/>
    <w:rsid w:val="387F1612"/>
    <w:rsid w:val="388A0125"/>
    <w:rsid w:val="388B4FB0"/>
    <w:rsid w:val="388F7C6C"/>
    <w:rsid w:val="38966E6E"/>
    <w:rsid w:val="38971440"/>
    <w:rsid w:val="38A30BF6"/>
    <w:rsid w:val="38A5249F"/>
    <w:rsid w:val="38A77C9D"/>
    <w:rsid w:val="38AB596E"/>
    <w:rsid w:val="38AD6C25"/>
    <w:rsid w:val="38B066B3"/>
    <w:rsid w:val="38B409E9"/>
    <w:rsid w:val="38B4796C"/>
    <w:rsid w:val="38B93DC5"/>
    <w:rsid w:val="38BA09E4"/>
    <w:rsid w:val="38C21CE2"/>
    <w:rsid w:val="38C82495"/>
    <w:rsid w:val="38C920FC"/>
    <w:rsid w:val="38D3529F"/>
    <w:rsid w:val="38D635AE"/>
    <w:rsid w:val="38D735C8"/>
    <w:rsid w:val="38E06FC9"/>
    <w:rsid w:val="38E72C65"/>
    <w:rsid w:val="38E928FC"/>
    <w:rsid w:val="38EB60DC"/>
    <w:rsid w:val="38ED5163"/>
    <w:rsid w:val="38F07A6F"/>
    <w:rsid w:val="38F76D91"/>
    <w:rsid w:val="38FF26CA"/>
    <w:rsid w:val="3905139F"/>
    <w:rsid w:val="39067643"/>
    <w:rsid w:val="390D08B3"/>
    <w:rsid w:val="391376BA"/>
    <w:rsid w:val="391D6DFC"/>
    <w:rsid w:val="392A7EC1"/>
    <w:rsid w:val="392B0BD1"/>
    <w:rsid w:val="392C4420"/>
    <w:rsid w:val="393026FD"/>
    <w:rsid w:val="3932732E"/>
    <w:rsid w:val="39363425"/>
    <w:rsid w:val="394F7926"/>
    <w:rsid w:val="395B57B8"/>
    <w:rsid w:val="396726D0"/>
    <w:rsid w:val="397611C6"/>
    <w:rsid w:val="3976419D"/>
    <w:rsid w:val="39794781"/>
    <w:rsid w:val="397E4449"/>
    <w:rsid w:val="39842FFF"/>
    <w:rsid w:val="398807F2"/>
    <w:rsid w:val="398D4138"/>
    <w:rsid w:val="399B1742"/>
    <w:rsid w:val="39A1116C"/>
    <w:rsid w:val="39AE0E3F"/>
    <w:rsid w:val="39C03C67"/>
    <w:rsid w:val="39CA7554"/>
    <w:rsid w:val="39CD7713"/>
    <w:rsid w:val="39CF2A3D"/>
    <w:rsid w:val="39D367E1"/>
    <w:rsid w:val="39D65AE1"/>
    <w:rsid w:val="39F37864"/>
    <w:rsid w:val="39F41501"/>
    <w:rsid w:val="3A073FB5"/>
    <w:rsid w:val="3A077AF3"/>
    <w:rsid w:val="3A1257B2"/>
    <w:rsid w:val="3A18167D"/>
    <w:rsid w:val="3A1E32FD"/>
    <w:rsid w:val="3A2D69F4"/>
    <w:rsid w:val="3A2E11FC"/>
    <w:rsid w:val="3A2E68EE"/>
    <w:rsid w:val="3A3C247C"/>
    <w:rsid w:val="3A61631D"/>
    <w:rsid w:val="3A650B0A"/>
    <w:rsid w:val="3A67016B"/>
    <w:rsid w:val="3A6C2C22"/>
    <w:rsid w:val="3A7D07E2"/>
    <w:rsid w:val="3A7F7E04"/>
    <w:rsid w:val="3A813104"/>
    <w:rsid w:val="3A995E8E"/>
    <w:rsid w:val="3AAD60EC"/>
    <w:rsid w:val="3AC56AF1"/>
    <w:rsid w:val="3ACE3CFF"/>
    <w:rsid w:val="3AD94FD8"/>
    <w:rsid w:val="3ADD0434"/>
    <w:rsid w:val="3AF82521"/>
    <w:rsid w:val="3AFF46A6"/>
    <w:rsid w:val="3B150EC5"/>
    <w:rsid w:val="3B2D65F8"/>
    <w:rsid w:val="3B2E0D9C"/>
    <w:rsid w:val="3B2E3A39"/>
    <w:rsid w:val="3B375740"/>
    <w:rsid w:val="3B3768B0"/>
    <w:rsid w:val="3B394576"/>
    <w:rsid w:val="3B402094"/>
    <w:rsid w:val="3B546F95"/>
    <w:rsid w:val="3B5570CB"/>
    <w:rsid w:val="3B583AA7"/>
    <w:rsid w:val="3B5D5506"/>
    <w:rsid w:val="3B7D1BD0"/>
    <w:rsid w:val="3B7D65F1"/>
    <w:rsid w:val="3B816C75"/>
    <w:rsid w:val="3B853A0C"/>
    <w:rsid w:val="3B915D61"/>
    <w:rsid w:val="3B9474D2"/>
    <w:rsid w:val="3B9C7522"/>
    <w:rsid w:val="3B9E519F"/>
    <w:rsid w:val="3BA2093C"/>
    <w:rsid w:val="3BA502A5"/>
    <w:rsid w:val="3BB5205E"/>
    <w:rsid w:val="3BB67EF7"/>
    <w:rsid w:val="3BBC10E0"/>
    <w:rsid w:val="3BC97C48"/>
    <w:rsid w:val="3BD7467E"/>
    <w:rsid w:val="3BDC0C1A"/>
    <w:rsid w:val="3BE52882"/>
    <w:rsid w:val="3BF01E3B"/>
    <w:rsid w:val="3BF3743B"/>
    <w:rsid w:val="3BF54F98"/>
    <w:rsid w:val="3C074DD4"/>
    <w:rsid w:val="3C084476"/>
    <w:rsid w:val="3C087302"/>
    <w:rsid w:val="3C1A56F3"/>
    <w:rsid w:val="3C2105D9"/>
    <w:rsid w:val="3C211E7E"/>
    <w:rsid w:val="3C213509"/>
    <w:rsid w:val="3C22130D"/>
    <w:rsid w:val="3C241EAD"/>
    <w:rsid w:val="3C265097"/>
    <w:rsid w:val="3C282678"/>
    <w:rsid w:val="3C521DBC"/>
    <w:rsid w:val="3C634F05"/>
    <w:rsid w:val="3C636500"/>
    <w:rsid w:val="3C6A4C5E"/>
    <w:rsid w:val="3C6B04CF"/>
    <w:rsid w:val="3C6D1A8D"/>
    <w:rsid w:val="3C6E2952"/>
    <w:rsid w:val="3C88335B"/>
    <w:rsid w:val="3C8A5FED"/>
    <w:rsid w:val="3C8E66B4"/>
    <w:rsid w:val="3C9451BE"/>
    <w:rsid w:val="3CAA0F57"/>
    <w:rsid w:val="3CAA5AD2"/>
    <w:rsid w:val="3CAF2545"/>
    <w:rsid w:val="3CB10B77"/>
    <w:rsid w:val="3CB236DB"/>
    <w:rsid w:val="3CB63358"/>
    <w:rsid w:val="3CB74B79"/>
    <w:rsid w:val="3CBD571D"/>
    <w:rsid w:val="3CDB7ACB"/>
    <w:rsid w:val="3CE56418"/>
    <w:rsid w:val="3CE63D0A"/>
    <w:rsid w:val="3CEA1EA9"/>
    <w:rsid w:val="3CFB4DB1"/>
    <w:rsid w:val="3D0C3E26"/>
    <w:rsid w:val="3D192BC6"/>
    <w:rsid w:val="3D236EE7"/>
    <w:rsid w:val="3D307E96"/>
    <w:rsid w:val="3D3C05AC"/>
    <w:rsid w:val="3D42041F"/>
    <w:rsid w:val="3D54720B"/>
    <w:rsid w:val="3D64423A"/>
    <w:rsid w:val="3D715281"/>
    <w:rsid w:val="3D9943B9"/>
    <w:rsid w:val="3D9F4405"/>
    <w:rsid w:val="3DA0020F"/>
    <w:rsid w:val="3DA60178"/>
    <w:rsid w:val="3DAA631C"/>
    <w:rsid w:val="3DB73414"/>
    <w:rsid w:val="3DCE416C"/>
    <w:rsid w:val="3DCE507D"/>
    <w:rsid w:val="3DE26418"/>
    <w:rsid w:val="3DE7390D"/>
    <w:rsid w:val="3DF838C9"/>
    <w:rsid w:val="3E0175D4"/>
    <w:rsid w:val="3E0311C5"/>
    <w:rsid w:val="3E083784"/>
    <w:rsid w:val="3E117F2A"/>
    <w:rsid w:val="3E201067"/>
    <w:rsid w:val="3E24396C"/>
    <w:rsid w:val="3E3140FC"/>
    <w:rsid w:val="3E376E96"/>
    <w:rsid w:val="3E3E0757"/>
    <w:rsid w:val="3E484F09"/>
    <w:rsid w:val="3E497FB1"/>
    <w:rsid w:val="3E4F5A43"/>
    <w:rsid w:val="3E527305"/>
    <w:rsid w:val="3E527CB0"/>
    <w:rsid w:val="3E530817"/>
    <w:rsid w:val="3E536B2F"/>
    <w:rsid w:val="3E547490"/>
    <w:rsid w:val="3E554E5F"/>
    <w:rsid w:val="3E561B60"/>
    <w:rsid w:val="3E5B2140"/>
    <w:rsid w:val="3E691056"/>
    <w:rsid w:val="3E777018"/>
    <w:rsid w:val="3E7A2CFB"/>
    <w:rsid w:val="3E8B3523"/>
    <w:rsid w:val="3E901A9C"/>
    <w:rsid w:val="3E93488F"/>
    <w:rsid w:val="3E970D00"/>
    <w:rsid w:val="3E9A5F77"/>
    <w:rsid w:val="3E9C3F6D"/>
    <w:rsid w:val="3E9D6532"/>
    <w:rsid w:val="3E9F4386"/>
    <w:rsid w:val="3EAC222F"/>
    <w:rsid w:val="3EAD7757"/>
    <w:rsid w:val="3EB93FF2"/>
    <w:rsid w:val="3ED731F7"/>
    <w:rsid w:val="3EDF26A7"/>
    <w:rsid w:val="3EE82C3E"/>
    <w:rsid w:val="3EEC6CA2"/>
    <w:rsid w:val="3EF24863"/>
    <w:rsid w:val="3EFA4753"/>
    <w:rsid w:val="3EFF4C5A"/>
    <w:rsid w:val="3F001EF7"/>
    <w:rsid w:val="3F0F0DCE"/>
    <w:rsid w:val="3F16259C"/>
    <w:rsid w:val="3F2B2379"/>
    <w:rsid w:val="3F2F11BE"/>
    <w:rsid w:val="3F326276"/>
    <w:rsid w:val="3F354282"/>
    <w:rsid w:val="3F377AB7"/>
    <w:rsid w:val="3F4E1D35"/>
    <w:rsid w:val="3F4E7690"/>
    <w:rsid w:val="3F5D3F49"/>
    <w:rsid w:val="3F774906"/>
    <w:rsid w:val="3F872C68"/>
    <w:rsid w:val="3FA32F2E"/>
    <w:rsid w:val="3FA45CBB"/>
    <w:rsid w:val="3FAA0C77"/>
    <w:rsid w:val="3FAD3EBD"/>
    <w:rsid w:val="3FB85D73"/>
    <w:rsid w:val="3FC13365"/>
    <w:rsid w:val="3FCB4E15"/>
    <w:rsid w:val="3FD336E4"/>
    <w:rsid w:val="3FD65A6C"/>
    <w:rsid w:val="3FD676B7"/>
    <w:rsid w:val="3FD7330F"/>
    <w:rsid w:val="3FD80546"/>
    <w:rsid w:val="3FEA7674"/>
    <w:rsid w:val="3FF76E4E"/>
    <w:rsid w:val="40000BFA"/>
    <w:rsid w:val="40032044"/>
    <w:rsid w:val="40105776"/>
    <w:rsid w:val="4015065A"/>
    <w:rsid w:val="40297D00"/>
    <w:rsid w:val="403E62C3"/>
    <w:rsid w:val="403E6550"/>
    <w:rsid w:val="404313C6"/>
    <w:rsid w:val="40447D28"/>
    <w:rsid w:val="404B331A"/>
    <w:rsid w:val="405220F5"/>
    <w:rsid w:val="40607B93"/>
    <w:rsid w:val="406763B6"/>
    <w:rsid w:val="406C4708"/>
    <w:rsid w:val="406C74F7"/>
    <w:rsid w:val="408B6916"/>
    <w:rsid w:val="40957B24"/>
    <w:rsid w:val="4099500B"/>
    <w:rsid w:val="40B42663"/>
    <w:rsid w:val="40BC3347"/>
    <w:rsid w:val="40DD68D5"/>
    <w:rsid w:val="40E60F7C"/>
    <w:rsid w:val="40F1525E"/>
    <w:rsid w:val="40F17225"/>
    <w:rsid w:val="40F266FF"/>
    <w:rsid w:val="40F9244B"/>
    <w:rsid w:val="41094BBA"/>
    <w:rsid w:val="4114282D"/>
    <w:rsid w:val="411C659B"/>
    <w:rsid w:val="411E7E93"/>
    <w:rsid w:val="41212E0D"/>
    <w:rsid w:val="41266DCF"/>
    <w:rsid w:val="414B525D"/>
    <w:rsid w:val="415F0A06"/>
    <w:rsid w:val="415F249F"/>
    <w:rsid w:val="415F4D36"/>
    <w:rsid w:val="41632A34"/>
    <w:rsid w:val="416F1154"/>
    <w:rsid w:val="417151F2"/>
    <w:rsid w:val="41855F93"/>
    <w:rsid w:val="418F79F6"/>
    <w:rsid w:val="419C0315"/>
    <w:rsid w:val="41A0543E"/>
    <w:rsid w:val="41A53458"/>
    <w:rsid w:val="41A73FB3"/>
    <w:rsid w:val="41AE77C8"/>
    <w:rsid w:val="41B22B81"/>
    <w:rsid w:val="41B702D8"/>
    <w:rsid w:val="41C9151C"/>
    <w:rsid w:val="41DC65D7"/>
    <w:rsid w:val="41E07957"/>
    <w:rsid w:val="41E71AF9"/>
    <w:rsid w:val="42003777"/>
    <w:rsid w:val="42040D14"/>
    <w:rsid w:val="42125178"/>
    <w:rsid w:val="422D016A"/>
    <w:rsid w:val="42323B82"/>
    <w:rsid w:val="423E12C2"/>
    <w:rsid w:val="42531AE5"/>
    <w:rsid w:val="425B506B"/>
    <w:rsid w:val="426F5106"/>
    <w:rsid w:val="4272747C"/>
    <w:rsid w:val="427A22D5"/>
    <w:rsid w:val="42826FDE"/>
    <w:rsid w:val="428528FC"/>
    <w:rsid w:val="42860331"/>
    <w:rsid w:val="42873ED2"/>
    <w:rsid w:val="42961D8D"/>
    <w:rsid w:val="429700DB"/>
    <w:rsid w:val="42987C1A"/>
    <w:rsid w:val="42A52BD2"/>
    <w:rsid w:val="42A942F3"/>
    <w:rsid w:val="42AD66D8"/>
    <w:rsid w:val="42AE4243"/>
    <w:rsid w:val="42B23E82"/>
    <w:rsid w:val="42B55DFD"/>
    <w:rsid w:val="42B63F47"/>
    <w:rsid w:val="42B744FB"/>
    <w:rsid w:val="42BD60E0"/>
    <w:rsid w:val="42C37EAA"/>
    <w:rsid w:val="42C7275E"/>
    <w:rsid w:val="42DC65E5"/>
    <w:rsid w:val="42DD69CD"/>
    <w:rsid w:val="42E243B1"/>
    <w:rsid w:val="42EB67EA"/>
    <w:rsid w:val="42F32265"/>
    <w:rsid w:val="43050137"/>
    <w:rsid w:val="43053A2F"/>
    <w:rsid w:val="430756B1"/>
    <w:rsid w:val="431D6E13"/>
    <w:rsid w:val="431E7646"/>
    <w:rsid w:val="43237170"/>
    <w:rsid w:val="432A6AB4"/>
    <w:rsid w:val="432C6711"/>
    <w:rsid w:val="4335332C"/>
    <w:rsid w:val="4339411A"/>
    <w:rsid w:val="433B4E9A"/>
    <w:rsid w:val="43425817"/>
    <w:rsid w:val="43462DF2"/>
    <w:rsid w:val="434863F2"/>
    <w:rsid w:val="4358471C"/>
    <w:rsid w:val="435E1836"/>
    <w:rsid w:val="437430AD"/>
    <w:rsid w:val="437971F9"/>
    <w:rsid w:val="4380203C"/>
    <w:rsid w:val="43813731"/>
    <w:rsid w:val="43842F3C"/>
    <w:rsid w:val="43907B65"/>
    <w:rsid w:val="439A17B9"/>
    <w:rsid w:val="439F6E6A"/>
    <w:rsid w:val="43BC0328"/>
    <w:rsid w:val="43D4676E"/>
    <w:rsid w:val="43D73039"/>
    <w:rsid w:val="43D839D3"/>
    <w:rsid w:val="43E33409"/>
    <w:rsid w:val="43E606B2"/>
    <w:rsid w:val="43ED2161"/>
    <w:rsid w:val="43F4106C"/>
    <w:rsid w:val="44055BEC"/>
    <w:rsid w:val="44115DC4"/>
    <w:rsid w:val="44135204"/>
    <w:rsid w:val="441B5AC8"/>
    <w:rsid w:val="441D38F2"/>
    <w:rsid w:val="44246EDE"/>
    <w:rsid w:val="442B1F92"/>
    <w:rsid w:val="44333582"/>
    <w:rsid w:val="44346FAF"/>
    <w:rsid w:val="44381EAD"/>
    <w:rsid w:val="443F4BD5"/>
    <w:rsid w:val="44431E8A"/>
    <w:rsid w:val="44526121"/>
    <w:rsid w:val="44584F16"/>
    <w:rsid w:val="445B04A3"/>
    <w:rsid w:val="44607BD7"/>
    <w:rsid w:val="446508B2"/>
    <w:rsid w:val="446A6D42"/>
    <w:rsid w:val="447937FE"/>
    <w:rsid w:val="448F6E4F"/>
    <w:rsid w:val="449E544E"/>
    <w:rsid w:val="44A53883"/>
    <w:rsid w:val="44A60C03"/>
    <w:rsid w:val="44A73253"/>
    <w:rsid w:val="44A96E72"/>
    <w:rsid w:val="44B20D2D"/>
    <w:rsid w:val="44B24AAB"/>
    <w:rsid w:val="44BB5FF1"/>
    <w:rsid w:val="44C124F4"/>
    <w:rsid w:val="44C236E8"/>
    <w:rsid w:val="44C63CB0"/>
    <w:rsid w:val="44CD38C6"/>
    <w:rsid w:val="44D65F90"/>
    <w:rsid w:val="44D83761"/>
    <w:rsid w:val="44DA406C"/>
    <w:rsid w:val="44E9365D"/>
    <w:rsid w:val="44ED2DF0"/>
    <w:rsid w:val="44F75848"/>
    <w:rsid w:val="45022D52"/>
    <w:rsid w:val="45222911"/>
    <w:rsid w:val="453B2DAB"/>
    <w:rsid w:val="454740BC"/>
    <w:rsid w:val="45584A04"/>
    <w:rsid w:val="455A0328"/>
    <w:rsid w:val="455B64B0"/>
    <w:rsid w:val="455C7247"/>
    <w:rsid w:val="45686297"/>
    <w:rsid w:val="456B253D"/>
    <w:rsid w:val="456F0BC5"/>
    <w:rsid w:val="4583794C"/>
    <w:rsid w:val="4588688D"/>
    <w:rsid w:val="458B2169"/>
    <w:rsid w:val="458B53AB"/>
    <w:rsid w:val="458B569B"/>
    <w:rsid w:val="459019DA"/>
    <w:rsid w:val="45930FDD"/>
    <w:rsid w:val="45986990"/>
    <w:rsid w:val="45A9198D"/>
    <w:rsid w:val="45BD0856"/>
    <w:rsid w:val="45C80749"/>
    <w:rsid w:val="45E0707A"/>
    <w:rsid w:val="45FC7ADF"/>
    <w:rsid w:val="45FD25CB"/>
    <w:rsid w:val="460274B5"/>
    <w:rsid w:val="46043995"/>
    <w:rsid w:val="460B0005"/>
    <w:rsid w:val="460C2729"/>
    <w:rsid w:val="460E7E03"/>
    <w:rsid w:val="4615137D"/>
    <w:rsid w:val="461B374C"/>
    <w:rsid w:val="461B600E"/>
    <w:rsid w:val="462F56EC"/>
    <w:rsid w:val="46315CF0"/>
    <w:rsid w:val="46447DDB"/>
    <w:rsid w:val="46462D17"/>
    <w:rsid w:val="46465E94"/>
    <w:rsid w:val="464E767D"/>
    <w:rsid w:val="46576642"/>
    <w:rsid w:val="467428FE"/>
    <w:rsid w:val="46796CE6"/>
    <w:rsid w:val="46814601"/>
    <w:rsid w:val="46836F46"/>
    <w:rsid w:val="46864CCB"/>
    <w:rsid w:val="469430BF"/>
    <w:rsid w:val="469E38A1"/>
    <w:rsid w:val="46A6528A"/>
    <w:rsid w:val="46C06C46"/>
    <w:rsid w:val="46C53707"/>
    <w:rsid w:val="46D60FBD"/>
    <w:rsid w:val="46DE5802"/>
    <w:rsid w:val="46E97F6B"/>
    <w:rsid w:val="46EA3444"/>
    <w:rsid w:val="46EC5823"/>
    <w:rsid w:val="46F72C92"/>
    <w:rsid w:val="46F8732D"/>
    <w:rsid w:val="47086832"/>
    <w:rsid w:val="47191278"/>
    <w:rsid w:val="471A2720"/>
    <w:rsid w:val="472C439B"/>
    <w:rsid w:val="47460DA1"/>
    <w:rsid w:val="474C0A9E"/>
    <w:rsid w:val="47545844"/>
    <w:rsid w:val="475A0316"/>
    <w:rsid w:val="475B0BA9"/>
    <w:rsid w:val="4762166B"/>
    <w:rsid w:val="4763354B"/>
    <w:rsid w:val="476574C3"/>
    <w:rsid w:val="476576EF"/>
    <w:rsid w:val="47667ABC"/>
    <w:rsid w:val="476751E3"/>
    <w:rsid w:val="47680BEA"/>
    <w:rsid w:val="477973E8"/>
    <w:rsid w:val="477C20C6"/>
    <w:rsid w:val="477E77A4"/>
    <w:rsid w:val="47A34933"/>
    <w:rsid w:val="47A570A6"/>
    <w:rsid w:val="47A94F1C"/>
    <w:rsid w:val="47AC27AD"/>
    <w:rsid w:val="47AD3FFD"/>
    <w:rsid w:val="47B02DCF"/>
    <w:rsid w:val="47B5209E"/>
    <w:rsid w:val="47B66AD2"/>
    <w:rsid w:val="47B82502"/>
    <w:rsid w:val="47B97D6E"/>
    <w:rsid w:val="47D07948"/>
    <w:rsid w:val="47E72620"/>
    <w:rsid w:val="47E84110"/>
    <w:rsid w:val="47EA4149"/>
    <w:rsid w:val="47EB3A8D"/>
    <w:rsid w:val="47F11E06"/>
    <w:rsid w:val="47FB6268"/>
    <w:rsid w:val="4800790A"/>
    <w:rsid w:val="48016760"/>
    <w:rsid w:val="48021995"/>
    <w:rsid w:val="480315BC"/>
    <w:rsid w:val="48036E0A"/>
    <w:rsid w:val="48106C7B"/>
    <w:rsid w:val="48184A94"/>
    <w:rsid w:val="481D2B22"/>
    <w:rsid w:val="482451DD"/>
    <w:rsid w:val="48254FD3"/>
    <w:rsid w:val="48281996"/>
    <w:rsid w:val="4837786E"/>
    <w:rsid w:val="48384A9F"/>
    <w:rsid w:val="484444BC"/>
    <w:rsid w:val="484E73CB"/>
    <w:rsid w:val="484F2FA6"/>
    <w:rsid w:val="48575D53"/>
    <w:rsid w:val="485865EB"/>
    <w:rsid w:val="485F4821"/>
    <w:rsid w:val="48784C44"/>
    <w:rsid w:val="48837C14"/>
    <w:rsid w:val="48847F4B"/>
    <w:rsid w:val="48871AE0"/>
    <w:rsid w:val="48A26951"/>
    <w:rsid w:val="48A332FC"/>
    <w:rsid w:val="48AF7E07"/>
    <w:rsid w:val="48B624AE"/>
    <w:rsid w:val="48D6014B"/>
    <w:rsid w:val="48DA4543"/>
    <w:rsid w:val="48EC6848"/>
    <w:rsid w:val="48F00361"/>
    <w:rsid w:val="48F52F2D"/>
    <w:rsid w:val="48F606BE"/>
    <w:rsid w:val="48FB2632"/>
    <w:rsid w:val="48FE1A00"/>
    <w:rsid w:val="490260FB"/>
    <w:rsid w:val="490E16A7"/>
    <w:rsid w:val="49185243"/>
    <w:rsid w:val="491E330B"/>
    <w:rsid w:val="49234763"/>
    <w:rsid w:val="492913DB"/>
    <w:rsid w:val="492B34B8"/>
    <w:rsid w:val="493108C5"/>
    <w:rsid w:val="49360B7A"/>
    <w:rsid w:val="49385EAD"/>
    <w:rsid w:val="495B3925"/>
    <w:rsid w:val="495C52B2"/>
    <w:rsid w:val="496828A3"/>
    <w:rsid w:val="496B4C67"/>
    <w:rsid w:val="496C5F3D"/>
    <w:rsid w:val="496D5F5E"/>
    <w:rsid w:val="49720916"/>
    <w:rsid w:val="4977741F"/>
    <w:rsid w:val="497B6D34"/>
    <w:rsid w:val="497C2EC0"/>
    <w:rsid w:val="498335A6"/>
    <w:rsid w:val="498350D6"/>
    <w:rsid w:val="498524B1"/>
    <w:rsid w:val="498B6952"/>
    <w:rsid w:val="498C6F9E"/>
    <w:rsid w:val="49A0126D"/>
    <w:rsid w:val="49A5565E"/>
    <w:rsid w:val="49AC358C"/>
    <w:rsid w:val="49B51AC0"/>
    <w:rsid w:val="49B83DB4"/>
    <w:rsid w:val="49BE3398"/>
    <w:rsid w:val="49C23B26"/>
    <w:rsid w:val="49C44986"/>
    <w:rsid w:val="49C6309A"/>
    <w:rsid w:val="49CA5A4D"/>
    <w:rsid w:val="49CE5DD1"/>
    <w:rsid w:val="49CF1811"/>
    <w:rsid w:val="49D8063D"/>
    <w:rsid w:val="49DC2D32"/>
    <w:rsid w:val="49F04FCF"/>
    <w:rsid w:val="49F76240"/>
    <w:rsid w:val="49FF34E6"/>
    <w:rsid w:val="4A030768"/>
    <w:rsid w:val="4A066769"/>
    <w:rsid w:val="4A101AFA"/>
    <w:rsid w:val="4A131C9A"/>
    <w:rsid w:val="4A257510"/>
    <w:rsid w:val="4A373324"/>
    <w:rsid w:val="4A3F58F7"/>
    <w:rsid w:val="4A43247B"/>
    <w:rsid w:val="4A47096D"/>
    <w:rsid w:val="4A5725D0"/>
    <w:rsid w:val="4A5C4B7F"/>
    <w:rsid w:val="4A5F622E"/>
    <w:rsid w:val="4A615F8A"/>
    <w:rsid w:val="4A6D45A9"/>
    <w:rsid w:val="4A734F16"/>
    <w:rsid w:val="4A866DB6"/>
    <w:rsid w:val="4A897333"/>
    <w:rsid w:val="4A93406D"/>
    <w:rsid w:val="4A987B7B"/>
    <w:rsid w:val="4A9D3A06"/>
    <w:rsid w:val="4AA173B4"/>
    <w:rsid w:val="4AB217D3"/>
    <w:rsid w:val="4AB55320"/>
    <w:rsid w:val="4ABD14F2"/>
    <w:rsid w:val="4AC12597"/>
    <w:rsid w:val="4AC16034"/>
    <w:rsid w:val="4AC21DB1"/>
    <w:rsid w:val="4AC26B09"/>
    <w:rsid w:val="4AC624F7"/>
    <w:rsid w:val="4AD376E7"/>
    <w:rsid w:val="4AE25F39"/>
    <w:rsid w:val="4AE43DC4"/>
    <w:rsid w:val="4B007631"/>
    <w:rsid w:val="4B0532CE"/>
    <w:rsid w:val="4B065ED1"/>
    <w:rsid w:val="4B0760B5"/>
    <w:rsid w:val="4B0B278B"/>
    <w:rsid w:val="4B1616E3"/>
    <w:rsid w:val="4B2C694F"/>
    <w:rsid w:val="4B372CA6"/>
    <w:rsid w:val="4B51106D"/>
    <w:rsid w:val="4B517A9A"/>
    <w:rsid w:val="4B543B49"/>
    <w:rsid w:val="4B611A16"/>
    <w:rsid w:val="4B690821"/>
    <w:rsid w:val="4B6976F2"/>
    <w:rsid w:val="4B6B6C68"/>
    <w:rsid w:val="4B6D0F12"/>
    <w:rsid w:val="4B7E1808"/>
    <w:rsid w:val="4B802B8C"/>
    <w:rsid w:val="4B904195"/>
    <w:rsid w:val="4B9D0436"/>
    <w:rsid w:val="4B9F1823"/>
    <w:rsid w:val="4BA85EB4"/>
    <w:rsid w:val="4BAF2EE8"/>
    <w:rsid w:val="4BB61435"/>
    <w:rsid w:val="4BB72186"/>
    <w:rsid w:val="4BB74F83"/>
    <w:rsid w:val="4BBA1374"/>
    <w:rsid w:val="4BBD4DE7"/>
    <w:rsid w:val="4BBF403C"/>
    <w:rsid w:val="4BC8515F"/>
    <w:rsid w:val="4BCE3CF7"/>
    <w:rsid w:val="4BCE4CBF"/>
    <w:rsid w:val="4BD12A01"/>
    <w:rsid w:val="4BD72F30"/>
    <w:rsid w:val="4BE07766"/>
    <w:rsid w:val="4BE43630"/>
    <w:rsid w:val="4BE851C6"/>
    <w:rsid w:val="4BFB41B8"/>
    <w:rsid w:val="4BFC604B"/>
    <w:rsid w:val="4BFE0D61"/>
    <w:rsid w:val="4BFF5563"/>
    <w:rsid w:val="4C0E4870"/>
    <w:rsid w:val="4C200B4F"/>
    <w:rsid w:val="4C2130EA"/>
    <w:rsid w:val="4C2E3854"/>
    <w:rsid w:val="4C373527"/>
    <w:rsid w:val="4C3A0CDB"/>
    <w:rsid w:val="4C431036"/>
    <w:rsid w:val="4C433274"/>
    <w:rsid w:val="4C4716EF"/>
    <w:rsid w:val="4C524181"/>
    <w:rsid w:val="4C5669E3"/>
    <w:rsid w:val="4C745C04"/>
    <w:rsid w:val="4C766DD8"/>
    <w:rsid w:val="4C7A099E"/>
    <w:rsid w:val="4C9834BB"/>
    <w:rsid w:val="4C9C3C67"/>
    <w:rsid w:val="4C9E688B"/>
    <w:rsid w:val="4CA94FAB"/>
    <w:rsid w:val="4CC26128"/>
    <w:rsid w:val="4CCA3DFD"/>
    <w:rsid w:val="4CD40D75"/>
    <w:rsid w:val="4CE84A81"/>
    <w:rsid w:val="4CEE40EE"/>
    <w:rsid w:val="4CFB5DC1"/>
    <w:rsid w:val="4D0073F0"/>
    <w:rsid w:val="4D0C6596"/>
    <w:rsid w:val="4D172984"/>
    <w:rsid w:val="4D1E579E"/>
    <w:rsid w:val="4D2C422B"/>
    <w:rsid w:val="4D2F2E0E"/>
    <w:rsid w:val="4D355217"/>
    <w:rsid w:val="4D4F51D8"/>
    <w:rsid w:val="4D5071C1"/>
    <w:rsid w:val="4D560A4A"/>
    <w:rsid w:val="4D58121A"/>
    <w:rsid w:val="4D582F12"/>
    <w:rsid w:val="4D5B41C2"/>
    <w:rsid w:val="4D65376E"/>
    <w:rsid w:val="4D714E4C"/>
    <w:rsid w:val="4D73058E"/>
    <w:rsid w:val="4D752558"/>
    <w:rsid w:val="4D8570C2"/>
    <w:rsid w:val="4D953834"/>
    <w:rsid w:val="4DA324B6"/>
    <w:rsid w:val="4DAB2F05"/>
    <w:rsid w:val="4DAE16AC"/>
    <w:rsid w:val="4DB60D8F"/>
    <w:rsid w:val="4DB774F5"/>
    <w:rsid w:val="4DC453ED"/>
    <w:rsid w:val="4DC63564"/>
    <w:rsid w:val="4DCF0BF5"/>
    <w:rsid w:val="4DD60F52"/>
    <w:rsid w:val="4DD63A1C"/>
    <w:rsid w:val="4DDA16C8"/>
    <w:rsid w:val="4DDB1567"/>
    <w:rsid w:val="4DDC26D4"/>
    <w:rsid w:val="4DDF013F"/>
    <w:rsid w:val="4DF70256"/>
    <w:rsid w:val="4DFA0599"/>
    <w:rsid w:val="4DFA42D3"/>
    <w:rsid w:val="4DFA480C"/>
    <w:rsid w:val="4E083ED0"/>
    <w:rsid w:val="4E0E370C"/>
    <w:rsid w:val="4E161881"/>
    <w:rsid w:val="4E1E2B8B"/>
    <w:rsid w:val="4E2B1CAD"/>
    <w:rsid w:val="4E2F02B9"/>
    <w:rsid w:val="4E395334"/>
    <w:rsid w:val="4E3B2160"/>
    <w:rsid w:val="4E3F374D"/>
    <w:rsid w:val="4E4513E0"/>
    <w:rsid w:val="4E460912"/>
    <w:rsid w:val="4E4E4889"/>
    <w:rsid w:val="4E506656"/>
    <w:rsid w:val="4E5A551C"/>
    <w:rsid w:val="4E5C09CB"/>
    <w:rsid w:val="4E6432D2"/>
    <w:rsid w:val="4E6A746C"/>
    <w:rsid w:val="4E6C5274"/>
    <w:rsid w:val="4E6F0562"/>
    <w:rsid w:val="4E765097"/>
    <w:rsid w:val="4E96329F"/>
    <w:rsid w:val="4E9A4587"/>
    <w:rsid w:val="4EA30EDE"/>
    <w:rsid w:val="4EA510FE"/>
    <w:rsid w:val="4EBE1F58"/>
    <w:rsid w:val="4EC07C91"/>
    <w:rsid w:val="4EC5445F"/>
    <w:rsid w:val="4EC87ACF"/>
    <w:rsid w:val="4EEE4A48"/>
    <w:rsid w:val="4EF212E8"/>
    <w:rsid w:val="4EFC68F7"/>
    <w:rsid w:val="4F15306A"/>
    <w:rsid w:val="4F162DEA"/>
    <w:rsid w:val="4F257289"/>
    <w:rsid w:val="4F2B699A"/>
    <w:rsid w:val="4F2C0125"/>
    <w:rsid w:val="4F3929E4"/>
    <w:rsid w:val="4F397DC1"/>
    <w:rsid w:val="4F3D2973"/>
    <w:rsid w:val="4F5C69DB"/>
    <w:rsid w:val="4F607112"/>
    <w:rsid w:val="4F7A49CA"/>
    <w:rsid w:val="4F7F5054"/>
    <w:rsid w:val="4F814B63"/>
    <w:rsid w:val="4F837D3F"/>
    <w:rsid w:val="4F907C41"/>
    <w:rsid w:val="4F9314CC"/>
    <w:rsid w:val="4FA42FE8"/>
    <w:rsid w:val="4FA9337C"/>
    <w:rsid w:val="4FB71395"/>
    <w:rsid w:val="4FB86034"/>
    <w:rsid w:val="4FBF5B4D"/>
    <w:rsid w:val="4FC275AB"/>
    <w:rsid w:val="4FCB7888"/>
    <w:rsid w:val="4FD41899"/>
    <w:rsid w:val="4FD6191A"/>
    <w:rsid w:val="4FE37C4D"/>
    <w:rsid w:val="50097B31"/>
    <w:rsid w:val="500C689A"/>
    <w:rsid w:val="50103D95"/>
    <w:rsid w:val="5017400C"/>
    <w:rsid w:val="501D543D"/>
    <w:rsid w:val="501F676F"/>
    <w:rsid w:val="502127DF"/>
    <w:rsid w:val="502B2435"/>
    <w:rsid w:val="502D55A2"/>
    <w:rsid w:val="50311404"/>
    <w:rsid w:val="503E2AC9"/>
    <w:rsid w:val="504C17A0"/>
    <w:rsid w:val="504E0CA1"/>
    <w:rsid w:val="504E1B26"/>
    <w:rsid w:val="50554BB8"/>
    <w:rsid w:val="505C6582"/>
    <w:rsid w:val="50800F36"/>
    <w:rsid w:val="509A4EB8"/>
    <w:rsid w:val="50A74CB5"/>
    <w:rsid w:val="50A84527"/>
    <w:rsid w:val="50AB49F6"/>
    <w:rsid w:val="50BE1CF7"/>
    <w:rsid w:val="50D223F2"/>
    <w:rsid w:val="50D3198F"/>
    <w:rsid w:val="50D87D9A"/>
    <w:rsid w:val="510132DF"/>
    <w:rsid w:val="51014329"/>
    <w:rsid w:val="51033837"/>
    <w:rsid w:val="51101B12"/>
    <w:rsid w:val="51131D83"/>
    <w:rsid w:val="51172F15"/>
    <w:rsid w:val="51193D7A"/>
    <w:rsid w:val="514F6439"/>
    <w:rsid w:val="5155650E"/>
    <w:rsid w:val="515622F1"/>
    <w:rsid w:val="51582F0E"/>
    <w:rsid w:val="5161500B"/>
    <w:rsid w:val="516B34CE"/>
    <w:rsid w:val="51846E6C"/>
    <w:rsid w:val="51937283"/>
    <w:rsid w:val="51951EA5"/>
    <w:rsid w:val="51A97FBC"/>
    <w:rsid w:val="51AC749A"/>
    <w:rsid w:val="51AE19C2"/>
    <w:rsid w:val="51B40054"/>
    <w:rsid w:val="51B65885"/>
    <w:rsid w:val="51B808BF"/>
    <w:rsid w:val="51CA1AA8"/>
    <w:rsid w:val="51D97C88"/>
    <w:rsid w:val="51DB4C10"/>
    <w:rsid w:val="51DE4CD1"/>
    <w:rsid w:val="51F8593D"/>
    <w:rsid w:val="52025F59"/>
    <w:rsid w:val="520B1C54"/>
    <w:rsid w:val="52126EE7"/>
    <w:rsid w:val="52154173"/>
    <w:rsid w:val="521A3FBC"/>
    <w:rsid w:val="52226637"/>
    <w:rsid w:val="52256E22"/>
    <w:rsid w:val="522E2CD6"/>
    <w:rsid w:val="52334777"/>
    <w:rsid w:val="523F24D5"/>
    <w:rsid w:val="5241580C"/>
    <w:rsid w:val="524624D9"/>
    <w:rsid w:val="52494F85"/>
    <w:rsid w:val="524C275F"/>
    <w:rsid w:val="524D13AE"/>
    <w:rsid w:val="52565A1D"/>
    <w:rsid w:val="52586F4F"/>
    <w:rsid w:val="525C7B3D"/>
    <w:rsid w:val="526215C4"/>
    <w:rsid w:val="5263720C"/>
    <w:rsid w:val="52672C7F"/>
    <w:rsid w:val="528775EA"/>
    <w:rsid w:val="528D0129"/>
    <w:rsid w:val="529F042F"/>
    <w:rsid w:val="52A15D1A"/>
    <w:rsid w:val="52A71597"/>
    <w:rsid w:val="52AE4A26"/>
    <w:rsid w:val="52B15EDA"/>
    <w:rsid w:val="52C81D1E"/>
    <w:rsid w:val="52CC0039"/>
    <w:rsid w:val="52CE0432"/>
    <w:rsid w:val="52D06C1B"/>
    <w:rsid w:val="52DB7F10"/>
    <w:rsid w:val="52E82190"/>
    <w:rsid w:val="52E972AC"/>
    <w:rsid w:val="52EA5BC5"/>
    <w:rsid w:val="52F705ED"/>
    <w:rsid w:val="52FF739F"/>
    <w:rsid w:val="53092622"/>
    <w:rsid w:val="530C70C1"/>
    <w:rsid w:val="531C5EB9"/>
    <w:rsid w:val="5324348A"/>
    <w:rsid w:val="53283C21"/>
    <w:rsid w:val="53295708"/>
    <w:rsid w:val="53355DEE"/>
    <w:rsid w:val="5338798A"/>
    <w:rsid w:val="53430609"/>
    <w:rsid w:val="5349611F"/>
    <w:rsid w:val="534E7EF1"/>
    <w:rsid w:val="534F3396"/>
    <w:rsid w:val="535635A6"/>
    <w:rsid w:val="535D1AC5"/>
    <w:rsid w:val="53735246"/>
    <w:rsid w:val="5375794A"/>
    <w:rsid w:val="537828D3"/>
    <w:rsid w:val="53810E31"/>
    <w:rsid w:val="538E24BF"/>
    <w:rsid w:val="53907EF8"/>
    <w:rsid w:val="5398597C"/>
    <w:rsid w:val="53990C0E"/>
    <w:rsid w:val="53B25DEE"/>
    <w:rsid w:val="53B27D5E"/>
    <w:rsid w:val="53B41ADF"/>
    <w:rsid w:val="53B54317"/>
    <w:rsid w:val="53D607C2"/>
    <w:rsid w:val="53E61D67"/>
    <w:rsid w:val="53EA2DCB"/>
    <w:rsid w:val="53EE48E4"/>
    <w:rsid w:val="53F76715"/>
    <w:rsid w:val="53FE7775"/>
    <w:rsid w:val="540E7263"/>
    <w:rsid w:val="54140BA6"/>
    <w:rsid w:val="54146BF2"/>
    <w:rsid w:val="542B7AD4"/>
    <w:rsid w:val="543038B2"/>
    <w:rsid w:val="54404ED7"/>
    <w:rsid w:val="54442C94"/>
    <w:rsid w:val="54473141"/>
    <w:rsid w:val="54522DA8"/>
    <w:rsid w:val="54557FD9"/>
    <w:rsid w:val="54574A55"/>
    <w:rsid w:val="545B2C75"/>
    <w:rsid w:val="545F5B91"/>
    <w:rsid w:val="5461171C"/>
    <w:rsid w:val="54685B67"/>
    <w:rsid w:val="547C2208"/>
    <w:rsid w:val="54A37B86"/>
    <w:rsid w:val="54AA76B1"/>
    <w:rsid w:val="54B2009E"/>
    <w:rsid w:val="54B64B72"/>
    <w:rsid w:val="54C11CFA"/>
    <w:rsid w:val="54D6633F"/>
    <w:rsid w:val="54D86D20"/>
    <w:rsid w:val="54F93A6F"/>
    <w:rsid w:val="55036B77"/>
    <w:rsid w:val="55057E1B"/>
    <w:rsid w:val="55087A74"/>
    <w:rsid w:val="55216A51"/>
    <w:rsid w:val="552274DA"/>
    <w:rsid w:val="5525383D"/>
    <w:rsid w:val="552A65AD"/>
    <w:rsid w:val="55367A67"/>
    <w:rsid w:val="55435B48"/>
    <w:rsid w:val="554F7A22"/>
    <w:rsid w:val="55501CB4"/>
    <w:rsid w:val="55515659"/>
    <w:rsid w:val="555607E4"/>
    <w:rsid w:val="555A40AF"/>
    <w:rsid w:val="555F798A"/>
    <w:rsid w:val="55706F6A"/>
    <w:rsid w:val="55771C4C"/>
    <w:rsid w:val="55824BC8"/>
    <w:rsid w:val="55890A0C"/>
    <w:rsid w:val="55903996"/>
    <w:rsid w:val="55951645"/>
    <w:rsid w:val="559B2D78"/>
    <w:rsid w:val="55A51BE0"/>
    <w:rsid w:val="55A67B8D"/>
    <w:rsid w:val="55A734CB"/>
    <w:rsid w:val="55AF0296"/>
    <w:rsid w:val="55B43552"/>
    <w:rsid w:val="55B55868"/>
    <w:rsid w:val="55B67627"/>
    <w:rsid w:val="55C7591B"/>
    <w:rsid w:val="55C920FA"/>
    <w:rsid w:val="55D17740"/>
    <w:rsid w:val="55E246B7"/>
    <w:rsid w:val="55E57D29"/>
    <w:rsid w:val="55EC02DB"/>
    <w:rsid w:val="55F80DF3"/>
    <w:rsid w:val="55F96826"/>
    <w:rsid w:val="55FE2479"/>
    <w:rsid w:val="5601270C"/>
    <w:rsid w:val="5602534C"/>
    <w:rsid w:val="560401CD"/>
    <w:rsid w:val="560625AA"/>
    <w:rsid w:val="56114D78"/>
    <w:rsid w:val="561505A0"/>
    <w:rsid w:val="5618091C"/>
    <w:rsid w:val="561C32BF"/>
    <w:rsid w:val="5624777A"/>
    <w:rsid w:val="56271070"/>
    <w:rsid w:val="562B7E74"/>
    <w:rsid w:val="5630567B"/>
    <w:rsid w:val="563618EB"/>
    <w:rsid w:val="563F35A2"/>
    <w:rsid w:val="564866B5"/>
    <w:rsid w:val="564A3BA0"/>
    <w:rsid w:val="566C774E"/>
    <w:rsid w:val="566E45AF"/>
    <w:rsid w:val="5682609C"/>
    <w:rsid w:val="5688690E"/>
    <w:rsid w:val="56903D92"/>
    <w:rsid w:val="569D042A"/>
    <w:rsid w:val="569E6890"/>
    <w:rsid w:val="56A667BF"/>
    <w:rsid w:val="56AF62A7"/>
    <w:rsid w:val="56CB4CF6"/>
    <w:rsid w:val="56D322E8"/>
    <w:rsid w:val="56D82FF4"/>
    <w:rsid w:val="56DA575D"/>
    <w:rsid w:val="56DD08D4"/>
    <w:rsid w:val="56E85D5C"/>
    <w:rsid w:val="56EB567D"/>
    <w:rsid w:val="56EB6CB5"/>
    <w:rsid w:val="56EE7F83"/>
    <w:rsid w:val="56F84B29"/>
    <w:rsid w:val="56FA5D2C"/>
    <w:rsid w:val="56FC7846"/>
    <w:rsid w:val="570109B9"/>
    <w:rsid w:val="57022E53"/>
    <w:rsid w:val="570E35BF"/>
    <w:rsid w:val="571F0F9F"/>
    <w:rsid w:val="572A764A"/>
    <w:rsid w:val="573C057C"/>
    <w:rsid w:val="573F134E"/>
    <w:rsid w:val="573F680D"/>
    <w:rsid w:val="5744291F"/>
    <w:rsid w:val="574C62D9"/>
    <w:rsid w:val="5756167B"/>
    <w:rsid w:val="57607F74"/>
    <w:rsid w:val="57642DFD"/>
    <w:rsid w:val="576F1263"/>
    <w:rsid w:val="577218B7"/>
    <w:rsid w:val="577363AB"/>
    <w:rsid w:val="5775623A"/>
    <w:rsid w:val="577621C8"/>
    <w:rsid w:val="577A0338"/>
    <w:rsid w:val="577A5CAC"/>
    <w:rsid w:val="577A7520"/>
    <w:rsid w:val="57972B30"/>
    <w:rsid w:val="57A178B8"/>
    <w:rsid w:val="57AC173A"/>
    <w:rsid w:val="57B92FAD"/>
    <w:rsid w:val="57C33CC3"/>
    <w:rsid w:val="57C670E2"/>
    <w:rsid w:val="57F8596B"/>
    <w:rsid w:val="58076976"/>
    <w:rsid w:val="58123514"/>
    <w:rsid w:val="58150002"/>
    <w:rsid w:val="58221D0E"/>
    <w:rsid w:val="582807C8"/>
    <w:rsid w:val="582C04C0"/>
    <w:rsid w:val="582D6C75"/>
    <w:rsid w:val="582E2FD6"/>
    <w:rsid w:val="582F0796"/>
    <w:rsid w:val="585C4B80"/>
    <w:rsid w:val="585D07DF"/>
    <w:rsid w:val="586251BA"/>
    <w:rsid w:val="58663D45"/>
    <w:rsid w:val="588A3438"/>
    <w:rsid w:val="58940F84"/>
    <w:rsid w:val="589A2178"/>
    <w:rsid w:val="589B64D4"/>
    <w:rsid w:val="589E54D5"/>
    <w:rsid w:val="58A057EA"/>
    <w:rsid w:val="58A523C2"/>
    <w:rsid w:val="58A832E3"/>
    <w:rsid w:val="58AC73AB"/>
    <w:rsid w:val="58B101BD"/>
    <w:rsid w:val="58C9269D"/>
    <w:rsid w:val="58D20CE2"/>
    <w:rsid w:val="58D27137"/>
    <w:rsid w:val="58D5452A"/>
    <w:rsid w:val="58DB653D"/>
    <w:rsid w:val="58E77716"/>
    <w:rsid w:val="58E879A4"/>
    <w:rsid w:val="58F91280"/>
    <w:rsid w:val="59070952"/>
    <w:rsid w:val="590A14B7"/>
    <w:rsid w:val="59142EB0"/>
    <w:rsid w:val="5919648E"/>
    <w:rsid w:val="592927BF"/>
    <w:rsid w:val="592D1BEA"/>
    <w:rsid w:val="59356DFB"/>
    <w:rsid w:val="5935709E"/>
    <w:rsid w:val="594526F7"/>
    <w:rsid w:val="59470BF2"/>
    <w:rsid w:val="595308D1"/>
    <w:rsid w:val="5958256C"/>
    <w:rsid w:val="595829F1"/>
    <w:rsid w:val="595E20F3"/>
    <w:rsid w:val="59626DD3"/>
    <w:rsid w:val="59672B99"/>
    <w:rsid w:val="596B153C"/>
    <w:rsid w:val="59875468"/>
    <w:rsid w:val="59924E56"/>
    <w:rsid w:val="59937387"/>
    <w:rsid w:val="599A4FCF"/>
    <w:rsid w:val="599E70FC"/>
    <w:rsid w:val="599F7484"/>
    <w:rsid w:val="59A0095D"/>
    <w:rsid w:val="59A07937"/>
    <w:rsid w:val="59A52DC3"/>
    <w:rsid w:val="59A61B2E"/>
    <w:rsid w:val="59AD4A5D"/>
    <w:rsid w:val="59AE242E"/>
    <w:rsid w:val="59B26F6A"/>
    <w:rsid w:val="59B916E3"/>
    <w:rsid w:val="59BC0ECF"/>
    <w:rsid w:val="59BC3B9D"/>
    <w:rsid w:val="59BE0DE3"/>
    <w:rsid w:val="59C053A4"/>
    <w:rsid w:val="59CC0C25"/>
    <w:rsid w:val="59CD3C63"/>
    <w:rsid w:val="59D22EEA"/>
    <w:rsid w:val="59D74ACB"/>
    <w:rsid w:val="59E42A3F"/>
    <w:rsid w:val="59E436AF"/>
    <w:rsid w:val="59E83CD5"/>
    <w:rsid w:val="5A0610A5"/>
    <w:rsid w:val="5A1B6349"/>
    <w:rsid w:val="5A21608B"/>
    <w:rsid w:val="5A3E2048"/>
    <w:rsid w:val="5A43174D"/>
    <w:rsid w:val="5A474464"/>
    <w:rsid w:val="5A50770D"/>
    <w:rsid w:val="5A580B0D"/>
    <w:rsid w:val="5A5A42C6"/>
    <w:rsid w:val="5A602A52"/>
    <w:rsid w:val="5A6409F4"/>
    <w:rsid w:val="5A6510A7"/>
    <w:rsid w:val="5A6F5296"/>
    <w:rsid w:val="5A720A54"/>
    <w:rsid w:val="5A754462"/>
    <w:rsid w:val="5A7A3A88"/>
    <w:rsid w:val="5A7E1BF7"/>
    <w:rsid w:val="5A7F0DEA"/>
    <w:rsid w:val="5A857512"/>
    <w:rsid w:val="5AA7153D"/>
    <w:rsid w:val="5AAD48FC"/>
    <w:rsid w:val="5AB704A7"/>
    <w:rsid w:val="5AB72C67"/>
    <w:rsid w:val="5AB94BCA"/>
    <w:rsid w:val="5ABE3C4F"/>
    <w:rsid w:val="5ACF55E2"/>
    <w:rsid w:val="5AD64558"/>
    <w:rsid w:val="5AD87E10"/>
    <w:rsid w:val="5AE31C04"/>
    <w:rsid w:val="5AE407A7"/>
    <w:rsid w:val="5AEA1BCA"/>
    <w:rsid w:val="5AED06B1"/>
    <w:rsid w:val="5AF34A4A"/>
    <w:rsid w:val="5B0C4224"/>
    <w:rsid w:val="5B132CA1"/>
    <w:rsid w:val="5B1C28B9"/>
    <w:rsid w:val="5B1F2244"/>
    <w:rsid w:val="5B287644"/>
    <w:rsid w:val="5B3A694B"/>
    <w:rsid w:val="5B433A46"/>
    <w:rsid w:val="5B44710F"/>
    <w:rsid w:val="5B4B6137"/>
    <w:rsid w:val="5B4F6497"/>
    <w:rsid w:val="5B502506"/>
    <w:rsid w:val="5B5B3028"/>
    <w:rsid w:val="5B71334B"/>
    <w:rsid w:val="5B7B2EF7"/>
    <w:rsid w:val="5B7D3A47"/>
    <w:rsid w:val="5B7E03CC"/>
    <w:rsid w:val="5B9009AB"/>
    <w:rsid w:val="5B9F041A"/>
    <w:rsid w:val="5BA173BD"/>
    <w:rsid w:val="5BA46125"/>
    <w:rsid w:val="5BA60201"/>
    <w:rsid w:val="5BA80FD8"/>
    <w:rsid w:val="5BAB05D4"/>
    <w:rsid w:val="5BAB4140"/>
    <w:rsid w:val="5BB06E49"/>
    <w:rsid w:val="5BBC3CC2"/>
    <w:rsid w:val="5BC53D11"/>
    <w:rsid w:val="5BD1387F"/>
    <w:rsid w:val="5BD62414"/>
    <w:rsid w:val="5BDC3310"/>
    <w:rsid w:val="5BDC748C"/>
    <w:rsid w:val="5BDE6BE5"/>
    <w:rsid w:val="5BEA73A7"/>
    <w:rsid w:val="5BF32816"/>
    <w:rsid w:val="5BF57000"/>
    <w:rsid w:val="5BF63476"/>
    <w:rsid w:val="5BF76EAF"/>
    <w:rsid w:val="5C0C79A4"/>
    <w:rsid w:val="5C1810DC"/>
    <w:rsid w:val="5C1F0F12"/>
    <w:rsid w:val="5C2D06CE"/>
    <w:rsid w:val="5C337099"/>
    <w:rsid w:val="5C422968"/>
    <w:rsid w:val="5C4D55B6"/>
    <w:rsid w:val="5C506491"/>
    <w:rsid w:val="5C544627"/>
    <w:rsid w:val="5C640CEE"/>
    <w:rsid w:val="5C696A3C"/>
    <w:rsid w:val="5C713A9B"/>
    <w:rsid w:val="5C811FB3"/>
    <w:rsid w:val="5C871960"/>
    <w:rsid w:val="5C93562D"/>
    <w:rsid w:val="5C99698F"/>
    <w:rsid w:val="5C9E7CDB"/>
    <w:rsid w:val="5CAB1648"/>
    <w:rsid w:val="5CB9561E"/>
    <w:rsid w:val="5CC565C5"/>
    <w:rsid w:val="5CC97FF2"/>
    <w:rsid w:val="5CCC17BB"/>
    <w:rsid w:val="5CD603E5"/>
    <w:rsid w:val="5CEB212C"/>
    <w:rsid w:val="5CF47096"/>
    <w:rsid w:val="5D140585"/>
    <w:rsid w:val="5D2B5F91"/>
    <w:rsid w:val="5D3D49B7"/>
    <w:rsid w:val="5D5326CA"/>
    <w:rsid w:val="5D5B1380"/>
    <w:rsid w:val="5D5C5D22"/>
    <w:rsid w:val="5D5F5098"/>
    <w:rsid w:val="5D611BE7"/>
    <w:rsid w:val="5D7E2151"/>
    <w:rsid w:val="5D805B14"/>
    <w:rsid w:val="5D8631CF"/>
    <w:rsid w:val="5D96087B"/>
    <w:rsid w:val="5DA33751"/>
    <w:rsid w:val="5DAB0254"/>
    <w:rsid w:val="5DBB5556"/>
    <w:rsid w:val="5DBF512A"/>
    <w:rsid w:val="5DCA4991"/>
    <w:rsid w:val="5DD44552"/>
    <w:rsid w:val="5DE26DC2"/>
    <w:rsid w:val="5DEA037A"/>
    <w:rsid w:val="5DF730C7"/>
    <w:rsid w:val="5DFB1207"/>
    <w:rsid w:val="5E1331E3"/>
    <w:rsid w:val="5E1540F5"/>
    <w:rsid w:val="5E17017C"/>
    <w:rsid w:val="5E1B466B"/>
    <w:rsid w:val="5E236160"/>
    <w:rsid w:val="5E274A07"/>
    <w:rsid w:val="5E431790"/>
    <w:rsid w:val="5E436C48"/>
    <w:rsid w:val="5E550C3F"/>
    <w:rsid w:val="5E63620E"/>
    <w:rsid w:val="5E650693"/>
    <w:rsid w:val="5E68016E"/>
    <w:rsid w:val="5E6A4D4F"/>
    <w:rsid w:val="5E6A6473"/>
    <w:rsid w:val="5E6F0E3E"/>
    <w:rsid w:val="5E717B26"/>
    <w:rsid w:val="5E737BF5"/>
    <w:rsid w:val="5E744AE8"/>
    <w:rsid w:val="5E793EE6"/>
    <w:rsid w:val="5E82775C"/>
    <w:rsid w:val="5E884949"/>
    <w:rsid w:val="5EB43601"/>
    <w:rsid w:val="5EB90ECA"/>
    <w:rsid w:val="5ED5712F"/>
    <w:rsid w:val="5ED665A7"/>
    <w:rsid w:val="5EDC41DD"/>
    <w:rsid w:val="5EDE43D3"/>
    <w:rsid w:val="5EE276E7"/>
    <w:rsid w:val="5EE525D1"/>
    <w:rsid w:val="5EF203CF"/>
    <w:rsid w:val="5F16521D"/>
    <w:rsid w:val="5F2C415A"/>
    <w:rsid w:val="5F2F6E98"/>
    <w:rsid w:val="5F32655A"/>
    <w:rsid w:val="5F36141C"/>
    <w:rsid w:val="5F3F15B5"/>
    <w:rsid w:val="5F4E0DF5"/>
    <w:rsid w:val="5F4E49B7"/>
    <w:rsid w:val="5F5B5EC8"/>
    <w:rsid w:val="5F627DFE"/>
    <w:rsid w:val="5F6E6615"/>
    <w:rsid w:val="5F741C23"/>
    <w:rsid w:val="5F7E54AC"/>
    <w:rsid w:val="5F952FF6"/>
    <w:rsid w:val="5F9565A5"/>
    <w:rsid w:val="5FA25BBD"/>
    <w:rsid w:val="5FAA288F"/>
    <w:rsid w:val="5FAC11E6"/>
    <w:rsid w:val="5FB734A4"/>
    <w:rsid w:val="5FB831C2"/>
    <w:rsid w:val="5FDA65D3"/>
    <w:rsid w:val="5FF96000"/>
    <w:rsid w:val="5FFA5D98"/>
    <w:rsid w:val="5FFB4300"/>
    <w:rsid w:val="5FFE3E50"/>
    <w:rsid w:val="600D25F4"/>
    <w:rsid w:val="601040F8"/>
    <w:rsid w:val="60143FE8"/>
    <w:rsid w:val="6019388E"/>
    <w:rsid w:val="601C60A8"/>
    <w:rsid w:val="601D16F2"/>
    <w:rsid w:val="60317270"/>
    <w:rsid w:val="6032290D"/>
    <w:rsid w:val="60374366"/>
    <w:rsid w:val="603B3FD6"/>
    <w:rsid w:val="60724A82"/>
    <w:rsid w:val="60731C96"/>
    <w:rsid w:val="6075268B"/>
    <w:rsid w:val="607960E2"/>
    <w:rsid w:val="60844157"/>
    <w:rsid w:val="609748DC"/>
    <w:rsid w:val="60A32CA7"/>
    <w:rsid w:val="60B82FE3"/>
    <w:rsid w:val="60B875E2"/>
    <w:rsid w:val="60CC4989"/>
    <w:rsid w:val="60D35A4B"/>
    <w:rsid w:val="60D41D32"/>
    <w:rsid w:val="60D70D04"/>
    <w:rsid w:val="60E062EF"/>
    <w:rsid w:val="60F213B4"/>
    <w:rsid w:val="60F7002E"/>
    <w:rsid w:val="6112353F"/>
    <w:rsid w:val="61143A5B"/>
    <w:rsid w:val="61183E43"/>
    <w:rsid w:val="6131476C"/>
    <w:rsid w:val="61335D10"/>
    <w:rsid w:val="61390ECE"/>
    <w:rsid w:val="614443E0"/>
    <w:rsid w:val="614610CD"/>
    <w:rsid w:val="6148332F"/>
    <w:rsid w:val="614C7D2C"/>
    <w:rsid w:val="61504A52"/>
    <w:rsid w:val="615C2513"/>
    <w:rsid w:val="615D23FF"/>
    <w:rsid w:val="615F3E3E"/>
    <w:rsid w:val="617218BD"/>
    <w:rsid w:val="61731E6C"/>
    <w:rsid w:val="617B5B9F"/>
    <w:rsid w:val="617E5314"/>
    <w:rsid w:val="617F1D4A"/>
    <w:rsid w:val="6182097D"/>
    <w:rsid w:val="618A256E"/>
    <w:rsid w:val="61901ED1"/>
    <w:rsid w:val="619F5B5C"/>
    <w:rsid w:val="61A64AF9"/>
    <w:rsid w:val="61A76E0D"/>
    <w:rsid w:val="61AF4019"/>
    <w:rsid w:val="61B31BDD"/>
    <w:rsid w:val="61C42C33"/>
    <w:rsid w:val="61D112DA"/>
    <w:rsid w:val="61EB2A7E"/>
    <w:rsid w:val="61EF433F"/>
    <w:rsid w:val="61F06995"/>
    <w:rsid w:val="61FB47E7"/>
    <w:rsid w:val="61FC3CBC"/>
    <w:rsid w:val="61FD03E2"/>
    <w:rsid w:val="62016F27"/>
    <w:rsid w:val="62057426"/>
    <w:rsid w:val="620A5282"/>
    <w:rsid w:val="620C6A28"/>
    <w:rsid w:val="620F5F12"/>
    <w:rsid w:val="62155C16"/>
    <w:rsid w:val="622C1C6B"/>
    <w:rsid w:val="622E332A"/>
    <w:rsid w:val="622F5E7D"/>
    <w:rsid w:val="623D27A0"/>
    <w:rsid w:val="62407945"/>
    <w:rsid w:val="62585CB4"/>
    <w:rsid w:val="625C2CC1"/>
    <w:rsid w:val="626F264F"/>
    <w:rsid w:val="62745E11"/>
    <w:rsid w:val="627D2ADC"/>
    <w:rsid w:val="627D6C4D"/>
    <w:rsid w:val="62813E8F"/>
    <w:rsid w:val="62853EDB"/>
    <w:rsid w:val="6291060E"/>
    <w:rsid w:val="62996FD2"/>
    <w:rsid w:val="629B28B3"/>
    <w:rsid w:val="62A01367"/>
    <w:rsid w:val="62AE304A"/>
    <w:rsid w:val="62AF0434"/>
    <w:rsid w:val="62BE379C"/>
    <w:rsid w:val="62D26942"/>
    <w:rsid w:val="62E91BAD"/>
    <w:rsid w:val="630217F1"/>
    <w:rsid w:val="6303213F"/>
    <w:rsid w:val="63066602"/>
    <w:rsid w:val="63095D30"/>
    <w:rsid w:val="630A75D1"/>
    <w:rsid w:val="632552DE"/>
    <w:rsid w:val="632779F9"/>
    <w:rsid w:val="633743D4"/>
    <w:rsid w:val="633F36CA"/>
    <w:rsid w:val="63462575"/>
    <w:rsid w:val="6360401F"/>
    <w:rsid w:val="63622DA4"/>
    <w:rsid w:val="637B5703"/>
    <w:rsid w:val="637F255C"/>
    <w:rsid w:val="63823EA8"/>
    <w:rsid w:val="638D4D9B"/>
    <w:rsid w:val="638F4CB6"/>
    <w:rsid w:val="6392543D"/>
    <w:rsid w:val="63A01F40"/>
    <w:rsid w:val="63C50C2B"/>
    <w:rsid w:val="63DC76B0"/>
    <w:rsid w:val="640833B0"/>
    <w:rsid w:val="640C47C6"/>
    <w:rsid w:val="641236A0"/>
    <w:rsid w:val="641D51DE"/>
    <w:rsid w:val="641D70CE"/>
    <w:rsid w:val="643C289D"/>
    <w:rsid w:val="64447180"/>
    <w:rsid w:val="644B2EF0"/>
    <w:rsid w:val="64643589"/>
    <w:rsid w:val="64647AD4"/>
    <w:rsid w:val="6481667F"/>
    <w:rsid w:val="64824123"/>
    <w:rsid w:val="648A14A5"/>
    <w:rsid w:val="648A2FD4"/>
    <w:rsid w:val="64A95665"/>
    <w:rsid w:val="64AC37BB"/>
    <w:rsid w:val="64AC43B0"/>
    <w:rsid w:val="64B204CD"/>
    <w:rsid w:val="64B20F1F"/>
    <w:rsid w:val="64BB489D"/>
    <w:rsid w:val="64BB52E5"/>
    <w:rsid w:val="64C3127D"/>
    <w:rsid w:val="64E076E5"/>
    <w:rsid w:val="64E21F83"/>
    <w:rsid w:val="64E73131"/>
    <w:rsid w:val="64EE26BB"/>
    <w:rsid w:val="65192ADA"/>
    <w:rsid w:val="652A400E"/>
    <w:rsid w:val="652B55ED"/>
    <w:rsid w:val="654D49EB"/>
    <w:rsid w:val="656024F8"/>
    <w:rsid w:val="65635F4D"/>
    <w:rsid w:val="6579499B"/>
    <w:rsid w:val="657D5FD9"/>
    <w:rsid w:val="659155FE"/>
    <w:rsid w:val="65A81FA6"/>
    <w:rsid w:val="65B2428C"/>
    <w:rsid w:val="65B676CC"/>
    <w:rsid w:val="65D75BF5"/>
    <w:rsid w:val="65E226FC"/>
    <w:rsid w:val="65E624B6"/>
    <w:rsid w:val="65E8556E"/>
    <w:rsid w:val="65E9704A"/>
    <w:rsid w:val="65EC109D"/>
    <w:rsid w:val="65ED04CE"/>
    <w:rsid w:val="65F404B4"/>
    <w:rsid w:val="660A73EE"/>
    <w:rsid w:val="660D2F00"/>
    <w:rsid w:val="66101394"/>
    <w:rsid w:val="6612232C"/>
    <w:rsid w:val="661326A1"/>
    <w:rsid w:val="661329F8"/>
    <w:rsid w:val="66180273"/>
    <w:rsid w:val="662F6075"/>
    <w:rsid w:val="66310F88"/>
    <w:rsid w:val="663D15DA"/>
    <w:rsid w:val="663E12DC"/>
    <w:rsid w:val="66462556"/>
    <w:rsid w:val="6656412B"/>
    <w:rsid w:val="6669697F"/>
    <w:rsid w:val="66771D4D"/>
    <w:rsid w:val="66974E96"/>
    <w:rsid w:val="669D5505"/>
    <w:rsid w:val="66A010B4"/>
    <w:rsid w:val="66A772FE"/>
    <w:rsid w:val="66A929D6"/>
    <w:rsid w:val="66B94E0C"/>
    <w:rsid w:val="66C07068"/>
    <w:rsid w:val="66C42733"/>
    <w:rsid w:val="66D37C1A"/>
    <w:rsid w:val="66D54EC2"/>
    <w:rsid w:val="66D714AF"/>
    <w:rsid w:val="66D71BAC"/>
    <w:rsid w:val="66D87829"/>
    <w:rsid w:val="66DB2AA4"/>
    <w:rsid w:val="66E47555"/>
    <w:rsid w:val="66E90D66"/>
    <w:rsid w:val="66F90B07"/>
    <w:rsid w:val="6703494C"/>
    <w:rsid w:val="670F0DE2"/>
    <w:rsid w:val="671232E9"/>
    <w:rsid w:val="671C2A0A"/>
    <w:rsid w:val="671E4614"/>
    <w:rsid w:val="673F4426"/>
    <w:rsid w:val="67447003"/>
    <w:rsid w:val="674B5099"/>
    <w:rsid w:val="674D429B"/>
    <w:rsid w:val="674E6341"/>
    <w:rsid w:val="67583BD7"/>
    <w:rsid w:val="675E685E"/>
    <w:rsid w:val="67613298"/>
    <w:rsid w:val="676330C1"/>
    <w:rsid w:val="67646B75"/>
    <w:rsid w:val="676E6A99"/>
    <w:rsid w:val="677B5AAF"/>
    <w:rsid w:val="677E4BB8"/>
    <w:rsid w:val="67860354"/>
    <w:rsid w:val="678B3F0B"/>
    <w:rsid w:val="678E087E"/>
    <w:rsid w:val="6796339F"/>
    <w:rsid w:val="679B61EF"/>
    <w:rsid w:val="67A1103F"/>
    <w:rsid w:val="67A92B8F"/>
    <w:rsid w:val="67AC5E34"/>
    <w:rsid w:val="67B3682A"/>
    <w:rsid w:val="67B54C6A"/>
    <w:rsid w:val="67CC6510"/>
    <w:rsid w:val="67D65134"/>
    <w:rsid w:val="67E122C2"/>
    <w:rsid w:val="67E34A31"/>
    <w:rsid w:val="67EE48AB"/>
    <w:rsid w:val="67F208C1"/>
    <w:rsid w:val="67F25EDD"/>
    <w:rsid w:val="68017375"/>
    <w:rsid w:val="68021509"/>
    <w:rsid w:val="680508F1"/>
    <w:rsid w:val="680954D0"/>
    <w:rsid w:val="680B51C5"/>
    <w:rsid w:val="68186270"/>
    <w:rsid w:val="681D19B0"/>
    <w:rsid w:val="6826595E"/>
    <w:rsid w:val="68273CED"/>
    <w:rsid w:val="682A743E"/>
    <w:rsid w:val="682E59BE"/>
    <w:rsid w:val="68317E1A"/>
    <w:rsid w:val="684156E7"/>
    <w:rsid w:val="68554580"/>
    <w:rsid w:val="685739B3"/>
    <w:rsid w:val="686E3762"/>
    <w:rsid w:val="687318F5"/>
    <w:rsid w:val="688409D3"/>
    <w:rsid w:val="688869A4"/>
    <w:rsid w:val="688F0E55"/>
    <w:rsid w:val="68945C75"/>
    <w:rsid w:val="689B797D"/>
    <w:rsid w:val="68AB0A1C"/>
    <w:rsid w:val="68B73625"/>
    <w:rsid w:val="68BB1172"/>
    <w:rsid w:val="68CC3A20"/>
    <w:rsid w:val="68D16C5B"/>
    <w:rsid w:val="68D95656"/>
    <w:rsid w:val="68E30700"/>
    <w:rsid w:val="68EF2B63"/>
    <w:rsid w:val="68F04EC3"/>
    <w:rsid w:val="68F11688"/>
    <w:rsid w:val="68F67B13"/>
    <w:rsid w:val="690228BF"/>
    <w:rsid w:val="690A194F"/>
    <w:rsid w:val="69180EE2"/>
    <w:rsid w:val="691923B9"/>
    <w:rsid w:val="691C0ED1"/>
    <w:rsid w:val="691C78D4"/>
    <w:rsid w:val="69284064"/>
    <w:rsid w:val="69362D6C"/>
    <w:rsid w:val="693967B1"/>
    <w:rsid w:val="693C3EBF"/>
    <w:rsid w:val="6968592E"/>
    <w:rsid w:val="6970786A"/>
    <w:rsid w:val="69767BBF"/>
    <w:rsid w:val="697E7512"/>
    <w:rsid w:val="6985681E"/>
    <w:rsid w:val="699260D5"/>
    <w:rsid w:val="69950396"/>
    <w:rsid w:val="69994B46"/>
    <w:rsid w:val="69A36678"/>
    <w:rsid w:val="69B24642"/>
    <w:rsid w:val="69C65154"/>
    <w:rsid w:val="69D36FD2"/>
    <w:rsid w:val="69D60EEB"/>
    <w:rsid w:val="69E342EB"/>
    <w:rsid w:val="69F42956"/>
    <w:rsid w:val="69F835BA"/>
    <w:rsid w:val="6A0C4932"/>
    <w:rsid w:val="6A1B4E37"/>
    <w:rsid w:val="6A2051A9"/>
    <w:rsid w:val="6A241E1F"/>
    <w:rsid w:val="6A29321C"/>
    <w:rsid w:val="6A2C39F1"/>
    <w:rsid w:val="6A2D74F9"/>
    <w:rsid w:val="6A4A7A69"/>
    <w:rsid w:val="6A5128E2"/>
    <w:rsid w:val="6A5679AC"/>
    <w:rsid w:val="6A5B6936"/>
    <w:rsid w:val="6A5F1D70"/>
    <w:rsid w:val="6A8146E5"/>
    <w:rsid w:val="6A895441"/>
    <w:rsid w:val="6A8B2F63"/>
    <w:rsid w:val="6A93422F"/>
    <w:rsid w:val="6A97339E"/>
    <w:rsid w:val="6AA13878"/>
    <w:rsid w:val="6AA3480F"/>
    <w:rsid w:val="6AB16482"/>
    <w:rsid w:val="6AC128D0"/>
    <w:rsid w:val="6AC35E5A"/>
    <w:rsid w:val="6AD90BAB"/>
    <w:rsid w:val="6ADA6313"/>
    <w:rsid w:val="6ADD4C31"/>
    <w:rsid w:val="6AE265FD"/>
    <w:rsid w:val="6AE9102F"/>
    <w:rsid w:val="6AF70091"/>
    <w:rsid w:val="6B012064"/>
    <w:rsid w:val="6B0C50BE"/>
    <w:rsid w:val="6B0F6BAA"/>
    <w:rsid w:val="6B1E2B69"/>
    <w:rsid w:val="6B1E3AE3"/>
    <w:rsid w:val="6B2577BC"/>
    <w:rsid w:val="6B582046"/>
    <w:rsid w:val="6B5D7337"/>
    <w:rsid w:val="6B5E5D0E"/>
    <w:rsid w:val="6B5F1CE3"/>
    <w:rsid w:val="6B5F73E3"/>
    <w:rsid w:val="6B6506BE"/>
    <w:rsid w:val="6B6916A4"/>
    <w:rsid w:val="6B781AD1"/>
    <w:rsid w:val="6B7B5C1C"/>
    <w:rsid w:val="6B7B7B0D"/>
    <w:rsid w:val="6B7C489B"/>
    <w:rsid w:val="6B95146A"/>
    <w:rsid w:val="6BA0053C"/>
    <w:rsid w:val="6BA20DA7"/>
    <w:rsid w:val="6BA5259A"/>
    <w:rsid w:val="6BA57AC1"/>
    <w:rsid w:val="6BB059B5"/>
    <w:rsid w:val="6BC15A2F"/>
    <w:rsid w:val="6BCC0CE3"/>
    <w:rsid w:val="6BDE3BF3"/>
    <w:rsid w:val="6BDE3C57"/>
    <w:rsid w:val="6BE31844"/>
    <w:rsid w:val="6BEC07D6"/>
    <w:rsid w:val="6BED6B4D"/>
    <w:rsid w:val="6BF4209C"/>
    <w:rsid w:val="6BFE00B9"/>
    <w:rsid w:val="6C0A0625"/>
    <w:rsid w:val="6C1E1A9D"/>
    <w:rsid w:val="6C235C2B"/>
    <w:rsid w:val="6C276CA6"/>
    <w:rsid w:val="6C2D0641"/>
    <w:rsid w:val="6C316B4C"/>
    <w:rsid w:val="6C453648"/>
    <w:rsid w:val="6C4760B2"/>
    <w:rsid w:val="6C4B3E0B"/>
    <w:rsid w:val="6C4F36AD"/>
    <w:rsid w:val="6C516DFF"/>
    <w:rsid w:val="6C6C0E05"/>
    <w:rsid w:val="6C9274AE"/>
    <w:rsid w:val="6C972FF1"/>
    <w:rsid w:val="6CAD5473"/>
    <w:rsid w:val="6CBF3FC7"/>
    <w:rsid w:val="6CCC2FAC"/>
    <w:rsid w:val="6CCD5A4E"/>
    <w:rsid w:val="6CCF631B"/>
    <w:rsid w:val="6CD44761"/>
    <w:rsid w:val="6CD90D86"/>
    <w:rsid w:val="6CE91600"/>
    <w:rsid w:val="6CF90658"/>
    <w:rsid w:val="6D03051A"/>
    <w:rsid w:val="6D0C450E"/>
    <w:rsid w:val="6D255201"/>
    <w:rsid w:val="6D3C174B"/>
    <w:rsid w:val="6D496C17"/>
    <w:rsid w:val="6D4C0811"/>
    <w:rsid w:val="6D581017"/>
    <w:rsid w:val="6D637D31"/>
    <w:rsid w:val="6D6E064E"/>
    <w:rsid w:val="6D71188C"/>
    <w:rsid w:val="6D760266"/>
    <w:rsid w:val="6D886B51"/>
    <w:rsid w:val="6D8E327A"/>
    <w:rsid w:val="6D995114"/>
    <w:rsid w:val="6DA31871"/>
    <w:rsid w:val="6DA75DA1"/>
    <w:rsid w:val="6DB63E53"/>
    <w:rsid w:val="6DB85010"/>
    <w:rsid w:val="6DC75C60"/>
    <w:rsid w:val="6DD263FD"/>
    <w:rsid w:val="6DD6420D"/>
    <w:rsid w:val="6DD65BF6"/>
    <w:rsid w:val="6DD80CFC"/>
    <w:rsid w:val="6DE3404B"/>
    <w:rsid w:val="6DE37CB9"/>
    <w:rsid w:val="6DF2232A"/>
    <w:rsid w:val="6DF64F36"/>
    <w:rsid w:val="6E001573"/>
    <w:rsid w:val="6E0C0524"/>
    <w:rsid w:val="6E221A97"/>
    <w:rsid w:val="6E25640D"/>
    <w:rsid w:val="6E29320B"/>
    <w:rsid w:val="6E3C209F"/>
    <w:rsid w:val="6E3C5A36"/>
    <w:rsid w:val="6E435200"/>
    <w:rsid w:val="6E4E4368"/>
    <w:rsid w:val="6E5A75E9"/>
    <w:rsid w:val="6E5B4165"/>
    <w:rsid w:val="6E693B47"/>
    <w:rsid w:val="6E821D4D"/>
    <w:rsid w:val="6E836EEA"/>
    <w:rsid w:val="6E841114"/>
    <w:rsid w:val="6E8B3A13"/>
    <w:rsid w:val="6E8D216C"/>
    <w:rsid w:val="6E9C6824"/>
    <w:rsid w:val="6EA67CD4"/>
    <w:rsid w:val="6EA735C4"/>
    <w:rsid w:val="6EA83AFD"/>
    <w:rsid w:val="6EAD2F8F"/>
    <w:rsid w:val="6EB14C49"/>
    <w:rsid w:val="6EBC591A"/>
    <w:rsid w:val="6EC92F7B"/>
    <w:rsid w:val="6ED6677C"/>
    <w:rsid w:val="6EDA559A"/>
    <w:rsid w:val="6EE1047D"/>
    <w:rsid w:val="6EF5464D"/>
    <w:rsid w:val="6EFA3645"/>
    <w:rsid w:val="6F177A36"/>
    <w:rsid w:val="6F1831B6"/>
    <w:rsid w:val="6F223CBA"/>
    <w:rsid w:val="6F485901"/>
    <w:rsid w:val="6F5165A3"/>
    <w:rsid w:val="6F650023"/>
    <w:rsid w:val="6F705986"/>
    <w:rsid w:val="6F7414C4"/>
    <w:rsid w:val="6F744ADB"/>
    <w:rsid w:val="6F92269E"/>
    <w:rsid w:val="6F93537E"/>
    <w:rsid w:val="6F9C320B"/>
    <w:rsid w:val="6F9C5942"/>
    <w:rsid w:val="6FA06AC3"/>
    <w:rsid w:val="6FA30473"/>
    <w:rsid w:val="6FA7293C"/>
    <w:rsid w:val="6FAF6A2C"/>
    <w:rsid w:val="6FB176B6"/>
    <w:rsid w:val="6FB36CAA"/>
    <w:rsid w:val="6FD600CE"/>
    <w:rsid w:val="6FD80845"/>
    <w:rsid w:val="6FDA1A05"/>
    <w:rsid w:val="6FE17584"/>
    <w:rsid w:val="6FE57CD1"/>
    <w:rsid w:val="6FEF77F5"/>
    <w:rsid w:val="6FF16F44"/>
    <w:rsid w:val="7000028C"/>
    <w:rsid w:val="700A0380"/>
    <w:rsid w:val="70195B0F"/>
    <w:rsid w:val="701C1835"/>
    <w:rsid w:val="70291255"/>
    <w:rsid w:val="70375A12"/>
    <w:rsid w:val="703E715B"/>
    <w:rsid w:val="7040691A"/>
    <w:rsid w:val="70445AB7"/>
    <w:rsid w:val="7047186E"/>
    <w:rsid w:val="7048201A"/>
    <w:rsid w:val="7056191E"/>
    <w:rsid w:val="70562A29"/>
    <w:rsid w:val="70595070"/>
    <w:rsid w:val="705E19DE"/>
    <w:rsid w:val="708964BF"/>
    <w:rsid w:val="709A3CD2"/>
    <w:rsid w:val="70B26624"/>
    <w:rsid w:val="70B26869"/>
    <w:rsid w:val="70B83CDE"/>
    <w:rsid w:val="70BA14BD"/>
    <w:rsid w:val="70C46232"/>
    <w:rsid w:val="70CD46E2"/>
    <w:rsid w:val="70DF7B65"/>
    <w:rsid w:val="70E23BE7"/>
    <w:rsid w:val="70EB69A8"/>
    <w:rsid w:val="70F10521"/>
    <w:rsid w:val="71000B05"/>
    <w:rsid w:val="71064900"/>
    <w:rsid w:val="71085144"/>
    <w:rsid w:val="710A5BC6"/>
    <w:rsid w:val="710D66B2"/>
    <w:rsid w:val="71191B2A"/>
    <w:rsid w:val="712F25B9"/>
    <w:rsid w:val="713D34D4"/>
    <w:rsid w:val="714758A4"/>
    <w:rsid w:val="714C1606"/>
    <w:rsid w:val="714C437F"/>
    <w:rsid w:val="715318EC"/>
    <w:rsid w:val="7161174E"/>
    <w:rsid w:val="716B48BD"/>
    <w:rsid w:val="716F1EB0"/>
    <w:rsid w:val="7170022D"/>
    <w:rsid w:val="717D719F"/>
    <w:rsid w:val="717E4C6C"/>
    <w:rsid w:val="71812B10"/>
    <w:rsid w:val="71852404"/>
    <w:rsid w:val="71877958"/>
    <w:rsid w:val="718E0B00"/>
    <w:rsid w:val="71A238C0"/>
    <w:rsid w:val="71B37C2C"/>
    <w:rsid w:val="71B51D7B"/>
    <w:rsid w:val="71BE51B2"/>
    <w:rsid w:val="71C56AA8"/>
    <w:rsid w:val="71CD4273"/>
    <w:rsid w:val="71F23348"/>
    <w:rsid w:val="71F5054C"/>
    <w:rsid w:val="71FC2DB1"/>
    <w:rsid w:val="720A2236"/>
    <w:rsid w:val="7211495D"/>
    <w:rsid w:val="72191CC6"/>
    <w:rsid w:val="72192C03"/>
    <w:rsid w:val="721B6EB5"/>
    <w:rsid w:val="721C24D3"/>
    <w:rsid w:val="72206534"/>
    <w:rsid w:val="72222212"/>
    <w:rsid w:val="72230798"/>
    <w:rsid w:val="722670F5"/>
    <w:rsid w:val="722D22F0"/>
    <w:rsid w:val="72300644"/>
    <w:rsid w:val="72302790"/>
    <w:rsid w:val="72322023"/>
    <w:rsid w:val="724A0DED"/>
    <w:rsid w:val="72567B4E"/>
    <w:rsid w:val="725B416B"/>
    <w:rsid w:val="726246A4"/>
    <w:rsid w:val="726360EC"/>
    <w:rsid w:val="72690454"/>
    <w:rsid w:val="727450EF"/>
    <w:rsid w:val="72795746"/>
    <w:rsid w:val="727B3CC5"/>
    <w:rsid w:val="72800ED4"/>
    <w:rsid w:val="72852A76"/>
    <w:rsid w:val="72853420"/>
    <w:rsid w:val="7297071B"/>
    <w:rsid w:val="729A2E19"/>
    <w:rsid w:val="72A22F83"/>
    <w:rsid w:val="72B404C3"/>
    <w:rsid w:val="72B469B5"/>
    <w:rsid w:val="72B93E72"/>
    <w:rsid w:val="72BC56FA"/>
    <w:rsid w:val="72C578EF"/>
    <w:rsid w:val="72C751BF"/>
    <w:rsid w:val="72D1777C"/>
    <w:rsid w:val="72DA1401"/>
    <w:rsid w:val="72E2669E"/>
    <w:rsid w:val="72E66512"/>
    <w:rsid w:val="72EB0541"/>
    <w:rsid w:val="72EB5BD7"/>
    <w:rsid w:val="72F13471"/>
    <w:rsid w:val="72F6111E"/>
    <w:rsid w:val="72F74B9B"/>
    <w:rsid w:val="72FA5B04"/>
    <w:rsid w:val="72FD33A4"/>
    <w:rsid w:val="73043067"/>
    <w:rsid w:val="730453AB"/>
    <w:rsid w:val="73054B26"/>
    <w:rsid w:val="7306433C"/>
    <w:rsid w:val="730E7E3B"/>
    <w:rsid w:val="73267C84"/>
    <w:rsid w:val="73306513"/>
    <w:rsid w:val="733121DE"/>
    <w:rsid w:val="7338355D"/>
    <w:rsid w:val="733B0192"/>
    <w:rsid w:val="733F28C2"/>
    <w:rsid w:val="7360147A"/>
    <w:rsid w:val="73734595"/>
    <w:rsid w:val="73777288"/>
    <w:rsid w:val="737B68BE"/>
    <w:rsid w:val="73800FB7"/>
    <w:rsid w:val="73836632"/>
    <w:rsid w:val="738A42B6"/>
    <w:rsid w:val="73937C19"/>
    <w:rsid w:val="73A47D7B"/>
    <w:rsid w:val="73A5663F"/>
    <w:rsid w:val="73A77F28"/>
    <w:rsid w:val="73B13228"/>
    <w:rsid w:val="73C00ACC"/>
    <w:rsid w:val="73C256CA"/>
    <w:rsid w:val="73CA4918"/>
    <w:rsid w:val="73CE27A5"/>
    <w:rsid w:val="73CE6C73"/>
    <w:rsid w:val="73D06766"/>
    <w:rsid w:val="73D570C2"/>
    <w:rsid w:val="73DB15A8"/>
    <w:rsid w:val="73DE4008"/>
    <w:rsid w:val="73E4239E"/>
    <w:rsid w:val="73E61D6F"/>
    <w:rsid w:val="73E84DAA"/>
    <w:rsid w:val="73E94361"/>
    <w:rsid w:val="73F74ACF"/>
    <w:rsid w:val="73FC0FA4"/>
    <w:rsid w:val="74070270"/>
    <w:rsid w:val="741F6C68"/>
    <w:rsid w:val="742C2C44"/>
    <w:rsid w:val="742E6254"/>
    <w:rsid w:val="743B1E24"/>
    <w:rsid w:val="743F541F"/>
    <w:rsid w:val="744D7E3C"/>
    <w:rsid w:val="745070BB"/>
    <w:rsid w:val="745A5FFA"/>
    <w:rsid w:val="746102C5"/>
    <w:rsid w:val="746226B0"/>
    <w:rsid w:val="746527BE"/>
    <w:rsid w:val="746803F7"/>
    <w:rsid w:val="74732EA2"/>
    <w:rsid w:val="747E1003"/>
    <w:rsid w:val="74802AA5"/>
    <w:rsid w:val="7486371C"/>
    <w:rsid w:val="748B24D2"/>
    <w:rsid w:val="7493020B"/>
    <w:rsid w:val="74964CEC"/>
    <w:rsid w:val="74992700"/>
    <w:rsid w:val="74A7326F"/>
    <w:rsid w:val="74AA6C7D"/>
    <w:rsid w:val="74AA7F93"/>
    <w:rsid w:val="74B44247"/>
    <w:rsid w:val="74B86703"/>
    <w:rsid w:val="74D6302D"/>
    <w:rsid w:val="74E23C86"/>
    <w:rsid w:val="74E57D0F"/>
    <w:rsid w:val="74F27B9D"/>
    <w:rsid w:val="74F73A1D"/>
    <w:rsid w:val="74FF2781"/>
    <w:rsid w:val="75076ECA"/>
    <w:rsid w:val="75081344"/>
    <w:rsid w:val="75105DA6"/>
    <w:rsid w:val="751328C7"/>
    <w:rsid w:val="75134D86"/>
    <w:rsid w:val="752D3BF7"/>
    <w:rsid w:val="752F2662"/>
    <w:rsid w:val="75311CE5"/>
    <w:rsid w:val="75463454"/>
    <w:rsid w:val="7549241C"/>
    <w:rsid w:val="75527A35"/>
    <w:rsid w:val="755A157E"/>
    <w:rsid w:val="755E1213"/>
    <w:rsid w:val="755F34FA"/>
    <w:rsid w:val="75683F17"/>
    <w:rsid w:val="756B2B0A"/>
    <w:rsid w:val="757735DB"/>
    <w:rsid w:val="757B2615"/>
    <w:rsid w:val="758B3467"/>
    <w:rsid w:val="7596774D"/>
    <w:rsid w:val="75A966A3"/>
    <w:rsid w:val="75B16165"/>
    <w:rsid w:val="75B74FA0"/>
    <w:rsid w:val="75C15C49"/>
    <w:rsid w:val="75CB1086"/>
    <w:rsid w:val="75D02E2D"/>
    <w:rsid w:val="75F249EA"/>
    <w:rsid w:val="75F776FF"/>
    <w:rsid w:val="76045BD6"/>
    <w:rsid w:val="76166B64"/>
    <w:rsid w:val="761B3BC3"/>
    <w:rsid w:val="761E403F"/>
    <w:rsid w:val="762042D7"/>
    <w:rsid w:val="76336AA4"/>
    <w:rsid w:val="763E33A9"/>
    <w:rsid w:val="764B2B6E"/>
    <w:rsid w:val="764F6C1F"/>
    <w:rsid w:val="765C45EC"/>
    <w:rsid w:val="765E546C"/>
    <w:rsid w:val="76602CA0"/>
    <w:rsid w:val="76605EA5"/>
    <w:rsid w:val="76674F79"/>
    <w:rsid w:val="76712C54"/>
    <w:rsid w:val="767A0C57"/>
    <w:rsid w:val="76860A0E"/>
    <w:rsid w:val="76877C68"/>
    <w:rsid w:val="768E2594"/>
    <w:rsid w:val="768E78B5"/>
    <w:rsid w:val="768F227E"/>
    <w:rsid w:val="76972D25"/>
    <w:rsid w:val="76A02457"/>
    <w:rsid w:val="76A66301"/>
    <w:rsid w:val="76A90645"/>
    <w:rsid w:val="76AB4271"/>
    <w:rsid w:val="76BD724C"/>
    <w:rsid w:val="76C13EA3"/>
    <w:rsid w:val="76D0781D"/>
    <w:rsid w:val="76E40970"/>
    <w:rsid w:val="76F058C0"/>
    <w:rsid w:val="76F63013"/>
    <w:rsid w:val="76F84BF2"/>
    <w:rsid w:val="76FE4566"/>
    <w:rsid w:val="770510BD"/>
    <w:rsid w:val="770C1957"/>
    <w:rsid w:val="77110650"/>
    <w:rsid w:val="771B376A"/>
    <w:rsid w:val="771E7144"/>
    <w:rsid w:val="771F6BCF"/>
    <w:rsid w:val="772569C9"/>
    <w:rsid w:val="773C12BE"/>
    <w:rsid w:val="773D3681"/>
    <w:rsid w:val="774769B2"/>
    <w:rsid w:val="775D55CD"/>
    <w:rsid w:val="776110CE"/>
    <w:rsid w:val="77624876"/>
    <w:rsid w:val="776F1AFF"/>
    <w:rsid w:val="77723A96"/>
    <w:rsid w:val="777577AC"/>
    <w:rsid w:val="77873559"/>
    <w:rsid w:val="778953D3"/>
    <w:rsid w:val="778C631D"/>
    <w:rsid w:val="778F52E7"/>
    <w:rsid w:val="779D58E9"/>
    <w:rsid w:val="77DB5DD3"/>
    <w:rsid w:val="77E47322"/>
    <w:rsid w:val="77E479A7"/>
    <w:rsid w:val="77EA1DAF"/>
    <w:rsid w:val="77F037C2"/>
    <w:rsid w:val="77FD3014"/>
    <w:rsid w:val="78042432"/>
    <w:rsid w:val="780565BB"/>
    <w:rsid w:val="780879A1"/>
    <w:rsid w:val="780A7956"/>
    <w:rsid w:val="780B1119"/>
    <w:rsid w:val="781B0F56"/>
    <w:rsid w:val="781D6574"/>
    <w:rsid w:val="781F58C8"/>
    <w:rsid w:val="782238D7"/>
    <w:rsid w:val="78290051"/>
    <w:rsid w:val="783B658D"/>
    <w:rsid w:val="783B732A"/>
    <w:rsid w:val="783C238D"/>
    <w:rsid w:val="784B453C"/>
    <w:rsid w:val="785B4B39"/>
    <w:rsid w:val="78627FCD"/>
    <w:rsid w:val="7866523B"/>
    <w:rsid w:val="786816D9"/>
    <w:rsid w:val="786C3D8A"/>
    <w:rsid w:val="78A06CF1"/>
    <w:rsid w:val="78A92D61"/>
    <w:rsid w:val="78AD2000"/>
    <w:rsid w:val="78AD6BDE"/>
    <w:rsid w:val="78B05DDA"/>
    <w:rsid w:val="78B27180"/>
    <w:rsid w:val="78BA205D"/>
    <w:rsid w:val="78BB0717"/>
    <w:rsid w:val="78BB4D84"/>
    <w:rsid w:val="78D27515"/>
    <w:rsid w:val="78D71DC5"/>
    <w:rsid w:val="78DF26B6"/>
    <w:rsid w:val="78E459E9"/>
    <w:rsid w:val="78E6676D"/>
    <w:rsid w:val="78F30518"/>
    <w:rsid w:val="78F40579"/>
    <w:rsid w:val="78F6084F"/>
    <w:rsid w:val="7906177F"/>
    <w:rsid w:val="7915449E"/>
    <w:rsid w:val="79195EBB"/>
    <w:rsid w:val="79236381"/>
    <w:rsid w:val="79316296"/>
    <w:rsid w:val="793B6C23"/>
    <w:rsid w:val="794A62CF"/>
    <w:rsid w:val="795A76E5"/>
    <w:rsid w:val="796331CB"/>
    <w:rsid w:val="796D6A09"/>
    <w:rsid w:val="797839E7"/>
    <w:rsid w:val="797A546E"/>
    <w:rsid w:val="798B2D2C"/>
    <w:rsid w:val="799435E2"/>
    <w:rsid w:val="79B46CB5"/>
    <w:rsid w:val="79B65D61"/>
    <w:rsid w:val="79B91488"/>
    <w:rsid w:val="79C119ED"/>
    <w:rsid w:val="79C3739A"/>
    <w:rsid w:val="79C72DDC"/>
    <w:rsid w:val="79CD61D1"/>
    <w:rsid w:val="79D94718"/>
    <w:rsid w:val="79E1494E"/>
    <w:rsid w:val="79E9710E"/>
    <w:rsid w:val="79EA0F12"/>
    <w:rsid w:val="79F66551"/>
    <w:rsid w:val="7A0348C4"/>
    <w:rsid w:val="7A046A4F"/>
    <w:rsid w:val="7A0D3245"/>
    <w:rsid w:val="7A1506C9"/>
    <w:rsid w:val="7A1D6441"/>
    <w:rsid w:val="7A2B5877"/>
    <w:rsid w:val="7A2E23D4"/>
    <w:rsid w:val="7A2E7E8D"/>
    <w:rsid w:val="7A315568"/>
    <w:rsid w:val="7A316576"/>
    <w:rsid w:val="7A3913E3"/>
    <w:rsid w:val="7A3E1FAC"/>
    <w:rsid w:val="7A431F6F"/>
    <w:rsid w:val="7A57519D"/>
    <w:rsid w:val="7A633510"/>
    <w:rsid w:val="7A637F5F"/>
    <w:rsid w:val="7A651103"/>
    <w:rsid w:val="7A775246"/>
    <w:rsid w:val="7A7C529B"/>
    <w:rsid w:val="7A85182E"/>
    <w:rsid w:val="7A9358D1"/>
    <w:rsid w:val="7AAD5DC9"/>
    <w:rsid w:val="7AB025CC"/>
    <w:rsid w:val="7AB32F83"/>
    <w:rsid w:val="7AB333B9"/>
    <w:rsid w:val="7AB634FA"/>
    <w:rsid w:val="7ABF1076"/>
    <w:rsid w:val="7AC07DCC"/>
    <w:rsid w:val="7AC354A3"/>
    <w:rsid w:val="7ACE209F"/>
    <w:rsid w:val="7AD26819"/>
    <w:rsid w:val="7AD80DA2"/>
    <w:rsid w:val="7AE86F87"/>
    <w:rsid w:val="7AEB19A8"/>
    <w:rsid w:val="7B0924A9"/>
    <w:rsid w:val="7B0D49D6"/>
    <w:rsid w:val="7B107117"/>
    <w:rsid w:val="7B115AFF"/>
    <w:rsid w:val="7B1C24EB"/>
    <w:rsid w:val="7B2425BB"/>
    <w:rsid w:val="7B290C63"/>
    <w:rsid w:val="7B2A67BC"/>
    <w:rsid w:val="7B355A63"/>
    <w:rsid w:val="7B3F545C"/>
    <w:rsid w:val="7B43688D"/>
    <w:rsid w:val="7B4856B8"/>
    <w:rsid w:val="7B496007"/>
    <w:rsid w:val="7B4F767B"/>
    <w:rsid w:val="7B564F90"/>
    <w:rsid w:val="7B615B7C"/>
    <w:rsid w:val="7B681468"/>
    <w:rsid w:val="7B707A7B"/>
    <w:rsid w:val="7B71523C"/>
    <w:rsid w:val="7B795EC3"/>
    <w:rsid w:val="7B911BD2"/>
    <w:rsid w:val="7BA13EAC"/>
    <w:rsid w:val="7BA21356"/>
    <w:rsid w:val="7BA25CED"/>
    <w:rsid w:val="7BAB5214"/>
    <w:rsid w:val="7BBC7E8F"/>
    <w:rsid w:val="7BC03982"/>
    <w:rsid w:val="7BC11942"/>
    <w:rsid w:val="7BC9144F"/>
    <w:rsid w:val="7BCB16BB"/>
    <w:rsid w:val="7BCD3900"/>
    <w:rsid w:val="7BDB07F7"/>
    <w:rsid w:val="7BF07157"/>
    <w:rsid w:val="7BF33DFE"/>
    <w:rsid w:val="7C1A395D"/>
    <w:rsid w:val="7C2735CB"/>
    <w:rsid w:val="7C2C4472"/>
    <w:rsid w:val="7C336FB7"/>
    <w:rsid w:val="7C370173"/>
    <w:rsid w:val="7C391180"/>
    <w:rsid w:val="7C3F144B"/>
    <w:rsid w:val="7C420ADE"/>
    <w:rsid w:val="7C4971D1"/>
    <w:rsid w:val="7C4C3E2A"/>
    <w:rsid w:val="7C4C506B"/>
    <w:rsid w:val="7C5B30E6"/>
    <w:rsid w:val="7C686C99"/>
    <w:rsid w:val="7C692B12"/>
    <w:rsid w:val="7C7B4437"/>
    <w:rsid w:val="7C7B51C2"/>
    <w:rsid w:val="7C915078"/>
    <w:rsid w:val="7C956D23"/>
    <w:rsid w:val="7CAC1146"/>
    <w:rsid w:val="7CB426EE"/>
    <w:rsid w:val="7CB65FAF"/>
    <w:rsid w:val="7CB9105F"/>
    <w:rsid w:val="7CB93E3E"/>
    <w:rsid w:val="7CBD2034"/>
    <w:rsid w:val="7CC46D09"/>
    <w:rsid w:val="7CC5160E"/>
    <w:rsid w:val="7CDB5D6E"/>
    <w:rsid w:val="7CDC5A32"/>
    <w:rsid w:val="7CE75494"/>
    <w:rsid w:val="7CEE1C4E"/>
    <w:rsid w:val="7CF03B6B"/>
    <w:rsid w:val="7CF0527A"/>
    <w:rsid w:val="7CF6738A"/>
    <w:rsid w:val="7CFF267F"/>
    <w:rsid w:val="7CFF7518"/>
    <w:rsid w:val="7D071864"/>
    <w:rsid w:val="7D07749D"/>
    <w:rsid w:val="7D0C4964"/>
    <w:rsid w:val="7D0E712A"/>
    <w:rsid w:val="7D1C06AC"/>
    <w:rsid w:val="7D2070A8"/>
    <w:rsid w:val="7D2A721F"/>
    <w:rsid w:val="7D3035C8"/>
    <w:rsid w:val="7D382AD7"/>
    <w:rsid w:val="7D413D12"/>
    <w:rsid w:val="7D415304"/>
    <w:rsid w:val="7D527EB4"/>
    <w:rsid w:val="7D5412BE"/>
    <w:rsid w:val="7D552A25"/>
    <w:rsid w:val="7D5868FD"/>
    <w:rsid w:val="7D70243F"/>
    <w:rsid w:val="7D72185F"/>
    <w:rsid w:val="7D735C09"/>
    <w:rsid w:val="7D836950"/>
    <w:rsid w:val="7D8B1689"/>
    <w:rsid w:val="7D8D1C61"/>
    <w:rsid w:val="7D9628FA"/>
    <w:rsid w:val="7D9A0B7B"/>
    <w:rsid w:val="7D9B7CF4"/>
    <w:rsid w:val="7DA02AD6"/>
    <w:rsid w:val="7DA6262B"/>
    <w:rsid w:val="7DB56032"/>
    <w:rsid w:val="7DC30C9A"/>
    <w:rsid w:val="7DC60092"/>
    <w:rsid w:val="7DC61EE7"/>
    <w:rsid w:val="7DC65D01"/>
    <w:rsid w:val="7DC77FA8"/>
    <w:rsid w:val="7DCA35D7"/>
    <w:rsid w:val="7DD71371"/>
    <w:rsid w:val="7DDD0B1D"/>
    <w:rsid w:val="7DDF4822"/>
    <w:rsid w:val="7DE22A43"/>
    <w:rsid w:val="7DED3159"/>
    <w:rsid w:val="7DF013FF"/>
    <w:rsid w:val="7DF13C15"/>
    <w:rsid w:val="7DFD3EA0"/>
    <w:rsid w:val="7E00473A"/>
    <w:rsid w:val="7E016A50"/>
    <w:rsid w:val="7E04319F"/>
    <w:rsid w:val="7E052A7F"/>
    <w:rsid w:val="7E1562B5"/>
    <w:rsid w:val="7E166EB7"/>
    <w:rsid w:val="7E327214"/>
    <w:rsid w:val="7E396080"/>
    <w:rsid w:val="7E3B2AF2"/>
    <w:rsid w:val="7E3D7A22"/>
    <w:rsid w:val="7E3E4B53"/>
    <w:rsid w:val="7E3F2072"/>
    <w:rsid w:val="7E444293"/>
    <w:rsid w:val="7E47550A"/>
    <w:rsid w:val="7E482F78"/>
    <w:rsid w:val="7E4C3327"/>
    <w:rsid w:val="7E5F12CD"/>
    <w:rsid w:val="7E624A43"/>
    <w:rsid w:val="7E632947"/>
    <w:rsid w:val="7E633491"/>
    <w:rsid w:val="7E681320"/>
    <w:rsid w:val="7E6B5F93"/>
    <w:rsid w:val="7E6D4B1A"/>
    <w:rsid w:val="7E7077B7"/>
    <w:rsid w:val="7E717ED1"/>
    <w:rsid w:val="7E7425DB"/>
    <w:rsid w:val="7E843982"/>
    <w:rsid w:val="7E851BE1"/>
    <w:rsid w:val="7E856010"/>
    <w:rsid w:val="7E86086C"/>
    <w:rsid w:val="7E931112"/>
    <w:rsid w:val="7E9939AD"/>
    <w:rsid w:val="7E9B7C68"/>
    <w:rsid w:val="7EAC1C86"/>
    <w:rsid w:val="7EAD1184"/>
    <w:rsid w:val="7EB40D8F"/>
    <w:rsid w:val="7EC41D17"/>
    <w:rsid w:val="7EC54BA8"/>
    <w:rsid w:val="7EC8735F"/>
    <w:rsid w:val="7EDF5E73"/>
    <w:rsid w:val="7EE86C62"/>
    <w:rsid w:val="7EF947FD"/>
    <w:rsid w:val="7F021779"/>
    <w:rsid w:val="7F0B17A7"/>
    <w:rsid w:val="7F0B5874"/>
    <w:rsid w:val="7F0C7536"/>
    <w:rsid w:val="7F1D4B5A"/>
    <w:rsid w:val="7F241A56"/>
    <w:rsid w:val="7F2F15B7"/>
    <w:rsid w:val="7F3A317F"/>
    <w:rsid w:val="7F4A0531"/>
    <w:rsid w:val="7F4C2D5B"/>
    <w:rsid w:val="7F505802"/>
    <w:rsid w:val="7F511B6E"/>
    <w:rsid w:val="7F534552"/>
    <w:rsid w:val="7F58243C"/>
    <w:rsid w:val="7F6372B5"/>
    <w:rsid w:val="7F742E28"/>
    <w:rsid w:val="7F890294"/>
    <w:rsid w:val="7F8C2BB0"/>
    <w:rsid w:val="7F8E72DF"/>
    <w:rsid w:val="7F8F3581"/>
    <w:rsid w:val="7F8F4B55"/>
    <w:rsid w:val="7F9805EA"/>
    <w:rsid w:val="7F9C19D5"/>
    <w:rsid w:val="7F9F5E68"/>
    <w:rsid w:val="7FA90074"/>
    <w:rsid w:val="7FA97BC7"/>
    <w:rsid w:val="7FB318B7"/>
    <w:rsid w:val="7FB5356C"/>
    <w:rsid w:val="7FBE6C06"/>
    <w:rsid w:val="7FC74757"/>
    <w:rsid w:val="7FC925E2"/>
    <w:rsid w:val="7FD83B25"/>
    <w:rsid w:val="7FD87662"/>
    <w:rsid w:val="7FE4201D"/>
    <w:rsid w:val="7FE86315"/>
    <w:rsid w:val="7FF2625C"/>
    <w:rsid w:val="7FFF3AC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unhideWhenUsed="0" w:uiPriority="99" w:semiHidden="0" w:name="toc 3"/>
    <w:lsdException w:qFormat="1" w:unhideWhenUsed="0" w:uiPriority="99" w:semiHidden="0" w:name="toc 4"/>
    <w:lsdException w:unhideWhenUsed="0" w:uiPriority="99" w:semiHidden="0" w:name="toc 5"/>
    <w:lsdException w:qFormat="1" w:unhideWhenUsed="0" w:uiPriority="99" w:semiHidden="0" w:name="toc 6"/>
    <w:lsdException w:unhideWhenUsed="0" w:uiPriority="99" w:semiHidden="0" w:name="toc 7"/>
    <w:lsdException w:qFormat="1" w:unhideWhenUsed="0" w:uiPriority="99" w:semiHidden="0" w:name="toc 8"/>
    <w:lsdException w:qFormat="1" w:unhideWhenUsed="0" w:uiPriority="99" w:semiHidden="0" w:name="toc 9"/>
    <w:lsdException w:uiPriority="99" w:name="Normal Indent" w:locked="1"/>
    <w:lsdException w:qFormat="1" w:unhideWhenUsed="0" w:uiPriority="99" w:semiHidden="0" w:name="footnote text"/>
    <w:lsdException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qFormat="1" w:unhideWhenUsed="0" w:uiPriority="99" w:semiHidden="0" w:name="footnote reference"/>
    <w:lsdException w:qFormat="1" w:unhideWhenUsed="0" w:uiPriority="99" w:semiHidden="0" w:name="annotation reference"/>
    <w:lsdException w:uiPriority="99" w:name="line number" w:locked="1"/>
    <w:lsdException w:uiPriority="99" w:name="page number" w:locked="1"/>
    <w:lsdException w:uiPriority="99" w:name="endnote reference" w:locked="1"/>
    <w:lsdException w:uiPriority="99" w:name="endnote text" w:locked="1"/>
    <w:lsdException w:unhideWhenUsed="0" w:uiPriority="99" w:semiHidden="0" w:name="table of authorities"/>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unhideWhenUsed="0" w:uiPriority="99" w:name="Default Paragraph Font"/>
    <w:lsdException w:unhideWhenUsed="0" w:uiPriority="99" w:name="Body Text"/>
    <w:lsdException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qFormat="1" w:unhideWhenUsed="0" w:uiPriority="99" w:semiHidden="0" w:name="Body Text First Indent"/>
    <w:lsdException w:qFormat="1" w:unhideWhenUsed="0" w:uiPriority="99" w:semiHidden="0" w:name="Body Text First Indent 2"/>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name="FollowedHyperlink"/>
    <w:lsdException w:qFormat="1" w:unhideWhenUsed="0" w:uiPriority="99" w:semiHidden="0" w:name="Strong"/>
    <w:lsdException w:qFormat="1" w:unhideWhenUsed="0" w:uiPriority="99" w:semiHidden="0" w:name="Emphasis"/>
    <w:lsdException w:unhideWhenUsed="0" w:uiPriority="99" w:name="Document Map"/>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qFormat="1" w:unhideWhenUsed="0" w:uiPriority="99" w:name="HTML Code"/>
    <w:lsdException w:qFormat="1" w:unhideWhenUsed="0" w:uiPriority="99" w:name="HTML Definition"/>
    <w:lsdException w:qFormat="1" w:unhideWhenUsed="0" w:uiPriority="99" w:semiHidden="0" w:name="HTML Keyboard"/>
    <w:lsdException w:qFormat="1" w:unhideWhenUsed="0" w:uiPriority="99" w:name="HTML Preformatted"/>
    <w:lsdException w:qFormat="1" w:unhideWhenUsed="0" w:uiPriority="99" w:name="HTML Sample"/>
    <w:lsdException w:qFormat="1" w:unhideWhenUsed="0" w:uiPriority="99" w:name="HTML Typewriter"/>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3">
    <w:name w:val="heading 1"/>
    <w:basedOn w:val="1"/>
    <w:next w:val="1"/>
    <w:link w:val="46"/>
    <w:qFormat/>
    <w:uiPriority w:val="99"/>
    <w:pPr>
      <w:keepNext/>
      <w:keepLines/>
      <w:spacing w:before="340" w:after="330" w:line="578" w:lineRule="auto"/>
      <w:outlineLvl w:val="0"/>
    </w:pPr>
    <w:rPr>
      <w:b/>
      <w:bCs/>
      <w:kern w:val="44"/>
      <w:sz w:val="44"/>
      <w:szCs w:val="44"/>
    </w:rPr>
  </w:style>
  <w:style w:type="paragraph" w:styleId="4">
    <w:name w:val="heading 2"/>
    <w:basedOn w:val="5"/>
    <w:next w:val="1"/>
    <w:link w:val="47"/>
    <w:qFormat/>
    <w:uiPriority w:val="99"/>
    <w:pPr>
      <w:keepNext/>
      <w:keepLines/>
      <w:spacing w:before="260" w:after="260" w:line="416" w:lineRule="auto"/>
      <w:outlineLvl w:val="1"/>
    </w:pPr>
    <w:rPr>
      <w:rFonts w:ascii="等线 Light" w:hAnsi="等线 Light" w:eastAsia="等线 Light" w:cs="Times New Roman"/>
      <w:b/>
      <w:bCs/>
      <w:sz w:val="32"/>
      <w:szCs w:val="32"/>
    </w:rPr>
  </w:style>
  <w:style w:type="paragraph" w:styleId="6">
    <w:name w:val="heading 3"/>
    <w:basedOn w:val="1"/>
    <w:next w:val="1"/>
    <w:link w:val="68"/>
    <w:qFormat/>
    <w:uiPriority w:val="99"/>
    <w:pPr>
      <w:keepNext/>
      <w:keepLines/>
      <w:spacing w:before="260" w:after="260" w:line="416" w:lineRule="auto"/>
      <w:outlineLvl w:val="2"/>
    </w:pPr>
    <w:rPr>
      <w:b/>
      <w:bCs/>
      <w:sz w:val="32"/>
      <w:szCs w:val="32"/>
    </w:rPr>
  </w:style>
  <w:style w:type="paragraph" w:styleId="7">
    <w:name w:val="heading 4"/>
    <w:basedOn w:val="1"/>
    <w:next w:val="1"/>
    <w:link w:val="49"/>
    <w:qFormat/>
    <w:uiPriority w:val="99"/>
    <w:pPr>
      <w:keepNext/>
      <w:keepLines/>
      <w:spacing w:line="360" w:lineRule="auto"/>
      <w:outlineLvl w:val="3"/>
    </w:pPr>
    <w:rPr>
      <w:rFonts w:ascii="Cambria" w:hAnsi="Cambria"/>
      <w:bCs/>
      <w:szCs w:val="28"/>
    </w:rPr>
  </w:style>
  <w:style w:type="character" w:default="1" w:styleId="34">
    <w:name w:val="Default Paragraph Font"/>
    <w:semiHidden/>
    <w:uiPriority w:val="99"/>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2">
    <w:name w:val="table of authorities"/>
    <w:basedOn w:val="1"/>
    <w:next w:val="1"/>
    <w:uiPriority w:val="99"/>
    <w:pPr>
      <w:ind w:left="420" w:leftChars="200"/>
    </w:pPr>
  </w:style>
  <w:style w:type="paragraph" w:customStyle="1" w:styleId="5">
    <w:name w:val="称谓"/>
    <w:basedOn w:val="1"/>
    <w:uiPriority w:val="99"/>
    <w:rPr>
      <w:rFonts w:eastAsia="仿宋_GB2312" w:cs="宋体"/>
      <w:sz w:val="30"/>
    </w:rPr>
  </w:style>
  <w:style w:type="paragraph" w:styleId="8">
    <w:name w:val="toc 7"/>
    <w:basedOn w:val="1"/>
    <w:next w:val="1"/>
    <w:uiPriority w:val="99"/>
    <w:pPr>
      <w:ind w:left="2520" w:leftChars="1200"/>
    </w:pPr>
    <w:rPr>
      <w:rFonts w:ascii="等线" w:hAnsi="等线" w:eastAsia="等线"/>
      <w:szCs w:val="22"/>
    </w:rPr>
  </w:style>
  <w:style w:type="paragraph" w:styleId="9">
    <w:name w:val="Document Map"/>
    <w:basedOn w:val="1"/>
    <w:link w:val="50"/>
    <w:semiHidden/>
    <w:uiPriority w:val="99"/>
    <w:rPr>
      <w:rFonts w:ascii="宋体"/>
      <w:sz w:val="18"/>
      <w:szCs w:val="18"/>
    </w:rPr>
  </w:style>
  <w:style w:type="paragraph" w:styleId="10">
    <w:name w:val="annotation text"/>
    <w:basedOn w:val="1"/>
    <w:link w:val="51"/>
    <w:uiPriority w:val="99"/>
    <w:pPr>
      <w:jc w:val="left"/>
    </w:pPr>
  </w:style>
  <w:style w:type="paragraph" w:styleId="11">
    <w:name w:val="Body Text"/>
    <w:basedOn w:val="1"/>
    <w:next w:val="12"/>
    <w:link w:val="52"/>
    <w:semiHidden/>
    <w:uiPriority w:val="99"/>
    <w:pPr>
      <w:spacing w:after="120"/>
    </w:pPr>
  </w:style>
  <w:style w:type="paragraph" w:styleId="12">
    <w:name w:val="toc 5"/>
    <w:basedOn w:val="1"/>
    <w:next w:val="1"/>
    <w:uiPriority w:val="99"/>
    <w:pPr>
      <w:ind w:left="1680" w:leftChars="800"/>
    </w:pPr>
    <w:rPr>
      <w:rFonts w:ascii="等线" w:hAnsi="等线" w:eastAsia="等线"/>
      <w:szCs w:val="22"/>
    </w:rPr>
  </w:style>
  <w:style w:type="paragraph" w:styleId="13">
    <w:name w:val="Body Text Indent"/>
    <w:basedOn w:val="1"/>
    <w:link w:val="53"/>
    <w:uiPriority w:val="99"/>
    <w:pPr>
      <w:ind w:firstLine="640" w:firstLineChars="200"/>
    </w:pPr>
    <w:rPr>
      <w:rFonts w:eastAsia="仿宋_GB2312"/>
      <w:sz w:val="32"/>
      <w:szCs w:val="32"/>
    </w:rPr>
  </w:style>
  <w:style w:type="paragraph" w:styleId="14">
    <w:name w:val="toc 3"/>
    <w:basedOn w:val="1"/>
    <w:next w:val="1"/>
    <w:uiPriority w:val="99"/>
    <w:pPr>
      <w:widowControl/>
      <w:spacing w:after="100" w:line="259" w:lineRule="auto"/>
      <w:ind w:left="440"/>
      <w:jc w:val="left"/>
    </w:pPr>
    <w:rPr>
      <w:rFonts w:ascii="等线" w:hAnsi="等线" w:eastAsia="等线"/>
      <w:kern w:val="0"/>
      <w:sz w:val="22"/>
      <w:szCs w:val="22"/>
    </w:rPr>
  </w:style>
  <w:style w:type="paragraph" w:styleId="15">
    <w:name w:val="toc 8"/>
    <w:basedOn w:val="1"/>
    <w:next w:val="1"/>
    <w:qFormat/>
    <w:uiPriority w:val="99"/>
    <w:pPr>
      <w:ind w:left="2940" w:leftChars="1400"/>
    </w:pPr>
    <w:rPr>
      <w:rFonts w:ascii="等线" w:hAnsi="等线" w:eastAsia="等线"/>
      <w:szCs w:val="22"/>
    </w:rPr>
  </w:style>
  <w:style w:type="paragraph" w:styleId="16">
    <w:name w:val="Balloon Text"/>
    <w:basedOn w:val="1"/>
    <w:link w:val="54"/>
    <w:qFormat/>
    <w:uiPriority w:val="99"/>
    <w:rPr>
      <w:sz w:val="18"/>
      <w:szCs w:val="18"/>
    </w:rPr>
  </w:style>
  <w:style w:type="paragraph" w:styleId="17">
    <w:name w:val="footer"/>
    <w:basedOn w:val="1"/>
    <w:next w:val="1"/>
    <w:link w:val="55"/>
    <w:qFormat/>
    <w:uiPriority w:val="99"/>
    <w:pPr>
      <w:tabs>
        <w:tab w:val="center" w:pos="4153"/>
        <w:tab w:val="right" w:pos="8306"/>
      </w:tabs>
      <w:snapToGrid w:val="0"/>
      <w:jc w:val="left"/>
    </w:pPr>
    <w:rPr>
      <w:sz w:val="18"/>
      <w:szCs w:val="18"/>
    </w:rPr>
  </w:style>
  <w:style w:type="paragraph" w:styleId="18">
    <w:name w:val="header"/>
    <w:basedOn w:val="1"/>
    <w:link w:val="56"/>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qFormat/>
    <w:uiPriority w:val="99"/>
    <w:pPr>
      <w:tabs>
        <w:tab w:val="right" w:leader="middleDot" w:pos="8494"/>
      </w:tabs>
      <w:spacing w:line="520" w:lineRule="exact"/>
    </w:pPr>
    <w:rPr>
      <w:rFonts w:ascii="黑体" w:hAnsi="黑体" w:eastAsia="黑体"/>
      <w:caps/>
      <w:sz w:val="30"/>
      <w:szCs w:val="30"/>
    </w:rPr>
  </w:style>
  <w:style w:type="paragraph" w:styleId="20">
    <w:name w:val="toc 4"/>
    <w:basedOn w:val="1"/>
    <w:next w:val="1"/>
    <w:qFormat/>
    <w:uiPriority w:val="99"/>
    <w:pPr>
      <w:ind w:left="1260" w:leftChars="600"/>
    </w:pPr>
    <w:rPr>
      <w:rFonts w:ascii="等线" w:hAnsi="等线" w:eastAsia="等线"/>
      <w:szCs w:val="22"/>
    </w:rPr>
  </w:style>
  <w:style w:type="paragraph" w:styleId="21">
    <w:name w:val="footnote text"/>
    <w:basedOn w:val="1"/>
    <w:link w:val="57"/>
    <w:qFormat/>
    <w:uiPriority w:val="99"/>
    <w:pPr>
      <w:snapToGrid w:val="0"/>
      <w:jc w:val="left"/>
    </w:pPr>
    <w:rPr>
      <w:sz w:val="18"/>
      <w:szCs w:val="18"/>
    </w:rPr>
  </w:style>
  <w:style w:type="paragraph" w:styleId="22">
    <w:name w:val="toc 6"/>
    <w:basedOn w:val="1"/>
    <w:next w:val="1"/>
    <w:qFormat/>
    <w:uiPriority w:val="99"/>
    <w:pPr>
      <w:ind w:left="2100" w:leftChars="1000"/>
    </w:pPr>
    <w:rPr>
      <w:rFonts w:ascii="等线" w:hAnsi="等线" w:eastAsia="等线"/>
      <w:szCs w:val="22"/>
    </w:rPr>
  </w:style>
  <w:style w:type="paragraph" w:styleId="23">
    <w:name w:val="toc 2"/>
    <w:basedOn w:val="1"/>
    <w:next w:val="1"/>
    <w:qFormat/>
    <w:uiPriority w:val="99"/>
    <w:pPr>
      <w:widowControl/>
      <w:tabs>
        <w:tab w:val="right" w:leader="middleDot" w:pos="8296"/>
      </w:tabs>
      <w:spacing w:after="100" w:line="520" w:lineRule="exact"/>
      <w:ind w:left="220"/>
      <w:jc w:val="left"/>
    </w:pPr>
    <w:rPr>
      <w:rFonts w:ascii="方正楷体_GBK" w:hAnsi="方正楷体_GBK" w:eastAsia="方正楷体_GBK" w:cs="方正楷体_GBK"/>
      <w:kern w:val="0"/>
      <w:sz w:val="28"/>
      <w:szCs w:val="28"/>
    </w:rPr>
  </w:style>
  <w:style w:type="paragraph" w:styleId="24">
    <w:name w:val="toc 9"/>
    <w:basedOn w:val="1"/>
    <w:next w:val="1"/>
    <w:qFormat/>
    <w:uiPriority w:val="99"/>
    <w:pPr>
      <w:ind w:left="3360" w:leftChars="1600"/>
    </w:pPr>
    <w:rPr>
      <w:rFonts w:ascii="等线" w:hAnsi="等线" w:eastAsia="等线"/>
      <w:szCs w:val="22"/>
    </w:rPr>
  </w:style>
  <w:style w:type="paragraph" w:styleId="25">
    <w:name w:val="Body Text 2"/>
    <w:basedOn w:val="1"/>
    <w:link w:val="58"/>
    <w:qFormat/>
    <w:uiPriority w:val="99"/>
    <w:pPr>
      <w:snapToGrid w:val="0"/>
      <w:spacing w:line="540" w:lineRule="exact"/>
    </w:pPr>
    <w:rPr>
      <w:rFonts w:eastAsia="方正仿宋_GBK"/>
      <w:color w:val="000000"/>
    </w:rPr>
  </w:style>
  <w:style w:type="paragraph" w:styleId="26">
    <w:name w:val="HTML Preformatted"/>
    <w:basedOn w:val="1"/>
    <w:link w:val="59"/>
    <w:semiHidden/>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7">
    <w:name w:val="Normal (Web)"/>
    <w:basedOn w:val="1"/>
    <w:qFormat/>
    <w:uiPriority w:val="99"/>
    <w:pPr>
      <w:jc w:val="left"/>
    </w:pPr>
    <w:rPr>
      <w:rFonts w:ascii="等线" w:hAnsi="等线" w:eastAsia="等线"/>
      <w:kern w:val="0"/>
      <w:sz w:val="24"/>
      <w:szCs w:val="24"/>
    </w:rPr>
  </w:style>
  <w:style w:type="paragraph" w:styleId="28">
    <w:name w:val="Title"/>
    <w:basedOn w:val="1"/>
    <w:next w:val="1"/>
    <w:link w:val="60"/>
    <w:qFormat/>
    <w:uiPriority w:val="99"/>
    <w:pPr>
      <w:spacing w:before="240" w:after="60"/>
      <w:jc w:val="center"/>
      <w:outlineLvl w:val="0"/>
    </w:pPr>
    <w:rPr>
      <w:rFonts w:ascii="等线 Light" w:hAnsi="等线 Light" w:eastAsia="等线 Light"/>
      <w:b/>
      <w:bCs/>
      <w:sz w:val="32"/>
      <w:szCs w:val="32"/>
    </w:rPr>
  </w:style>
  <w:style w:type="paragraph" w:styleId="29">
    <w:name w:val="annotation subject"/>
    <w:basedOn w:val="10"/>
    <w:next w:val="10"/>
    <w:link w:val="61"/>
    <w:qFormat/>
    <w:uiPriority w:val="99"/>
    <w:rPr>
      <w:b/>
      <w:bCs/>
    </w:rPr>
  </w:style>
  <w:style w:type="paragraph" w:styleId="30">
    <w:name w:val="Body Text First Indent"/>
    <w:basedOn w:val="11"/>
    <w:link w:val="62"/>
    <w:qFormat/>
    <w:uiPriority w:val="99"/>
    <w:pPr>
      <w:spacing w:after="0"/>
      <w:ind w:firstLine="100" w:firstLineChars="100"/>
      <w:jc w:val="center"/>
    </w:pPr>
    <w:rPr>
      <w:rFonts w:ascii="方正大标宋简体" w:eastAsia="方正大标宋简体"/>
      <w:sz w:val="36"/>
      <w:szCs w:val="36"/>
    </w:rPr>
  </w:style>
  <w:style w:type="paragraph" w:styleId="31">
    <w:name w:val="Body Text First Indent 2"/>
    <w:basedOn w:val="13"/>
    <w:link w:val="63"/>
    <w:qFormat/>
    <w:uiPriority w:val="99"/>
    <w:pPr>
      <w:ind w:firstLine="420"/>
    </w:pPr>
  </w:style>
  <w:style w:type="table" w:styleId="33">
    <w:name w:val="Table Grid"/>
    <w:basedOn w:val="32"/>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5">
    <w:name w:val="Strong"/>
    <w:basedOn w:val="34"/>
    <w:qFormat/>
    <w:uiPriority w:val="99"/>
    <w:rPr>
      <w:rFonts w:cs="Times New Roman"/>
      <w:b/>
      <w:bCs/>
    </w:rPr>
  </w:style>
  <w:style w:type="character" w:styleId="36">
    <w:name w:val="FollowedHyperlink"/>
    <w:basedOn w:val="34"/>
    <w:semiHidden/>
    <w:qFormat/>
    <w:uiPriority w:val="99"/>
    <w:rPr>
      <w:rFonts w:cs="Times New Roman"/>
      <w:color w:val="333333"/>
      <w:u w:val="none"/>
    </w:rPr>
  </w:style>
  <w:style w:type="character" w:styleId="37">
    <w:name w:val="Emphasis"/>
    <w:basedOn w:val="34"/>
    <w:qFormat/>
    <w:uiPriority w:val="99"/>
    <w:rPr>
      <w:rFonts w:cs="Times New Roman"/>
    </w:rPr>
  </w:style>
  <w:style w:type="character" w:styleId="38">
    <w:name w:val="HTML Definition"/>
    <w:basedOn w:val="34"/>
    <w:semiHidden/>
    <w:qFormat/>
    <w:uiPriority w:val="99"/>
    <w:rPr>
      <w:rFonts w:cs="Times New Roman"/>
      <w:i/>
      <w:iCs/>
    </w:rPr>
  </w:style>
  <w:style w:type="character" w:styleId="39">
    <w:name w:val="HTML Typewriter"/>
    <w:basedOn w:val="34"/>
    <w:semiHidden/>
    <w:qFormat/>
    <w:uiPriority w:val="99"/>
    <w:rPr>
      <w:rFonts w:cs="Times New Roman"/>
      <w:sz w:val="25"/>
      <w:szCs w:val="25"/>
    </w:rPr>
  </w:style>
  <w:style w:type="character" w:styleId="40">
    <w:name w:val="Hyperlink"/>
    <w:basedOn w:val="34"/>
    <w:qFormat/>
    <w:uiPriority w:val="99"/>
    <w:rPr>
      <w:rFonts w:cs="Times New Roman"/>
      <w:color w:val="136EC2"/>
      <w:u w:val="single"/>
    </w:rPr>
  </w:style>
  <w:style w:type="character" w:styleId="41">
    <w:name w:val="HTML Code"/>
    <w:basedOn w:val="34"/>
    <w:semiHidden/>
    <w:qFormat/>
    <w:uiPriority w:val="99"/>
    <w:rPr>
      <w:rFonts w:ascii="Consolas" w:hAnsi="Consolas" w:cs="Consolas"/>
      <w:color w:val="C7254E"/>
      <w:sz w:val="21"/>
      <w:szCs w:val="21"/>
      <w:shd w:val="clear" w:color="auto" w:fill="F9F2F4"/>
    </w:rPr>
  </w:style>
  <w:style w:type="character" w:styleId="42">
    <w:name w:val="annotation reference"/>
    <w:basedOn w:val="34"/>
    <w:qFormat/>
    <w:uiPriority w:val="99"/>
    <w:rPr>
      <w:rFonts w:cs="Times New Roman"/>
      <w:sz w:val="21"/>
      <w:szCs w:val="21"/>
    </w:rPr>
  </w:style>
  <w:style w:type="character" w:styleId="43">
    <w:name w:val="footnote reference"/>
    <w:basedOn w:val="34"/>
    <w:qFormat/>
    <w:uiPriority w:val="99"/>
    <w:rPr>
      <w:rFonts w:cs="Times New Roman"/>
      <w:vertAlign w:val="superscript"/>
    </w:rPr>
  </w:style>
  <w:style w:type="character" w:styleId="44">
    <w:name w:val="HTML Keyboard"/>
    <w:basedOn w:val="34"/>
    <w:qFormat/>
    <w:uiPriority w:val="99"/>
    <w:rPr>
      <w:rFonts w:ascii="Consolas" w:hAnsi="Consolas" w:cs="Consolas"/>
      <w:color w:val="FFFFFF"/>
      <w:sz w:val="21"/>
      <w:szCs w:val="21"/>
      <w:shd w:val="clear" w:color="auto" w:fill="333333"/>
    </w:rPr>
  </w:style>
  <w:style w:type="character" w:styleId="45">
    <w:name w:val="HTML Sample"/>
    <w:basedOn w:val="34"/>
    <w:semiHidden/>
    <w:qFormat/>
    <w:uiPriority w:val="99"/>
    <w:rPr>
      <w:rFonts w:ascii="Consolas" w:hAnsi="Consolas" w:cs="Consolas"/>
      <w:sz w:val="21"/>
      <w:szCs w:val="21"/>
    </w:rPr>
  </w:style>
  <w:style w:type="character" w:customStyle="1" w:styleId="46">
    <w:name w:val="Heading 1 Char"/>
    <w:basedOn w:val="34"/>
    <w:link w:val="3"/>
    <w:locked/>
    <w:uiPriority w:val="99"/>
    <w:rPr>
      <w:rFonts w:ascii="Times New Roman" w:hAnsi="Times New Roman" w:eastAsia="宋体" w:cs="Times New Roman"/>
      <w:b/>
      <w:bCs/>
      <w:kern w:val="44"/>
      <w:sz w:val="44"/>
      <w:szCs w:val="44"/>
    </w:rPr>
  </w:style>
  <w:style w:type="character" w:customStyle="1" w:styleId="47">
    <w:name w:val="Heading 2 Char"/>
    <w:basedOn w:val="34"/>
    <w:link w:val="4"/>
    <w:locked/>
    <w:uiPriority w:val="99"/>
    <w:rPr>
      <w:rFonts w:ascii="等线 Light" w:hAnsi="等线 Light" w:eastAsia="等线 Light" w:cs="Times New Roman"/>
      <w:b/>
      <w:bCs/>
      <w:kern w:val="2"/>
      <w:sz w:val="32"/>
      <w:szCs w:val="32"/>
    </w:rPr>
  </w:style>
  <w:style w:type="character" w:customStyle="1" w:styleId="48">
    <w:name w:val="Heading 3 Char"/>
    <w:basedOn w:val="34"/>
    <w:link w:val="6"/>
    <w:locked/>
    <w:uiPriority w:val="99"/>
    <w:rPr>
      <w:rFonts w:eastAsia="楷体_GB2312" w:cs="Times New Roman"/>
      <w:b/>
      <w:kern w:val="2"/>
      <w:sz w:val="28"/>
      <w:lang w:val="en-US" w:eastAsia="zh-CN"/>
    </w:rPr>
  </w:style>
  <w:style w:type="character" w:customStyle="1" w:styleId="49">
    <w:name w:val="Heading 4 Char"/>
    <w:basedOn w:val="34"/>
    <w:link w:val="7"/>
    <w:locked/>
    <w:uiPriority w:val="99"/>
    <w:rPr>
      <w:rFonts w:ascii="Cambria" w:hAnsi="Cambria" w:eastAsia="宋体" w:cs="Times New Roman"/>
      <w:bCs/>
      <w:sz w:val="28"/>
      <w:szCs w:val="28"/>
    </w:rPr>
  </w:style>
  <w:style w:type="character" w:customStyle="1" w:styleId="50">
    <w:name w:val="Document Map Char"/>
    <w:basedOn w:val="34"/>
    <w:link w:val="9"/>
    <w:semiHidden/>
    <w:locked/>
    <w:uiPriority w:val="99"/>
    <w:rPr>
      <w:rFonts w:ascii="宋体" w:cs="Times New Roman"/>
      <w:kern w:val="2"/>
      <w:sz w:val="18"/>
      <w:szCs w:val="18"/>
    </w:rPr>
  </w:style>
  <w:style w:type="character" w:customStyle="1" w:styleId="51">
    <w:name w:val="Comment Text Char"/>
    <w:basedOn w:val="34"/>
    <w:link w:val="10"/>
    <w:locked/>
    <w:uiPriority w:val="99"/>
    <w:rPr>
      <w:rFonts w:ascii="Times New Roman" w:hAnsi="Times New Roman" w:eastAsia="宋体" w:cs="Times New Roman"/>
      <w:sz w:val="20"/>
      <w:szCs w:val="20"/>
    </w:rPr>
  </w:style>
  <w:style w:type="character" w:customStyle="1" w:styleId="52">
    <w:name w:val="Body Text Char"/>
    <w:basedOn w:val="34"/>
    <w:link w:val="11"/>
    <w:semiHidden/>
    <w:locked/>
    <w:uiPriority w:val="99"/>
    <w:rPr>
      <w:rFonts w:ascii="Times New Roman" w:hAnsi="Times New Roman" w:eastAsia="宋体" w:cs="Times New Roman"/>
      <w:kern w:val="2"/>
      <w:sz w:val="21"/>
    </w:rPr>
  </w:style>
  <w:style w:type="character" w:customStyle="1" w:styleId="53">
    <w:name w:val="Body Text Indent Char"/>
    <w:basedOn w:val="34"/>
    <w:link w:val="13"/>
    <w:locked/>
    <w:uiPriority w:val="99"/>
    <w:rPr>
      <w:rFonts w:ascii="Times New Roman" w:hAnsi="Times New Roman" w:eastAsia="仿宋_GB2312" w:cs="Times New Roman"/>
      <w:sz w:val="32"/>
      <w:szCs w:val="32"/>
    </w:rPr>
  </w:style>
  <w:style w:type="character" w:customStyle="1" w:styleId="54">
    <w:name w:val="Balloon Text Char"/>
    <w:basedOn w:val="34"/>
    <w:link w:val="16"/>
    <w:qFormat/>
    <w:locked/>
    <w:uiPriority w:val="99"/>
    <w:rPr>
      <w:rFonts w:ascii="Times New Roman" w:hAnsi="Times New Roman" w:eastAsia="宋体" w:cs="Times New Roman"/>
      <w:sz w:val="18"/>
      <w:szCs w:val="18"/>
    </w:rPr>
  </w:style>
  <w:style w:type="character" w:customStyle="1" w:styleId="55">
    <w:name w:val="Footer Char"/>
    <w:basedOn w:val="34"/>
    <w:link w:val="17"/>
    <w:qFormat/>
    <w:locked/>
    <w:uiPriority w:val="99"/>
    <w:rPr>
      <w:rFonts w:ascii="Times New Roman" w:hAnsi="Times New Roman" w:eastAsia="宋体" w:cs="Times New Roman"/>
      <w:sz w:val="18"/>
      <w:szCs w:val="18"/>
    </w:rPr>
  </w:style>
  <w:style w:type="character" w:customStyle="1" w:styleId="56">
    <w:name w:val="Header Char"/>
    <w:basedOn w:val="34"/>
    <w:link w:val="18"/>
    <w:qFormat/>
    <w:locked/>
    <w:uiPriority w:val="99"/>
    <w:rPr>
      <w:rFonts w:ascii="Times New Roman" w:hAnsi="Times New Roman" w:eastAsia="宋体" w:cs="Times New Roman"/>
      <w:sz w:val="18"/>
      <w:szCs w:val="18"/>
    </w:rPr>
  </w:style>
  <w:style w:type="character" w:customStyle="1" w:styleId="57">
    <w:name w:val="Footnote Text Char"/>
    <w:basedOn w:val="34"/>
    <w:link w:val="21"/>
    <w:semiHidden/>
    <w:qFormat/>
    <w:locked/>
    <w:uiPriority w:val="99"/>
    <w:rPr>
      <w:rFonts w:ascii="Times New Roman" w:hAnsi="Times New Roman" w:eastAsia="宋体" w:cs="Times New Roman"/>
      <w:sz w:val="18"/>
      <w:szCs w:val="18"/>
    </w:rPr>
  </w:style>
  <w:style w:type="character" w:customStyle="1" w:styleId="58">
    <w:name w:val="Body Text 2 Char"/>
    <w:basedOn w:val="34"/>
    <w:link w:val="25"/>
    <w:semiHidden/>
    <w:qFormat/>
    <w:locked/>
    <w:uiPriority w:val="99"/>
    <w:rPr>
      <w:rFonts w:cs="Times New Roman"/>
      <w:sz w:val="20"/>
      <w:szCs w:val="20"/>
    </w:rPr>
  </w:style>
  <w:style w:type="character" w:customStyle="1" w:styleId="59">
    <w:name w:val="HTML Preformatted Char"/>
    <w:basedOn w:val="34"/>
    <w:link w:val="26"/>
    <w:semiHidden/>
    <w:qFormat/>
    <w:locked/>
    <w:uiPriority w:val="99"/>
    <w:rPr>
      <w:rFonts w:ascii="Courier New" w:hAnsi="Courier New" w:cs="Courier New"/>
      <w:sz w:val="20"/>
      <w:szCs w:val="20"/>
    </w:rPr>
  </w:style>
  <w:style w:type="character" w:customStyle="1" w:styleId="60">
    <w:name w:val="Title Char"/>
    <w:basedOn w:val="34"/>
    <w:link w:val="28"/>
    <w:qFormat/>
    <w:locked/>
    <w:uiPriority w:val="99"/>
    <w:rPr>
      <w:rFonts w:ascii="Cambria" w:hAnsi="Cambria" w:cs="Times New Roman"/>
      <w:b/>
      <w:bCs/>
      <w:sz w:val="32"/>
      <w:szCs w:val="32"/>
    </w:rPr>
  </w:style>
  <w:style w:type="character" w:customStyle="1" w:styleId="61">
    <w:name w:val="Comment Subject Char"/>
    <w:basedOn w:val="51"/>
    <w:link w:val="29"/>
    <w:qFormat/>
    <w:locked/>
    <w:uiPriority w:val="99"/>
    <w:rPr>
      <w:b/>
      <w:bCs/>
    </w:rPr>
  </w:style>
  <w:style w:type="character" w:customStyle="1" w:styleId="62">
    <w:name w:val="Body Text First Indent Char"/>
    <w:basedOn w:val="52"/>
    <w:link w:val="30"/>
    <w:semiHidden/>
    <w:qFormat/>
    <w:locked/>
    <w:uiPriority w:val="99"/>
    <w:rPr>
      <w:sz w:val="20"/>
      <w:szCs w:val="20"/>
    </w:rPr>
  </w:style>
  <w:style w:type="character" w:customStyle="1" w:styleId="63">
    <w:name w:val="Body Text First Indent 2 Char"/>
    <w:basedOn w:val="53"/>
    <w:link w:val="31"/>
    <w:semiHidden/>
    <w:qFormat/>
    <w:locked/>
    <w:uiPriority w:val="99"/>
    <w:rPr>
      <w:sz w:val="20"/>
      <w:szCs w:val="20"/>
    </w:rPr>
  </w:style>
  <w:style w:type="paragraph" w:customStyle="1" w:styleId="64">
    <w:name w:val="Default"/>
    <w:next w:val="1"/>
    <w:qFormat/>
    <w:uiPriority w:val="99"/>
    <w:pPr>
      <w:widowControl w:val="0"/>
      <w:autoSpaceDE w:val="0"/>
      <w:autoSpaceDN w:val="0"/>
      <w:adjustRightInd w:val="0"/>
    </w:pPr>
    <w:rPr>
      <w:rFonts w:ascii="仿宋_GB2312" w:hAnsi="Times New Roman" w:eastAsia="仿宋_GB2312" w:cs="仿宋_GB2312"/>
      <w:color w:val="000000"/>
      <w:kern w:val="0"/>
      <w:sz w:val="24"/>
      <w:szCs w:val="24"/>
      <w:lang w:val="en-US" w:eastAsia="zh-CN" w:bidi="ar-SA"/>
    </w:rPr>
  </w:style>
  <w:style w:type="paragraph" w:customStyle="1" w:styleId="65">
    <w:name w:val="默认"/>
    <w:qFormat/>
    <w:uiPriority w:val="99"/>
    <w:rPr>
      <w:rFonts w:ascii="Helvetica" w:hAnsi="Helvetica" w:eastAsia="宋体" w:cs="Helvetica"/>
      <w:color w:val="000000"/>
      <w:kern w:val="0"/>
      <w:sz w:val="22"/>
      <w:szCs w:val="22"/>
      <w:lang w:val="en-US" w:eastAsia="zh-CN" w:bidi="ar-SA"/>
    </w:rPr>
  </w:style>
  <w:style w:type="paragraph" w:styleId="66">
    <w:name w:val="List Paragraph"/>
    <w:basedOn w:val="1"/>
    <w:qFormat/>
    <w:uiPriority w:val="99"/>
    <w:pPr>
      <w:ind w:firstLine="420" w:firstLineChars="200"/>
    </w:pPr>
  </w:style>
  <w:style w:type="paragraph" w:customStyle="1" w:styleId="67">
    <w:name w:val="Char Char Char"/>
    <w:basedOn w:val="1"/>
    <w:qFormat/>
    <w:uiPriority w:val="99"/>
    <w:pPr>
      <w:widowControl/>
      <w:spacing w:after="160" w:line="240" w:lineRule="exact"/>
      <w:jc w:val="left"/>
    </w:pPr>
    <w:rPr>
      <w:rFonts w:ascii="Verdana" w:hAnsi="Verdana"/>
      <w:kern w:val="0"/>
      <w:sz w:val="20"/>
      <w:lang w:eastAsia="en-US"/>
    </w:rPr>
  </w:style>
  <w:style w:type="character" w:customStyle="1" w:styleId="68">
    <w:name w:val="标题 3 Char1"/>
    <w:basedOn w:val="34"/>
    <w:link w:val="6"/>
    <w:qFormat/>
    <w:locked/>
    <w:uiPriority w:val="99"/>
    <w:rPr>
      <w:rFonts w:ascii="Times New Roman" w:hAnsi="Times New Roman" w:eastAsia="宋体" w:cs="Times New Roman"/>
      <w:b/>
      <w:bCs/>
      <w:sz w:val="32"/>
      <w:szCs w:val="32"/>
    </w:rPr>
  </w:style>
  <w:style w:type="paragraph" w:customStyle="1" w:styleId="69">
    <w:name w:val="TOC 标题1"/>
    <w:basedOn w:val="3"/>
    <w:next w:val="1"/>
    <w:qFormat/>
    <w:uiPriority w:val="99"/>
    <w:pPr>
      <w:widowControl/>
      <w:spacing w:before="240" w:after="0" w:line="259" w:lineRule="auto"/>
      <w:jc w:val="left"/>
      <w:outlineLvl w:val="9"/>
    </w:pPr>
    <w:rPr>
      <w:rFonts w:ascii="等线 Light" w:hAnsi="等线 Light" w:eastAsia="等线 Light"/>
      <w:b w:val="0"/>
      <w:bCs w:val="0"/>
      <w:color w:val="2F5496"/>
      <w:kern w:val="0"/>
      <w:sz w:val="32"/>
      <w:szCs w:val="32"/>
    </w:rPr>
  </w:style>
  <w:style w:type="paragraph" w:customStyle="1" w:styleId="70">
    <w:name w:val="TOC 标题11"/>
    <w:basedOn w:val="3"/>
    <w:next w:val="1"/>
    <w:qFormat/>
    <w:uiPriority w:val="99"/>
    <w:pPr>
      <w:widowControl/>
      <w:spacing w:before="240" w:after="0" w:line="259" w:lineRule="auto"/>
      <w:jc w:val="left"/>
      <w:outlineLvl w:val="9"/>
    </w:pPr>
    <w:rPr>
      <w:rFonts w:ascii="等线 Light" w:hAnsi="等线 Light" w:eastAsia="等线 Light"/>
      <w:b w:val="0"/>
      <w:bCs w:val="0"/>
      <w:color w:val="2F5496"/>
      <w:kern w:val="0"/>
      <w:sz w:val="32"/>
      <w:szCs w:val="32"/>
    </w:rPr>
  </w:style>
  <w:style w:type="paragraph" w:customStyle="1" w:styleId="71">
    <w:name w:val="正文1"/>
    <w:qFormat/>
    <w:uiPriority w:val="99"/>
    <w:pPr>
      <w:jc w:val="both"/>
    </w:pPr>
    <w:rPr>
      <w:rFonts w:ascii="Calibri" w:hAnsi="Calibri" w:eastAsia="宋体" w:cs="宋体"/>
      <w:kern w:val="2"/>
      <w:sz w:val="21"/>
      <w:szCs w:val="21"/>
      <w:lang w:val="en-US" w:eastAsia="zh-CN" w:bidi="ar-SA"/>
    </w:rPr>
  </w:style>
  <w:style w:type="character" w:customStyle="1" w:styleId="72">
    <w:name w:val="bjh-p"/>
    <w:basedOn w:val="34"/>
    <w:qFormat/>
    <w:uiPriority w:val="99"/>
    <w:rPr>
      <w:rFonts w:cs="Times New Roman"/>
    </w:rPr>
  </w:style>
  <w:style w:type="character" w:customStyle="1" w:styleId="73">
    <w:name w:val="Unresolved Mention"/>
    <w:basedOn w:val="34"/>
    <w:semiHidden/>
    <w:qFormat/>
    <w:uiPriority w:val="99"/>
    <w:rPr>
      <w:rFonts w:cs="Times New Roman"/>
      <w:color w:val="605E5C"/>
      <w:shd w:val="clear" w:color="auto" w:fill="E1DFDD"/>
    </w:rPr>
  </w:style>
  <w:style w:type="character" w:customStyle="1" w:styleId="74">
    <w:name w:val="red"/>
    <w:basedOn w:val="34"/>
    <w:qFormat/>
    <w:uiPriority w:val="99"/>
    <w:rPr>
      <w:rFonts w:cs="Times New Roman"/>
      <w:color w:val="E1211F"/>
    </w:rPr>
  </w:style>
  <w:style w:type="character" w:customStyle="1" w:styleId="75">
    <w:name w:val="red1"/>
    <w:basedOn w:val="34"/>
    <w:qFormat/>
    <w:uiPriority w:val="99"/>
    <w:rPr>
      <w:rFonts w:cs="Times New Roman"/>
      <w:color w:val="E33938"/>
      <w:u w:val="single"/>
    </w:rPr>
  </w:style>
  <w:style w:type="character" w:customStyle="1" w:styleId="76">
    <w:name w:val="red2"/>
    <w:basedOn w:val="34"/>
    <w:qFormat/>
    <w:uiPriority w:val="99"/>
    <w:rPr>
      <w:rFonts w:cs="Times New Roman"/>
      <w:color w:val="E1211F"/>
    </w:rPr>
  </w:style>
  <w:style w:type="character" w:customStyle="1" w:styleId="77">
    <w:name w:val="red3"/>
    <w:basedOn w:val="34"/>
    <w:qFormat/>
    <w:uiPriority w:val="99"/>
    <w:rPr>
      <w:rFonts w:cs="Times New Roman"/>
      <w:color w:val="E1211F"/>
    </w:rPr>
  </w:style>
  <w:style w:type="character" w:customStyle="1" w:styleId="78">
    <w:name w:val="red4"/>
    <w:basedOn w:val="34"/>
    <w:qFormat/>
    <w:uiPriority w:val="99"/>
    <w:rPr>
      <w:rFonts w:cs="Times New Roman"/>
      <w:color w:val="E1211F"/>
      <w:u w:val="single"/>
    </w:rPr>
  </w:style>
  <w:style w:type="character" w:customStyle="1" w:styleId="79">
    <w:name w:val="red5"/>
    <w:basedOn w:val="34"/>
    <w:qFormat/>
    <w:uiPriority w:val="99"/>
    <w:rPr>
      <w:rFonts w:cs="Times New Roman"/>
      <w:color w:val="E1211F"/>
    </w:rPr>
  </w:style>
  <w:style w:type="character" w:customStyle="1" w:styleId="80">
    <w:name w:val="fenye1"/>
    <w:basedOn w:val="34"/>
    <w:qFormat/>
    <w:uiPriority w:val="99"/>
    <w:rPr>
      <w:rFonts w:cs="Times New Roman"/>
    </w:rPr>
  </w:style>
  <w:style w:type="character" w:customStyle="1" w:styleId="81">
    <w:name w:val="fenye11"/>
    <w:basedOn w:val="34"/>
    <w:qFormat/>
    <w:uiPriority w:val="99"/>
    <w:rPr>
      <w:rFonts w:cs="Times New Roman"/>
    </w:rPr>
  </w:style>
  <w:style w:type="character" w:customStyle="1" w:styleId="82">
    <w:name w:val="lfh-hdgl-span2"/>
    <w:basedOn w:val="34"/>
    <w:qFormat/>
    <w:uiPriority w:val="99"/>
    <w:rPr>
      <w:rFonts w:cs="Times New Roman"/>
    </w:rPr>
  </w:style>
  <w:style w:type="character" w:customStyle="1" w:styleId="83">
    <w:name w:val="tyhl"/>
    <w:basedOn w:val="34"/>
    <w:qFormat/>
    <w:uiPriority w:val="99"/>
    <w:rPr>
      <w:rFonts w:cs="Times New Roman"/>
      <w:color w:val="999999"/>
      <w:shd w:val="clear" w:color="auto" w:fill="FDFDFD"/>
    </w:rPr>
  </w:style>
  <w:style w:type="character" w:customStyle="1" w:styleId="84">
    <w:name w:val="tyhl1"/>
    <w:basedOn w:val="34"/>
    <w:qFormat/>
    <w:uiPriority w:val="99"/>
    <w:rPr>
      <w:rFonts w:cs="Times New Roman"/>
      <w:shd w:val="clear" w:color="auto" w:fill="FFFFFF"/>
    </w:rPr>
  </w:style>
  <w:style w:type="character" w:customStyle="1" w:styleId="85">
    <w:name w:val="zc-date"/>
    <w:basedOn w:val="34"/>
    <w:qFormat/>
    <w:uiPriority w:val="99"/>
    <w:rPr>
      <w:rFonts w:cs="Times New Roman"/>
      <w:color w:val="333333"/>
    </w:rPr>
  </w:style>
  <w:style w:type="character" w:customStyle="1" w:styleId="86">
    <w:name w:val="tyh-time"/>
    <w:basedOn w:val="34"/>
    <w:qFormat/>
    <w:uiPriority w:val="99"/>
    <w:rPr>
      <w:rFonts w:cs="Times New Roman"/>
      <w:color w:val="AAAAAA"/>
      <w:sz w:val="18"/>
      <w:szCs w:val="18"/>
    </w:rPr>
  </w:style>
  <w:style w:type="character" w:customStyle="1" w:styleId="87">
    <w:name w:val="t2"/>
    <w:basedOn w:val="34"/>
    <w:qFormat/>
    <w:uiPriority w:val="99"/>
    <w:rPr>
      <w:rFonts w:cs="Times New Roman"/>
      <w:color w:val="E2AC00"/>
      <w:sz w:val="27"/>
      <w:szCs w:val="27"/>
    </w:rPr>
  </w:style>
  <w:style w:type="character" w:customStyle="1" w:styleId="88">
    <w:name w:val="cur7"/>
    <w:basedOn w:val="34"/>
    <w:qFormat/>
    <w:uiPriority w:val="99"/>
    <w:rPr>
      <w:rFonts w:cs="Times New Roman"/>
      <w:shd w:val="clear" w:color="auto" w:fill="FF6A07"/>
    </w:rPr>
  </w:style>
  <w:style w:type="character" w:customStyle="1" w:styleId="89">
    <w:name w:val="cur8"/>
    <w:basedOn w:val="34"/>
    <w:qFormat/>
    <w:uiPriority w:val="99"/>
    <w:rPr>
      <w:rFonts w:cs="Times New Roman"/>
      <w:shd w:val="clear" w:color="auto" w:fill="8DAFD8"/>
    </w:rPr>
  </w:style>
  <w:style w:type="character" w:customStyle="1" w:styleId="90">
    <w:name w:val="cur9"/>
    <w:basedOn w:val="34"/>
    <w:uiPriority w:val="99"/>
    <w:rPr>
      <w:rFonts w:cs="Times New Roman"/>
      <w:shd w:val="clear" w:color="auto" w:fill="8DAFD7"/>
    </w:rPr>
  </w:style>
  <w:style w:type="character" w:customStyle="1" w:styleId="91">
    <w:name w:val="fenye2"/>
    <w:basedOn w:val="34"/>
    <w:qFormat/>
    <w:uiPriority w:val="99"/>
    <w:rPr>
      <w:rFonts w:cs="Times New Roman"/>
    </w:rPr>
  </w:style>
  <w:style w:type="character" w:customStyle="1" w:styleId="92">
    <w:name w:val="fenye21"/>
    <w:basedOn w:val="34"/>
    <w:qFormat/>
    <w:uiPriority w:val="99"/>
    <w:rPr>
      <w:rFonts w:cs="Times New Roman"/>
    </w:rPr>
  </w:style>
  <w:style w:type="character" w:customStyle="1" w:styleId="93">
    <w:name w:val="ybk-date"/>
    <w:basedOn w:val="34"/>
    <w:qFormat/>
    <w:uiPriority w:val="99"/>
    <w:rPr>
      <w:rFonts w:cs="Times New Roman"/>
      <w:color w:val="999999"/>
    </w:rPr>
  </w:style>
  <w:style w:type="character" w:customStyle="1" w:styleId="94">
    <w:name w:val="bg-icon"/>
    <w:basedOn w:val="34"/>
    <w:qFormat/>
    <w:uiPriority w:val="99"/>
    <w:rPr>
      <w:rFonts w:cs="Times New Roman"/>
    </w:rPr>
  </w:style>
  <w:style w:type="character" w:customStyle="1" w:styleId="95">
    <w:name w:val="bg-icon1"/>
    <w:basedOn w:val="34"/>
    <w:qFormat/>
    <w:uiPriority w:val="99"/>
    <w:rPr>
      <w:rFonts w:cs="Times New Roman"/>
    </w:rPr>
  </w:style>
  <w:style w:type="character" w:customStyle="1" w:styleId="96">
    <w:name w:val="bg-icon2"/>
    <w:basedOn w:val="34"/>
    <w:qFormat/>
    <w:uiPriority w:val="99"/>
    <w:rPr>
      <w:rFonts w:cs="Times New Roman"/>
    </w:rPr>
  </w:style>
  <w:style w:type="character" w:customStyle="1" w:styleId="97">
    <w:name w:val="bg-icon3"/>
    <w:basedOn w:val="34"/>
    <w:qFormat/>
    <w:uiPriority w:val="99"/>
    <w:rPr>
      <w:rFonts w:cs="Times New Roman"/>
    </w:rPr>
  </w:style>
  <w:style w:type="character" w:customStyle="1" w:styleId="98">
    <w:name w:val="xhy-btns1"/>
    <w:basedOn w:val="34"/>
    <w:qFormat/>
    <w:uiPriority w:val="99"/>
    <w:rPr>
      <w:rFonts w:cs="Times New Roman"/>
    </w:rPr>
  </w:style>
  <w:style w:type="character" w:customStyle="1" w:styleId="99">
    <w:name w:val="hover81"/>
    <w:basedOn w:val="34"/>
    <w:qFormat/>
    <w:uiPriority w:val="99"/>
    <w:rPr>
      <w:rFonts w:cs="Times New Roman"/>
      <w:color w:val="1258AD"/>
      <w:u w:val="none"/>
      <w:bdr w:val="single" w:color="1258AD" w:sz="6" w:space="0"/>
    </w:rPr>
  </w:style>
  <w:style w:type="character" w:customStyle="1" w:styleId="100">
    <w:name w:val="hover82"/>
    <w:basedOn w:val="34"/>
    <w:qFormat/>
    <w:uiPriority w:val="99"/>
    <w:rPr>
      <w:rFonts w:cs="Times New Roman"/>
    </w:rPr>
  </w:style>
  <w:style w:type="character" w:customStyle="1" w:styleId="101">
    <w:name w:val="lispan"/>
    <w:basedOn w:val="34"/>
    <w:qFormat/>
    <w:uiPriority w:val="99"/>
    <w:rPr>
      <w:rFonts w:ascii="微软雅黑" w:hAnsi="微软雅黑" w:eastAsia="微软雅黑" w:cs="微软雅黑"/>
      <w:color w:val="275293"/>
      <w:sz w:val="27"/>
      <w:szCs w:val="27"/>
    </w:rPr>
  </w:style>
  <w:style w:type="character" w:customStyle="1" w:styleId="102">
    <w:name w:val="lispan1"/>
    <w:basedOn w:val="34"/>
    <w:qFormat/>
    <w:uiPriority w:val="99"/>
    <w:rPr>
      <w:rFonts w:ascii="微软雅黑" w:hAnsi="微软雅黑" w:eastAsia="微软雅黑" w:cs="微软雅黑"/>
      <w:color w:val="275293"/>
      <w:sz w:val="27"/>
      <w:szCs w:val="27"/>
    </w:rPr>
  </w:style>
  <w:style w:type="character" w:customStyle="1" w:styleId="103">
    <w:name w:val="w641"/>
    <w:basedOn w:val="34"/>
    <w:qFormat/>
    <w:uiPriority w:val="99"/>
    <w:rPr>
      <w:rFonts w:cs="Times New Roman"/>
    </w:rPr>
  </w:style>
  <w:style w:type="character" w:customStyle="1" w:styleId="104">
    <w:name w:val="xhy-mun"/>
    <w:basedOn w:val="34"/>
    <w:qFormat/>
    <w:uiPriority w:val="99"/>
    <w:rPr>
      <w:rFonts w:cs="Times New Roman"/>
      <w:color w:val="275293"/>
    </w:rPr>
  </w:style>
  <w:style w:type="character" w:customStyle="1" w:styleId="105">
    <w:name w:val="lfh-hdgl-span1"/>
    <w:basedOn w:val="34"/>
    <w:qFormat/>
    <w:uiPriority w:val="99"/>
    <w:rPr>
      <w:rFonts w:cs="Times New Roman"/>
      <w:b/>
    </w:rPr>
  </w:style>
  <w:style w:type="character" w:customStyle="1" w:styleId="106">
    <w:name w:val="xhy-btns2"/>
    <w:basedOn w:val="34"/>
    <w:qFormat/>
    <w:uiPriority w:val="99"/>
    <w:rPr>
      <w:rFonts w:cs="Times New Roman"/>
    </w:rPr>
  </w:style>
  <w:style w:type="character" w:customStyle="1" w:styleId="107">
    <w:name w:val="w100"/>
    <w:basedOn w:val="34"/>
    <w:qFormat/>
    <w:uiPriority w:val="99"/>
    <w:rPr>
      <w:rFonts w:cs="Times New Roman"/>
    </w:rPr>
  </w:style>
  <w:style w:type="character" w:customStyle="1" w:styleId="108">
    <w:name w:val="w262"/>
    <w:basedOn w:val="34"/>
    <w:qFormat/>
    <w:uiPriority w:val="99"/>
    <w:rPr>
      <w:rFonts w:cs="Times New Roman"/>
    </w:rPr>
  </w:style>
  <w:style w:type="character" w:customStyle="1" w:styleId="109">
    <w:name w:val="w254"/>
    <w:basedOn w:val="34"/>
    <w:qFormat/>
    <w:uiPriority w:val="99"/>
    <w:rPr>
      <w:rFonts w:cs="Times New Roman"/>
    </w:rPr>
  </w:style>
  <w:style w:type="character" w:customStyle="1" w:styleId="110">
    <w:name w:val="tyhr"/>
    <w:basedOn w:val="34"/>
    <w:qFormat/>
    <w:uiPriority w:val="99"/>
    <w:rPr>
      <w:rFonts w:cs="Times New Roman"/>
    </w:rPr>
  </w:style>
  <w:style w:type="character" w:customStyle="1" w:styleId="111">
    <w:name w:val="first-of-type"/>
    <w:basedOn w:val="34"/>
    <w:qFormat/>
    <w:uiPriority w:val="99"/>
    <w:rPr>
      <w:rFonts w:cs="Times New Roman"/>
      <w:shd w:val="clear" w:color="auto" w:fill="275293"/>
    </w:rPr>
  </w:style>
  <w:style w:type="character" w:customStyle="1" w:styleId="112">
    <w:name w:val="last-of-type1"/>
    <w:basedOn w:val="34"/>
    <w:qFormat/>
    <w:uiPriority w:val="99"/>
    <w:rPr>
      <w:rFonts w:cs="Times New Roman"/>
      <w:shd w:val="clear" w:color="auto" w:fill="275293"/>
    </w:rPr>
  </w:style>
  <w:style w:type="character" w:customStyle="1" w:styleId="113">
    <w:name w:val="tyh-blue"/>
    <w:basedOn w:val="34"/>
    <w:qFormat/>
    <w:uiPriority w:val="99"/>
    <w:rPr>
      <w:rFonts w:cs="Times New Roman"/>
      <w:b/>
      <w:color w:val="FFFFFF"/>
      <w:sz w:val="21"/>
      <w:szCs w:val="21"/>
      <w:shd w:val="clear" w:color="auto" w:fill="275293"/>
    </w:rPr>
  </w:style>
  <w:style w:type="character" w:customStyle="1" w:styleId="114">
    <w:name w:val="cur"/>
    <w:basedOn w:val="34"/>
    <w:qFormat/>
    <w:uiPriority w:val="99"/>
    <w:rPr>
      <w:rFonts w:cs="Times New Roman"/>
      <w:shd w:val="clear" w:color="auto" w:fill="8DAFD8"/>
    </w:rPr>
  </w:style>
  <w:style w:type="character" w:customStyle="1" w:styleId="115">
    <w:name w:val="cur1"/>
    <w:basedOn w:val="34"/>
    <w:qFormat/>
    <w:uiPriority w:val="99"/>
    <w:rPr>
      <w:rFonts w:cs="Times New Roman"/>
      <w:shd w:val="clear" w:color="auto" w:fill="FF6A07"/>
    </w:rPr>
  </w:style>
  <w:style w:type="character" w:customStyle="1" w:styleId="116">
    <w:name w:val="cur2"/>
    <w:basedOn w:val="34"/>
    <w:qFormat/>
    <w:uiPriority w:val="99"/>
    <w:rPr>
      <w:rFonts w:cs="Times New Roman"/>
      <w:shd w:val="clear" w:color="auto" w:fill="8DAFD7"/>
    </w:rPr>
  </w:style>
  <w:style w:type="character" w:customStyle="1" w:styleId="117">
    <w:name w:val="last-of-type"/>
    <w:basedOn w:val="34"/>
    <w:qFormat/>
    <w:uiPriority w:val="99"/>
    <w:rPr>
      <w:rFonts w:cs="Times New Roman"/>
      <w:shd w:val="clear" w:color="auto" w:fill="275293"/>
    </w:rPr>
  </w:style>
  <w:style w:type="character" w:customStyle="1" w:styleId="118">
    <w:name w:val="tyh-time2"/>
    <w:basedOn w:val="34"/>
    <w:qFormat/>
    <w:uiPriority w:val="99"/>
    <w:rPr>
      <w:rFonts w:cs="Times New Roman"/>
      <w:color w:val="AAAAAA"/>
      <w:sz w:val="18"/>
      <w:szCs w:val="18"/>
    </w:rPr>
  </w:style>
  <w:style w:type="character" w:customStyle="1" w:styleId="119">
    <w:name w:val="layui-this"/>
    <w:basedOn w:val="34"/>
    <w:qFormat/>
    <w:uiPriority w:val="99"/>
    <w:rPr>
      <w:rFonts w:cs="Times New Roman"/>
      <w:bdr w:val="single" w:color="EEEEEE" w:sz="6" w:space="0"/>
      <w:shd w:val="clear" w:color="auto" w:fill="FFFFFF"/>
    </w:rPr>
  </w:style>
  <w:style w:type="character" w:customStyle="1" w:styleId="120">
    <w:name w:val="current"/>
    <w:basedOn w:val="34"/>
    <w:qFormat/>
    <w:uiPriority w:val="99"/>
    <w:rPr>
      <w:rFonts w:cs="Times New Roman"/>
      <w:b/>
      <w:color w:val="FFFFFF"/>
      <w:bdr w:val="single" w:color="1C99EF" w:sz="6" w:space="0"/>
      <w:shd w:val="clear" w:color="auto" w:fill="1C99EF"/>
    </w:rPr>
  </w:style>
  <w:style w:type="character" w:customStyle="1" w:styleId="121">
    <w:name w:val="disabled"/>
    <w:basedOn w:val="34"/>
    <w:qFormat/>
    <w:uiPriority w:val="99"/>
    <w:rPr>
      <w:rFonts w:cs="Times New Roman"/>
      <w:color w:val="CCCCCC"/>
      <w:bdr w:val="single" w:color="CCCCCC" w:sz="6" w:space="0"/>
    </w:rPr>
  </w:style>
  <w:style w:type="character" w:customStyle="1" w:styleId="122">
    <w:name w:val="first-child"/>
    <w:basedOn w:val="34"/>
    <w:qFormat/>
    <w:uiPriority w:val="99"/>
    <w:rPr>
      <w:rFonts w:cs="Times New Roman"/>
    </w:rPr>
  </w:style>
  <w:style w:type="character" w:customStyle="1" w:styleId="123">
    <w:name w:val="NormalCharacter"/>
    <w:qFormat/>
    <w:uiPriority w:val="99"/>
    <w:rPr>
      <w:rFonts w:eastAsia="宋体"/>
      <w:kern w:val="2"/>
      <w:sz w:val="24"/>
      <w:lang w:val="en-US" w:eastAsia="zh-CN"/>
    </w:rPr>
  </w:style>
  <w:style w:type="paragraph" w:customStyle="1" w:styleId="124">
    <w:name w:val="列出段落1"/>
    <w:basedOn w:val="1"/>
    <w:qFormat/>
    <w:uiPriority w:val="99"/>
    <w:pPr>
      <w:ind w:firstLine="420" w:firstLineChars="200"/>
    </w:pPr>
    <w:rPr>
      <w:rFonts w:ascii="Calibri" w:hAnsi="Calibri"/>
      <w:szCs w:val="24"/>
    </w:rPr>
  </w:style>
  <w:style w:type="paragraph" w:customStyle="1" w:styleId="125">
    <w:name w:val="列表段落1"/>
    <w:basedOn w:val="1"/>
    <w:qFormat/>
    <w:uiPriority w:val="99"/>
    <w:pPr>
      <w:ind w:firstLine="420"/>
    </w:pPr>
  </w:style>
  <w:style w:type="paragraph" w:customStyle="1" w:styleId="126">
    <w:name w:val="_Style 1"/>
    <w:basedOn w:val="1"/>
    <w:qFormat/>
    <w:uiPriority w:val="99"/>
    <w:pPr>
      <w:ind w:firstLine="420" w:firstLineChars="200"/>
    </w:pPr>
    <w:rPr>
      <w:rFonts w:ascii="Calibri" w:hAnsi="Calibri"/>
      <w:szCs w:val="22"/>
    </w:rPr>
  </w:style>
  <w:style w:type="character" w:customStyle="1" w:styleId="127">
    <w:name w:val="name"/>
    <w:basedOn w:val="34"/>
    <w:qFormat/>
    <w:uiPriority w:val="99"/>
    <w:rPr>
      <w:rFonts w:cs="Times New Roman"/>
      <w:color w:val="2760B7"/>
    </w:rPr>
  </w:style>
  <w:style w:type="character" w:customStyle="1" w:styleId="128">
    <w:name w:val="yjl"/>
    <w:basedOn w:val="34"/>
    <w:qFormat/>
    <w:uiPriority w:val="99"/>
    <w:rPr>
      <w:rFonts w:cs="Times New Roman"/>
      <w:color w:val="999999"/>
    </w:rPr>
  </w:style>
  <w:style w:type="character" w:customStyle="1" w:styleId="129">
    <w:name w:val="con4"/>
    <w:basedOn w:val="34"/>
    <w:qFormat/>
    <w:uiPriority w:val="99"/>
    <w:rPr>
      <w:rFonts w:cs="Times New Roman"/>
    </w:rPr>
  </w:style>
  <w:style w:type="character" w:customStyle="1" w:styleId="130">
    <w:name w:val="hover29"/>
    <w:basedOn w:val="34"/>
    <w:qFormat/>
    <w:uiPriority w:val="99"/>
    <w:rPr>
      <w:rFonts w:cs="Times New Roman"/>
      <w:shd w:val="clear" w:color="auto" w:fill="FF0000"/>
    </w:rPr>
  </w:style>
  <w:style w:type="character" w:customStyle="1" w:styleId="131">
    <w:name w:val="hover30"/>
    <w:basedOn w:val="34"/>
    <w:qFormat/>
    <w:uiPriority w:val="99"/>
    <w:rPr>
      <w:rFonts w:cs="Times New Roman"/>
      <w:shd w:val="clear" w:color="auto" w:fill="FF0000"/>
    </w:rPr>
  </w:style>
  <w:style w:type="character" w:customStyle="1" w:styleId="132">
    <w:name w:val="hover31"/>
    <w:basedOn w:val="34"/>
    <w:qFormat/>
    <w:uiPriority w:val="99"/>
    <w:rPr>
      <w:rFonts w:cs="Times New Roman"/>
      <w:b/>
      <w:bCs/>
    </w:rPr>
  </w:style>
  <w:style w:type="character" w:customStyle="1" w:styleId="133">
    <w:name w:val="ban-dy"/>
    <w:basedOn w:val="34"/>
    <w:qFormat/>
    <w:uiPriority w:val="99"/>
    <w:rPr>
      <w:rFonts w:cs="Times New Roman"/>
      <w:sz w:val="27"/>
      <w:szCs w:val="27"/>
    </w:rPr>
  </w:style>
  <w:style w:type="character" w:customStyle="1" w:styleId="134">
    <w:name w:val="yj-time"/>
    <w:basedOn w:val="34"/>
    <w:qFormat/>
    <w:uiPriority w:val="99"/>
    <w:rPr>
      <w:rFonts w:cs="Times New Roman"/>
      <w:color w:val="AAAAAA"/>
      <w:sz w:val="18"/>
      <w:szCs w:val="18"/>
    </w:rPr>
  </w:style>
  <w:style w:type="character" w:customStyle="1" w:styleId="135">
    <w:name w:val="yj-time1"/>
    <w:basedOn w:val="34"/>
    <w:qFormat/>
    <w:uiPriority w:val="99"/>
    <w:rPr>
      <w:rFonts w:cs="Times New Roman"/>
      <w:color w:val="AAAAAA"/>
      <w:sz w:val="18"/>
      <w:szCs w:val="18"/>
    </w:rPr>
  </w:style>
  <w:style w:type="character" w:customStyle="1" w:styleId="136">
    <w:name w:val="yjr"/>
    <w:basedOn w:val="34"/>
    <w:qFormat/>
    <w:uiPriority w:val="99"/>
    <w:rPr>
      <w:rFonts w:cs="Times New Roman"/>
    </w:rPr>
  </w:style>
  <w:style w:type="character" w:customStyle="1" w:styleId="137">
    <w:name w:val="tit17"/>
    <w:basedOn w:val="34"/>
    <w:qFormat/>
    <w:uiPriority w:val="99"/>
    <w:rPr>
      <w:rFonts w:cs="Times New Roman"/>
      <w:b/>
      <w:bCs/>
      <w:color w:val="333333"/>
      <w:sz w:val="39"/>
      <w:szCs w:val="39"/>
    </w:rPr>
  </w:style>
  <w:style w:type="character" w:customStyle="1" w:styleId="138">
    <w:name w:val="yj-blue"/>
    <w:basedOn w:val="34"/>
    <w:qFormat/>
    <w:uiPriority w:val="99"/>
    <w:rPr>
      <w:rFonts w:cs="Times New Roman"/>
      <w:b/>
      <w:bCs/>
      <w:color w:val="FFFFFF"/>
      <w:sz w:val="21"/>
      <w:szCs w:val="21"/>
      <w:shd w:val="clear" w:color="auto" w:fill="1E84CB"/>
    </w:rPr>
  </w:style>
  <w:style w:type="character" w:customStyle="1" w:styleId="139">
    <w:name w:val="hover28"/>
    <w:basedOn w:val="34"/>
    <w:qFormat/>
    <w:uiPriority w:val="99"/>
    <w:rPr>
      <w:rFonts w:cs="Times New Roman"/>
      <w:shd w:val="clear" w:color="auto" w:fill="FF0000"/>
    </w:rPr>
  </w:style>
  <w:style w:type="character" w:customStyle="1" w:styleId="140">
    <w:name w:val="cur15"/>
    <w:basedOn w:val="34"/>
    <w:qFormat/>
    <w:uiPriority w:val="99"/>
    <w:rPr>
      <w:rFonts w:cs="Times New Roman"/>
      <w:shd w:val="clear" w:color="auto" w:fill="FF0000"/>
    </w:rPr>
  </w:style>
  <w:style w:type="character" w:customStyle="1" w:styleId="141">
    <w:name w:val="cur16"/>
    <w:basedOn w:val="34"/>
    <w:qFormat/>
    <w:uiPriority w:val="99"/>
    <w:rPr>
      <w:rFonts w:cs="Times New Roman"/>
      <w:shd w:val="clear" w:color="auto" w:fill="84B5FF"/>
    </w:rPr>
  </w:style>
  <w:style w:type="character" w:customStyle="1" w:styleId="142">
    <w:name w:val="cur17"/>
    <w:basedOn w:val="34"/>
    <w:qFormat/>
    <w:uiPriority w:val="99"/>
    <w:rPr>
      <w:rFonts w:cs="Times New Roman"/>
      <w:color w:val="3354A2"/>
    </w:rPr>
  </w:style>
  <w:style w:type="character" w:customStyle="1" w:styleId="143">
    <w:name w:val="con1"/>
    <w:basedOn w:val="34"/>
    <w:qFormat/>
    <w:uiPriority w:val="99"/>
    <w:rPr>
      <w:rFonts w:cs="Times New Roman"/>
    </w:rPr>
  </w:style>
  <w:style w:type="character" w:customStyle="1" w:styleId="144">
    <w:name w:val="tit10"/>
    <w:basedOn w:val="34"/>
    <w:qFormat/>
    <w:uiPriority w:val="99"/>
    <w:rPr>
      <w:rFonts w:cs="Times New Roman"/>
      <w:b/>
      <w:bCs/>
      <w:color w:val="333333"/>
      <w:sz w:val="39"/>
      <w:szCs w:val="39"/>
    </w:rPr>
  </w:style>
  <w:style w:type="character" w:customStyle="1" w:styleId="145">
    <w:name w:val="yj-time2"/>
    <w:basedOn w:val="34"/>
    <w:qFormat/>
    <w:uiPriority w:val="99"/>
    <w:rPr>
      <w:rFonts w:cs="Times New Roman"/>
      <w:color w:val="AAAAAA"/>
      <w:sz w:val="18"/>
      <w:szCs w:val="18"/>
    </w:rPr>
  </w:style>
  <w:style w:type="character" w:customStyle="1" w:styleId="146">
    <w:name w:val="yj-time3"/>
    <w:basedOn w:val="34"/>
    <w:qFormat/>
    <w:uiPriority w:val="99"/>
    <w:rPr>
      <w:rFonts w:cs="Times New Roman"/>
      <w:color w:val="AAAAAA"/>
      <w:sz w:val="18"/>
      <w:szCs w:val="18"/>
    </w:rPr>
  </w:style>
  <w:style w:type="character" w:customStyle="1" w:styleId="147">
    <w:name w:val="cur5"/>
    <w:basedOn w:val="34"/>
    <w:qFormat/>
    <w:uiPriority w:val="99"/>
    <w:rPr>
      <w:rFonts w:cs="Times New Roman"/>
      <w:shd w:val="clear" w:color="auto" w:fill="FF0000"/>
    </w:rPr>
  </w:style>
  <w:style w:type="character" w:customStyle="1" w:styleId="148">
    <w:name w:val="cur6"/>
    <w:basedOn w:val="34"/>
    <w:qFormat/>
    <w:uiPriority w:val="99"/>
    <w:rPr>
      <w:rFonts w:cs="Times New Roman"/>
      <w:shd w:val="clear" w:color="auto" w:fill="84B5FF"/>
    </w:rPr>
  </w:style>
  <w:style w:type="character" w:customStyle="1" w:styleId="149">
    <w:name w:val="tit"/>
    <w:basedOn w:val="34"/>
    <w:qFormat/>
    <w:uiPriority w:val="99"/>
    <w:rPr>
      <w:rFonts w:cs="Times New Roman"/>
      <w:b/>
      <w:bCs/>
      <w:color w:val="333333"/>
      <w:sz w:val="39"/>
      <w:szCs w:val="39"/>
    </w:rPr>
  </w:style>
  <w:style w:type="character" w:customStyle="1" w:styleId="150">
    <w:name w:val="con"/>
    <w:basedOn w:val="34"/>
    <w:qFormat/>
    <w:uiPriority w:val="99"/>
    <w:rPr>
      <w:rFonts w:cs="Times New Roman"/>
    </w:rPr>
  </w:style>
  <w:style w:type="paragraph" w:customStyle="1" w:styleId="151">
    <w:name w:val="tit1"/>
    <w:basedOn w:val="1"/>
    <w:qFormat/>
    <w:uiPriority w:val="99"/>
    <w:pPr>
      <w:spacing w:before="210" w:line="285" w:lineRule="atLeast"/>
      <w:jc w:val="left"/>
    </w:pPr>
    <w:rPr>
      <w:kern w:val="0"/>
      <w:szCs w:val="21"/>
    </w:rPr>
  </w:style>
  <w:style w:type="paragraph" w:customStyle="1" w:styleId="152">
    <w:name w:val="tit2"/>
    <w:basedOn w:val="1"/>
    <w:qFormat/>
    <w:uiPriority w:val="99"/>
    <w:pPr>
      <w:spacing w:after="300"/>
      <w:jc w:val="left"/>
    </w:pPr>
    <w:rPr>
      <w:color w:val="333333"/>
      <w:kern w:val="0"/>
      <w:sz w:val="45"/>
      <w:szCs w:val="45"/>
    </w:rPr>
  </w:style>
  <w:style w:type="paragraph" w:customStyle="1" w:styleId="153">
    <w:name w:val="tit3"/>
    <w:basedOn w:val="1"/>
    <w:qFormat/>
    <w:uiPriority w:val="99"/>
    <w:pPr>
      <w:spacing w:before="390"/>
      <w:jc w:val="left"/>
    </w:pPr>
    <w:rPr>
      <w:color w:val="333333"/>
      <w:kern w:val="0"/>
      <w:sz w:val="30"/>
      <w:szCs w:val="30"/>
    </w:rPr>
  </w:style>
  <w:style w:type="paragraph" w:customStyle="1" w:styleId="154">
    <w:name w:val="tit4"/>
    <w:basedOn w:val="1"/>
    <w:qFormat/>
    <w:uiPriority w:val="99"/>
    <w:pPr>
      <w:jc w:val="left"/>
    </w:pPr>
    <w:rPr>
      <w:kern w:val="0"/>
    </w:rPr>
  </w:style>
  <w:style w:type="paragraph" w:customStyle="1" w:styleId="155">
    <w:name w:val="tit5"/>
    <w:basedOn w:val="1"/>
    <w:qFormat/>
    <w:uiPriority w:val="99"/>
    <w:pPr>
      <w:spacing w:before="300" w:after="60"/>
      <w:jc w:val="left"/>
    </w:pPr>
    <w:rPr>
      <w:b/>
      <w:bCs/>
      <w:color w:val="2760B7"/>
      <w:kern w:val="0"/>
      <w:sz w:val="27"/>
      <w:szCs w:val="27"/>
    </w:rPr>
  </w:style>
  <w:style w:type="paragraph" w:customStyle="1" w:styleId="156">
    <w:name w:val="tit6"/>
    <w:basedOn w:val="1"/>
    <w:qFormat/>
    <w:uiPriority w:val="99"/>
    <w:pPr>
      <w:jc w:val="left"/>
    </w:pPr>
    <w:rPr>
      <w:b/>
      <w:bCs/>
      <w:color w:val="2760B7"/>
      <w:kern w:val="0"/>
      <w:sz w:val="27"/>
      <w:szCs w:val="27"/>
    </w:rPr>
  </w:style>
  <w:style w:type="paragraph" w:customStyle="1" w:styleId="157">
    <w:name w:val="tit7"/>
    <w:basedOn w:val="1"/>
    <w:qFormat/>
    <w:uiPriority w:val="99"/>
    <w:pPr>
      <w:spacing w:line="750" w:lineRule="atLeast"/>
      <w:ind w:right="270"/>
      <w:jc w:val="right"/>
    </w:pPr>
    <w:rPr>
      <w:color w:val="333333"/>
      <w:kern w:val="0"/>
      <w:sz w:val="24"/>
      <w:szCs w:val="24"/>
    </w:rPr>
  </w:style>
  <w:style w:type="character" w:customStyle="1" w:styleId="158">
    <w:name w:val="hover10"/>
    <w:basedOn w:val="34"/>
    <w:qFormat/>
    <w:uiPriority w:val="99"/>
    <w:rPr>
      <w:rFonts w:cs="Times New Roman"/>
      <w:color w:val="1258AD"/>
      <w:u w:val="none"/>
      <w:bdr w:val="single" w:color="1258AD" w:sz="6" w:space="0"/>
    </w:rPr>
  </w:style>
  <w:style w:type="character" w:customStyle="1" w:styleId="159">
    <w:name w:val="hover11"/>
    <w:basedOn w:val="34"/>
    <w:qFormat/>
    <w:uiPriority w:val="99"/>
    <w:rPr>
      <w:rFonts w:cs="Times New Roman"/>
    </w:rPr>
  </w:style>
  <w:style w:type="character" w:customStyle="1" w:styleId="160">
    <w:name w:val="last-item"/>
    <w:basedOn w:val="34"/>
    <w:qFormat/>
    <w:uiPriority w:val="99"/>
    <w:rPr>
      <w:rFonts w:cs="Times New Roman"/>
    </w:rPr>
  </w:style>
  <w:style w:type="character" w:customStyle="1" w:styleId="161">
    <w:name w:val="con6"/>
    <w:basedOn w:val="34"/>
    <w:qFormat/>
    <w:uiPriority w:val="99"/>
    <w:rPr>
      <w:rFonts w:cs="Times New Roman"/>
    </w:rPr>
  </w:style>
  <w:style w:type="character" w:customStyle="1" w:styleId="162">
    <w:name w:val="hover22"/>
    <w:basedOn w:val="34"/>
    <w:qFormat/>
    <w:uiPriority w:val="99"/>
    <w:rPr>
      <w:rFonts w:cs="Times New Roman"/>
      <w:b/>
      <w:bCs/>
    </w:rPr>
  </w:style>
  <w:style w:type="character" w:customStyle="1" w:styleId="163">
    <w:name w:val="cur3"/>
    <w:basedOn w:val="34"/>
    <w:qFormat/>
    <w:uiPriority w:val="99"/>
    <w:rPr>
      <w:rFonts w:cs="Times New Roman"/>
      <w:color w:val="3354A2"/>
    </w:rPr>
  </w:style>
  <w:style w:type="character" w:customStyle="1" w:styleId="164">
    <w:name w:val="tit12"/>
    <w:basedOn w:val="34"/>
    <w:qFormat/>
    <w:uiPriority w:val="99"/>
    <w:rPr>
      <w:rFonts w:cs="Times New Roman"/>
      <w:b/>
      <w:bCs/>
      <w:color w:val="333333"/>
      <w:sz w:val="39"/>
      <w:szCs w:val="39"/>
    </w:rPr>
  </w:style>
  <w:style w:type="character" w:customStyle="1" w:styleId="165">
    <w:name w:val="hover20"/>
    <w:basedOn w:val="34"/>
    <w:qFormat/>
    <w:uiPriority w:val="99"/>
    <w:rPr>
      <w:rFonts w:cs="Times New Roman"/>
      <w:b/>
      <w:bCs/>
    </w:rPr>
  </w:style>
  <w:style w:type="character" w:customStyle="1" w:styleId="166">
    <w:name w:val="con3"/>
    <w:basedOn w:val="34"/>
    <w:qFormat/>
    <w:uiPriority w:val="99"/>
    <w:rPr>
      <w:rFonts w:cs="Times New Roman"/>
    </w:rPr>
  </w:style>
  <w:style w:type="character" w:customStyle="1" w:styleId="167">
    <w:name w:val="tit11"/>
    <w:basedOn w:val="34"/>
    <w:qFormat/>
    <w:uiPriority w:val="99"/>
    <w:rPr>
      <w:rFonts w:cs="Times New Roman"/>
      <w:b/>
      <w:bCs/>
      <w:color w:val="333333"/>
      <w:sz w:val="39"/>
      <w:szCs w:val="39"/>
    </w:rPr>
  </w:style>
  <w:style w:type="character" w:customStyle="1" w:styleId="168">
    <w:name w:val="hover32"/>
    <w:basedOn w:val="34"/>
    <w:qFormat/>
    <w:uiPriority w:val="99"/>
    <w:rPr>
      <w:rFonts w:cs="Times New Roman"/>
      <w:shd w:val="clear" w:color="auto" w:fill="FF0000"/>
    </w:rPr>
  </w:style>
  <w:style w:type="character" w:customStyle="1" w:styleId="169">
    <w:name w:val="hover33"/>
    <w:basedOn w:val="34"/>
    <w:qFormat/>
    <w:uiPriority w:val="99"/>
    <w:rPr>
      <w:rFonts w:cs="Times New Roman"/>
      <w:shd w:val="clear" w:color="auto" w:fill="FF0000"/>
    </w:rPr>
  </w:style>
  <w:style w:type="character" w:customStyle="1" w:styleId="170">
    <w:name w:val="hover"/>
    <w:basedOn w:val="34"/>
    <w:qFormat/>
    <w:uiPriority w:val="99"/>
    <w:rPr>
      <w:rFonts w:cs="Times New Roman"/>
      <w:shd w:val="clear" w:color="auto" w:fill="FF0000"/>
    </w:rPr>
  </w:style>
  <w:style w:type="character" w:customStyle="1" w:styleId="171">
    <w:name w:val="hover1"/>
    <w:basedOn w:val="34"/>
    <w:qFormat/>
    <w:uiPriority w:val="99"/>
    <w:rPr>
      <w:rFonts w:cs="Times New Roman"/>
      <w:shd w:val="clear" w:color="auto" w:fill="FF0000"/>
    </w:rPr>
  </w:style>
  <w:style w:type="character" w:customStyle="1" w:styleId="172">
    <w:name w:val="hover2"/>
    <w:basedOn w:val="34"/>
    <w:qFormat/>
    <w:uiPriority w:val="99"/>
    <w:rPr>
      <w:rFonts w:cs="Times New Roman"/>
      <w:b/>
      <w:bCs/>
    </w:rPr>
  </w:style>
  <w:style w:type="character" w:customStyle="1" w:styleId="173">
    <w:name w:val="con5"/>
    <w:basedOn w:val="34"/>
    <w:qFormat/>
    <w:uiPriority w:val="99"/>
    <w:rPr>
      <w:rFonts w:cs="Times New Roman"/>
    </w:rPr>
  </w:style>
  <w:style w:type="character" w:customStyle="1" w:styleId="174">
    <w:name w:val="tit13"/>
    <w:basedOn w:val="34"/>
    <w:qFormat/>
    <w:uiPriority w:val="99"/>
    <w:rPr>
      <w:rFonts w:cs="Times New Roman"/>
      <w:b/>
      <w:bCs/>
      <w:color w:val="333333"/>
      <w:sz w:val="39"/>
      <w:szCs w:val="39"/>
    </w:rPr>
  </w:style>
  <w:style w:type="character" w:customStyle="1" w:styleId="175">
    <w:name w:val="hover34"/>
    <w:basedOn w:val="34"/>
    <w:qFormat/>
    <w:uiPriority w:val="99"/>
    <w:rPr>
      <w:rFonts w:cs="Times New Roman"/>
      <w:shd w:val="clear" w:color="auto" w:fill="FF0000"/>
    </w:rPr>
  </w:style>
  <w:style w:type="character" w:customStyle="1" w:styleId="176">
    <w:name w:val="hover35"/>
    <w:basedOn w:val="34"/>
    <w:qFormat/>
    <w:uiPriority w:val="99"/>
    <w:rPr>
      <w:rFonts w:cs="Times New Roman"/>
      <w:shd w:val="clear" w:color="auto" w:fill="FF0000"/>
    </w:rPr>
  </w:style>
  <w:style w:type="character" w:customStyle="1" w:styleId="177">
    <w:name w:val="hover36"/>
    <w:basedOn w:val="34"/>
    <w:qFormat/>
    <w:uiPriority w:val="99"/>
    <w:rPr>
      <w:rFonts w:cs="Times New Roman"/>
      <w:b/>
      <w:bCs/>
    </w:rPr>
  </w:style>
  <w:style w:type="character" w:customStyle="1" w:styleId="178">
    <w:name w:val="cur18"/>
    <w:basedOn w:val="34"/>
    <w:qFormat/>
    <w:uiPriority w:val="99"/>
    <w:rPr>
      <w:rFonts w:cs="Times New Roman"/>
      <w:shd w:val="clear" w:color="auto" w:fill="84B5FF"/>
    </w:rPr>
  </w:style>
  <w:style w:type="character" w:customStyle="1" w:styleId="179">
    <w:name w:val="cur19"/>
    <w:basedOn w:val="34"/>
    <w:qFormat/>
    <w:uiPriority w:val="99"/>
    <w:rPr>
      <w:rFonts w:cs="Times New Roman"/>
      <w:color w:val="3354A2"/>
    </w:rPr>
  </w:style>
  <w:style w:type="character" w:customStyle="1" w:styleId="180">
    <w:name w:val="time"/>
    <w:basedOn w:val="34"/>
    <w:qFormat/>
    <w:uiPriority w:val="99"/>
    <w:rPr>
      <w:rFonts w:ascii="Arial" w:hAnsi="Arial" w:cs="Arial"/>
    </w:rPr>
  </w:style>
  <w:style w:type="character" w:customStyle="1" w:styleId="181">
    <w:name w:val="select2-selection__rendered"/>
    <w:basedOn w:val="34"/>
    <w:qFormat/>
    <w:uiPriority w:val="99"/>
    <w:rPr>
      <w:rFonts w:cs="Times New Roman"/>
      <w:sz w:val="18"/>
      <w:szCs w:val="18"/>
    </w:rPr>
  </w:style>
  <w:style w:type="character" w:customStyle="1" w:styleId="182">
    <w:name w:val="nth-child(2)1"/>
    <w:basedOn w:val="34"/>
    <w:qFormat/>
    <w:uiPriority w:val="99"/>
    <w:rPr>
      <w:rFonts w:cs="Times New Roman"/>
      <w:color w:val="333333"/>
      <w:sz w:val="18"/>
      <w:szCs w:val="18"/>
    </w:rPr>
  </w:style>
  <w:style w:type="character" w:customStyle="1" w:styleId="183">
    <w:name w:val="after7"/>
    <w:basedOn w:val="34"/>
    <w:qFormat/>
    <w:uiPriority w:val="99"/>
    <w:rPr>
      <w:rFonts w:cs="Times New Roman"/>
      <w:bdr w:val="single" w:color="auto" w:sz="2" w:space="0"/>
    </w:rPr>
  </w:style>
  <w:style w:type="character" w:customStyle="1" w:styleId="184">
    <w:name w:val="nth-child(1)1"/>
    <w:basedOn w:val="34"/>
    <w:qFormat/>
    <w:uiPriority w:val="99"/>
    <w:rPr>
      <w:rFonts w:cs="Times New Roman"/>
      <w:color w:val="333333"/>
      <w:sz w:val="18"/>
      <w:szCs w:val="18"/>
    </w:rPr>
  </w:style>
  <w:style w:type="character" w:customStyle="1" w:styleId="185">
    <w:name w:val="nth-child(1)"/>
    <w:basedOn w:val="34"/>
    <w:qFormat/>
    <w:uiPriority w:val="99"/>
    <w:rPr>
      <w:rFonts w:cs="Times New Roman"/>
      <w:color w:val="333333"/>
      <w:sz w:val="18"/>
      <w:szCs w:val="18"/>
    </w:rPr>
  </w:style>
  <w:style w:type="character" w:customStyle="1" w:styleId="186">
    <w:name w:val="after2"/>
    <w:basedOn w:val="34"/>
    <w:qFormat/>
    <w:uiPriority w:val="99"/>
    <w:rPr>
      <w:rFonts w:cs="Times New Roman"/>
      <w:bdr w:val="single" w:color="auto" w:sz="2" w:space="0"/>
    </w:rPr>
  </w:style>
  <w:style w:type="character" w:customStyle="1" w:styleId="187">
    <w:name w:val="nth-child(2)"/>
    <w:basedOn w:val="34"/>
    <w:qFormat/>
    <w:uiPriority w:val="99"/>
    <w:rPr>
      <w:rFonts w:cs="Times New Roman"/>
      <w:color w:val="333333"/>
      <w:sz w:val="18"/>
      <w:szCs w:val="18"/>
    </w:rPr>
  </w:style>
  <w:style w:type="character" w:customStyle="1" w:styleId="188">
    <w:name w:val="time4"/>
    <w:basedOn w:val="34"/>
    <w:qFormat/>
    <w:uiPriority w:val="99"/>
    <w:rPr>
      <w:rFonts w:ascii="Arial" w:hAnsi="Arial" w:cs="Arial"/>
    </w:rPr>
  </w:style>
  <w:style w:type="character" w:customStyle="1" w:styleId="189">
    <w:name w:val="hour_pm"/>
    <w:basedOn w:val="34"/>
    <w:qFormat/>
    <w:uiPriority w:val="99"/>
    <w:rPr>
      <w:rFonts w:cs="Times New Roman"/>
    </w:rPr>
  </w:style>
  <w:style w:type="character" w:customStyle="1" w:styleId="190">
    <w:name w:val="hover17"/>
    <w:basedOn w:val="34"/>
    <w:qFormat/>
    <w:uiPriority w:val="99"/>
    <w:rPr>
      <w:rFonts w:cs="Times New Roman"/>
      <w:color w:val="CBB486"/>
    </w:rPr>
  </w:style>
  <w:style w:type="character" w:customStyle="1" w:styleId="191">
    <w:name w:val="hover18"/>
    <w:basedOn w:val="34"/>
    <w:qFormat/>
    <w:uiPriority w:val="99"/>
    <w:rPr>
      <w:rFonts w:cs="Times New Roman"/>
      <w:shd w:val="clear" w:color="auto" w:fill="EEEEEE"/>
    </w:rPr>
  </w:style>
  <w:style w:type="character" w:customStyle="1" w:styleId="192">
    <w:name w:val="hour_am"/>
    <w:basedOn w:val="34"/>
    <w:qFormat/>
    <w:uiPriority w:val="99"/>
    <w:rPr>
      <w:rFonts w:cs="Times New Roman"/>
    </w:rPr>
  </w:style>
  <w:style w:type="character" w:customStyle="1" w:styleId="193">
    <w:name w:val="old"/>
    <w:basedOn w:val="34"/>
    <w:qFormat/>
    <w:uiPriority w:val="99"/>
    <w:rPr>
      <w:rFonts w:cs="Times New Roman"/>
      <w:color w:val="999999"/>
    </w:rPr>
  </w:style>
  <w:style w:type="character" w:customStyle="1" w:styleId="194">
    <w:name w:val="hover37"/>
    <w:basedOn w:val="34"/>
    <w:qFormat/>
    <w:uiPriority w:val="99"/>
    <w:rPr>
      <w:rFonts w:cs="Times New Roman"/>
      <w:b/>
      <w:bCs/>
    </w:rPr>
  </w:style>
  <w:style w:type="character" w:customStyle="1" w:styleId="195">
    <w:name w:val="tit15"/>
    <w:basedOn w:val="34"/>
    <w:qFormat/>
    <w:uiPriority w:val="99"/>
    <w:rPr>
      <w:rFonts w:cs="Times New Roman"/>
      <w:b/>
      <w:bCs/>
      <w:color w:val="333333"/>
      <w:sz w:val="39"/>
      <w:szCs w:val="39"/>
    </w:rPr>
  </w:style>
  <w:style w:type="character" w:customStyle="1" w:styleId="196">
    <w:name w:val="cur10"/>
    <w:basedOn w:val="34"/>
    <w:qFormat/>
    <w:uiPriority w:val="99"/>
    <w:rPr>
      <w:rFonts w:cs="Times New Roman"/>
      <w:shd w:val="clear" w:color="auto" w:fill="84B5FF"/>
    </w:rPr>
  </w:style>
  <w:style w:type="character" w:customStyle="1" w:styleId="197">
    <w:name w:val="cur11"/>
    <w:basedOn w:val="34"/>
    <w:qFormat/>
    <w:uiPriority w:val="99"/>
    <w:rPr>
      <w:rFonts w:cs="Times New Roman"/>
      <w:shd w:val="clear" w:color="auto" w:fill="FF0000"/>
    </w:rPr>
  </w:style>
  <w:style w:type="character" w:customStyle="1" w:styleId="198">
    <w:name w:val="cur12"/>
    <w:basedOn w:val="34"/>
    <w:qFormat/>
    <w:uiPriority w:val="99"/>
    <w:rPr>
      <w:rFonts w:cs="Times New Roman"/>
      <w:color w:val="3354A2"/>
    </w:rPr>
  </w:style>
  <w:style w:type="character" w:customStyle="1" w:styleId="199">
    <w:name w:val="hd-c2rs1"/>
    <w:basedOn w:val="34"/>
    <w:qFormat/>
    <w:uiPriority w:val="99"/>
    <w:rPr>
      <w:rFonts w:cs="Times New Roman"/>
    </w:rPr>
  </w:style>
  <w:style w:type="character" w:customStyle="1" w:styleId="200">
    <w:name w:val="hd-c2rs22"/>
    <w:basedOn w:val="34"/>
    <w:qFormat/>
    <w:uiPriority w:val="99"/>
    <w:rPr>
      <w:rFonts w:cs="Times New Roman"/>
    </w:rPr>
  </w:style>
  <w:style w:type="character" w:customStyle="1" w:styleId="201">
    <w:name w:val="cur13"/>
    <w:basedOn w:val="34"/>
    <w:uiPriority w:val="99"/>
    <w:rPr>
      <w:rFonts w:cs="Times New Roman"/>
      <w:shd w:val="clear" w:color="auto" w:fill="C8141F"/>
    </w:rPr>
  </w:style>
  <w:style w:type="character" w:customStyle="1" w:styleId="202">
    <w:name w:val="cur14"/>
    <w:basedOn w:val="34"/>
    <w:uiPriority w:val="99"/>
    <w:rPr>
      <w:rFonts w:cs="Times New Roman"/>
      <w:color w:val="3354A2"/>
    </w:rPr>
  </w:style>
  <w:style w:type="character" w:customStyle="1" w:styleId="203">
    <w:name w:val="xhy-learderli"/>
    <w:basedOn w:val="34"/>
    <w:uiPriority w:val="99"/>
    <w:rPr>
      <w:rFonts w:cs="Times New Roman"/>
      <w:b/>
      <w:bCs/>
      <w:color w:val="3D85D3"/>
      <w:sz w:val="30"/>
      <w:szCs w:val="30"/>
    </w:rPr>
  </w:style>
  <w:style w:type="character" w:customStyle="1" w:styleId="204">
    <w:name w:val="xhy-ci3lbs1"/>
    <w:basedOn w:val="34"/>
    <w:uiPriority w:val="99"/>
    <w:rPr>
      <w:rFonts w:cs="Times New Roman"/>
      <w:color w:val="E97707"/>
      <w:sz w:val="24"/>
      <w:szCs w:val="24"/>
    </w:rPr>
  </w:style>
  <w:style w:type="character" w:customStyle="1" w:styleId="205">
    <w:name w:val="xhy-ci3lbs2"/>
    <w:basedOn w:val="34"/>
    <w:uiPriority w:val="99"/>
    <w:rPr>
      <w:rFonts w:cs="Times New Roman"/>
      <w:color w:val="3D85D3"/>
      <w:sz w:val="24"/>
      <w:szCs w:val="24"/>
    </w:rPr>
  </w:style>
  <w:style w:type="character" w:customStyle="1" w:styleId="206">
    <w:name w:val="gkn-cbs22"/>
    <w:basedOn w:val="34"/>
    <w:uiPriority w:val="99"/>
    <w:rPr>
      <w:rFonts w:cs="Times New Roman"/>
    </w:rPr>
  </w:style>
  <w:style w:type="character" w:customStyle="1" w:styleId="207">
    <w:name w:val="hd-c2rs2"/>
    <w:basedOn w:val="34"/>
    <w:uiPriority w:val="99"/>
    <w:rPr>
      <w:rFonts w:cs="Times New Roman"/>
    </w:rPr>
  </w:style>
  <w:style w:type="paragraph" w:customStyle="1" w:styleId="208">
    <w:name w:val="tit9"/>
    <w:basedOn w:val="1"/>
    <w:uiPriority w:val="99"/>
    <w:pPr>
      <w:spacing w:line="750" w:lineRule="atLeast"/>
      <w:ind w:right="270"/>
      <w:jc w:val="right"/>
    </w:pPr>
    <w:rPr>
      <w:color w:val="333333"/>
      <w:kern w:val="0"/>
      <w:sz w:val="24"/>
      <w:szCs w:val="24"/>
    </w:rPr>
  </w:style>
  <w:style w:type="paragraph" w:customStyle="1" w:styleId="209">
    <w:name w:val="tit8"/>
    <w:basedOn w:val="1"/>
    <w:uiPriority w:val="99"/>
    <w:pPr>
      <w:spacing w:line="750" w:lineRule="atLeast"/>
      <w:ind w:right="270"/>
      <w:jc w:val="right"/>
    </w:pPr>
    <w:rPr>
      <w:color w:val="333333"/>
      <w:kern w:val="0"/>
      <w:sz w:val="24"/>
      <w:szCs w:val="24"/>
    </w:rPr>
  </w:style>
  <w:style w:type="character" w:customStyle="1" w:styleId="210">
    <w:name w:val="tit16"/>
    <w:basedOn w:val="34"/>
    <w:uiPriority w:val="99"/>
    <w:rPr>
      <w:rFonts w:cs="Times New Roman"/>
      <w:b/>
      <w:bCs/>
      <w:color w:val="333333"/>
      <w:sz w:val="39"/>
      <w:szCs w:val="39"/>
    </w:rPr>
  </w:style>
  <w:style w:type="character" w:customStyle="1" w:styleId="211">
    <w:name w:val="selected"/>
    <w:basedOn w:val="34"/>
    <w:uiPriority w:val="99"/>
    <w:rPr>
      <w:rFonts w:cs="Times New Roman"/>
    </w:rPr>
  </w:style>
  <w:style w:type="character" w:customStyle="1" w:styleId="212">
    <w:name w:val="after1"/>
    <w:basedOn w:val="34"/>
    <w:uiPriority w:val="99"/>
    <w:rPr>
      <w:rFonts w:cs="Times New Roman"/>
      <w:shd w:val="clear" w:color="auto" w:fill="D60000"/>
    </w:rPr>
  </w:style>
  <w:style w:type="character" w:customStyle="1" w:styleId="213">
    <w:name w:val="after3"/>
    <w:basedOn w:val="34"/>
    <w:uiPriority w:val="99"/>
    <w:rPr>
      <w:rFonts w:cs="Times New Roman"/>
    </w:rPr>
  </w:style>
  <w:style w:type="character" w:customStyle="1" w:styleId="214">
    <w:name w:val="after4"/>
    <w:basedOn w:val="34"/>
    <w:uiPriority w:val="99"/>
    <w:rPr>
      <w:rFonts w:cs="Times New Roman"/>
      <w:vanish/>
    </w:rPr>
  </w:style>
  <w:style w:type="character" w:customStyle="1" w:styleId="215">
    <w:name w:val="after"/>
    <w:basedOn w:val="34"/>
    <w:uiPriority w:val="99"/>
    <w:rPr>
      <w:rFonts w:cs="Times New Roman"/>
      <w:color w:val="333333"/>
      <w:shd w:val="clear" w:color="auto" w:fill="D60000"/>
    </w:rPr>
  </w:style>
  <w:style w:type="character" w:customStyle="1" w:styleId="216">
    <w:name w:val="pub_bg1"/>
    <w:basedOn w:val="34"/>
    <w:uiPriority w:val="99"/>
    <w:rPr>
      <w:rFonts w:cs="Times New Roman"/>
    </w:rPr>
  </w:style>
  <w:style w:type="character" w:customStyle="1" w:styleId="217">
    <w:name w:val="sp"/>
    <w:basedOn w:val="34"/>
    <w:uiPriority w:val="99"/>
    <w:rPr>
      <w:rFonts w:cs="Times New Roman"/>
      <w:b/>
      <w:bCs/>
      <w:color w:val="307CD2"/>
    </w:rPr>
  </w:style>
  <w:style w:type="character" w:customStyle="1" w:styleId="218">
    <w:name w:val="pub_bg3"/>
    <w:basedOn w:val="34"/>
    <w:uiPriority w:val="99"/>
    <w:rPr>
      <w:rFonts w:cs="Times New Roman"/>
    </w:rPr>
  </w:style>
  <w:style w:type="character" w:customStyle="1" w:styleId="219">
    <w:name w:val="sel"/>
    <w:basedOn w:val="34"/>
    <w:qFormat/>
    <w:uiPriority w:val="99"/>
    <w:rPr>
      <w:rFonts w:cs="Times New Roman"/>
      <w:b/>
      <w:bCs/>
      <w:color w:val="157DD5"/>
      <w:sz w:val="27"/>
      <w:szCs w:val="27"/>
    </w:rPr>
  </w:style>
  <w:style w:type="character" w:customStyle="1" w:styleId="220">
    <w:name w:val="posi"/>
    <w:basedOn w:val="34"/>
    <w:uiPriority w:val="99"/>
    <w:rPr>
      <w:rFonts w:cs="Times New Roman"/>
      <w:b/>
      <w:bCs/>
    </w:rPr>
  </w:style>
  <w:style w:type="character" w:customStyle="1" w:styleId="221">
    <w:name w:val="name1"/>
    <w:basedOn w:val="34"/>
    <w:uiPriority w:val="99"/>
    <w:rPr>
      <w:rFonts w:cs="Times New Roman"/>
    </w:rPr>
  </w:style>
  <w:style w:type="character" w:customStyle="1" w:styleId="222">
    <w:name w:val="name2"/>
    <w:basedOn w:val="34"/>
    <w:uiPriority w:val="99"/>
    <w:rPr>
      <w:rFonts w:cs="Times New Roman"/>
      <w:color w:val="2760B7"/>
    </w:rPr>
  </w:style>
  <w:style w:type="character" w:customStyle="1" w:styleId="223">
    <w:name w:val="pub_bg0"/>
    <w:basedOn w:val="34"/>
    <w:uiPriority w:val="99"/>
    <w:rPr>
      <w:rFonts w:cs="Times New Roman"/>
    </w:rPr>
  </w:style>
  <w:style w:type="character" w:customStyle="1" w:styleId="224">
    <w:name w:val="pub_bg2"/>
    <w:basedOn w:val="34"/>
    <w:uiPriority w:val="99"/>
    <w:rPr>
      <w:rFonts w:cs="Times New Roman"/>
    </w:rPr>
  </w:style>
  <w:style w:type="character" w:customStyle="1" w:styleId="225">
    <w:name w:val="year"/>
    <w:basedOn w:val="34"/>
    <w:uiPriority w:val="99"/>
    <w:rPr>
      <w:rFonts w:cs="Times New Roman"/>
      <w:color w:val="FFFFFF"/>
      <w:sz w:val="36"/>
      <w:szCs w:val="36"/>
    </w:rPr>
  </w:style>
  <w:style w:type="character" w:customStyle="1" w:styleId="226">
    <w:name w:val="tit28"/>
    <w:basedOn w:val="34"/>
    <w:uiPriority w:val="99"/>
    <w:rPr>
      <w:rFonts w:cs="Times New Roman"/>
      <w:b/>
      <w:bCs/>
      <w:color w:val="333333"/>
      <w:sz w:val="39"/>
      <w:szCs w:val="39"/>
    </w:rPr>
  </w:style>
  <w:style w:type="character" w:customStyle="1" w:styleId="227">
    <w:name w:val="img_bg_cover"/>
    <w:basedOn w:val="34"/>
    <w:uiPriority w:val="99"/>
    <w:rPr>
      <w:rFonts w:cs="Times New Roman"/>
    </w:rPr>
  </w:style>
  <w:style w:type="character" w:customStyle="1" w:styleId="228">
    <w:name w:val="hover38"/>
    <w:basedOn w:val="34"/>
    <w:uiPriority w:val="99"/>
    <w:rPr>
      <w:rFonts w:cs="Times New Roman"/>
      <w:shd w:val="clear" w:color="auto" w:fill="FF0000"/>
    </w:rPr>
  </w:style>
  <w:style w:type="character" w:customStyle="1" w:styleId="229">
    <w:name w:val="hover39"/>
    <w:basedOn w:val="34"/>
    <w:uiPriority w:val="99"/>
    <w:rPr>
      <w:rFonts w:cs="Times New Roman"/>
      <w:shd w:val="clear" w:color="auto" w:fill="FF0000"/>
    </w:rPr>
  </w:style>
  <w:style w:type="character" w:customStyle="1" w:styleId="230">
    <w:name w:val="hover40"/>
    <w:basedOn w:val="34"/>
    <w:uiPriority w:val="99"/>
    <w:rPr>
      <w:rFonts w:cs="Times New Roman"/>
      <w:b/>
      <w:bCs/>
    </w:rPr>
  </w:style>
  <w:style w:type="character" w:customStyle="1" w:styleId="231">
    <w:name w:val="tit19"/>
    <w:basedOn w:val="34"/>
    <w:uiPriority w:val="99"/>
    <w:rPr>
      <w:rFonts w:cs="Times New Roman"/>
      <w:b/>
      <w:bCs/>
      <w:color w:val="333333"/>
      <w:sz w:val="39"/>
      <w:szCs w:val="39"/>
    </w:rPr>
  </w:style>
  <w:style w:type="character" w:customStyle="1" w:styleId="232">
    <w:name w:val="cur20"/>
    <w:basedOn w:val="34"/>
    <w:uiPriority w:val="99"/>
    <w:rPr>
      <w:rFonts w:cs="Times New Roman"/>
      <w:shd w:val="clear" w:color="auto" w:fill="FF0000"/>
    </w:rPr>
  </w:style>
  <w:style w:type="character" w:customStyle="1" w:styleId="233">
    <w:name w:val="cur21"/>
    <w:basedOn w:val="34"/>
    <w:uiPriority w:val="99"/>
    <w:rPr>
      <w:rFonts w:cs="Times New Roman"/>
      <w:b/>
      <w:bCs/>
      <w:color w:val="3354A2"/>
    </w:rPr>
  </w:style>
  <w:style w:type="character" w:customStyle="1" w:styleId="234">
    <w:name w:val="tit14"/>
    <w:basedOn w:val="34"/>
    <w:uiPriority w:val="99"/>
    <w:rPr>
      <w:rFonts w:cs="Times New Roman"/>
      <w:b/>
      <w:bCs/>
      <w:color w:val="333333"/>
      <w:sz w:val="39"/>
      <w:szCs w:val="39"/>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59</Pages>
  <Words>33641</Words>
  <Characters>34256</Characters>
  <Lines>0</Lines>
  <Paragraphs>0</Paragraphs>
  <TotalTime>4</TotalTime>
  <ScaleCrop>false</ScaleCrop>
  <LinksUpToDate>false</LinksUpToDate>
  <CharactersWithSpaces>34465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2022-01-13T07:53:00Z</dcterms:created>
  <dc:creator>Administrator</dc:creator>
  <cp:lastModifiedBy>杨倩怡</cp:lastModifiedBy>
  <cp:lastPrinted>2021-12-09T06:06:00Z</cp:lastPrinted>
  <dcterms:modified xsi:type="dcterms:W3CDTF">2023-03-20T09:02:43Z</dcterms:modified>
  <dc:title>渝北区现代服务业发展“十四五”规划</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KSOSaveFontToCloudKey">
    <vt:lpwstr>600793188_btnclosed</vt:lpwstr>
  </property>
  <property fmtid="{D5CDD505-2E9C-101B-9397-08002B2CF9AE}" pid="4" name="ICV">
    <vt:lpwstr>7A172A51698E40FDB9EFE85A77BA4544</vt:lpwstr>
  </property>
</Properties>
</file>