
<file path=[Content_Types].xml><?xml version="1.0" encoding="utf-8"?>
<Types xmlns="http://schemas.openxmlformats.org/package/2006/content-types">
  <Default Extension="xml" ContentType="application/xml"/>
  <Default Extension="xls" ContentType="application/vnd.ms-excel"/>
  <Default Extension="png" ContentType="image/png"/>
  <Default Extension="jpeg" ContentType="image/jpeg"/>
  <Default Extension="JPG" ContentType="image/.jp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rPr>
          <w:rFonts w:ascii="Times New Roman" w:hAnsi="Times New Roman"/>
          <w:color w:val="FF0000"/>
        </w:rPr>
      </w:pPr>
      <w:bookmarkStart w:id="144" w:name="_GoBack"/>
      <w:bookmarkEnd w:id="144"/>
    </w:p>
    <w:p>
      <w:pPr>
        <w:jc w:val="center"/>
        <w:rPr>
          <w:rFonts w:ascii="Times New Roman" w:hAnsi="Times New Roman"/>
          <w:color w:val="0070C0"/>
        </w:rPr>
      </w:pPr>
    </w:p>
    <w:p>
      <w:pPr>
        <w:jc w:val="center"/>
        <w:rPr>
          <w:rFonts w:ascii="Times New Roman" w:hAnsi="Times New Roman"/>
          <w:color w:val="0070C0"/>
        </w:rPr>
      </w:pPr>
    </w:p>
    <w:p>
      <w:pPr>
        <w:widowControl/>
        <w:adjustRightInd w:val="0"/>
        <w:snapToGrid w:val="0"/>
        <w:spacing w:line="360" w:lineRule="auto"/>
        <w:ind w:left="-426" w:right="-483" w:rightChars="-230" w:firstLine="3"/>
        <w:jc w:val="center"/>
        <w:rPr>
          <w:rFonts w:ascii="Times New Roman" w:hAnsi="Times New Roman" w:eastAsia="华文行楷"/>
          <w:b/>
          <w:bCs/>
          <w:snapToGrid w:val="0"/>
          <w:color w:val="0070C0"/>
          <w:spacing w:val="-20"/>
          <w:kern w:val="0"/>
          <w:sz w:val="52"/>
          <w:szCs w:val="52"/>
        </w:rPr>
      </w:pPr>
    </w:p>
    <w:p>
      <w:pPr>
        <w:widowControl/>
        <w:adjustRightInd w:val="0"/>
        <w:snapToGrid w:val="0"/>
        <w:spacing w:line="360" w:lineRule="auto"/>
        <w:ind w:left="-426" w:right="-483" w:rightChars="-230" w:firstLine="3"/>
        <w:jc w:val="center"/>
        <w:rPr>
          <w:rFonts w:ascii="Times New Roman" w:hAnsi="Times New Roman" w:eastAsia="华文行楷"/>
          <w:b/>
          <w:bCs/>
          <w:snapToGrid w:val="0"/>
          <w:spacing w:val="-20"/>
          <w:kern w:val="0"/>
          <w:sz w:val="52"/>
          <w:szCs w:val="52"/>
        </w:rPr>
      </w:pPr>
      <w:r>
        <w:rPr>
          <w:rFonts w:hint="eastAsia" w:ascii="Times New Roman" w:hAnsi="Times New Roman" w:eastAsia="华文行楷"/>
          <w:b/>
          <w:bCs/>
          <w:snapToGrid w:val="0"/>
          <w:spacing w:val="-20"/>
          <w:kern w:val="0"/>
          <w:sz w:val="52"/>
          <w:szCs w:val="52"/>
        </w:rPr>
        <w:t>重庆市渝北区</w:t>
      </w:r>
    </w:p>
    <w:p>
      <w:pPr>
        <w:widowControl/>
        <w:adjustRightInd w:val="0"/>
        <w:snapToGrid w:val="0"/>
        <w:spacing w:line="360" w:lineRule="auto"/>
        <w:ind w:left="-426" w:right="-483" w:rightChars="-230" w:firstLine="3"/>
        <w:jc w:val="center"/>
        <w:rPr>
          <w:rFonts w:ascii="Times New Roman" w:hAnsi="Times New Roman" w:eastAsia="华文行楷"/>
          <w:b/>
          <w:bCs/>
          <w:snapToGrid w:val="0"/>
          <w:spacing w:val="-20"/>
          <w:kern w:val="0"/>
          <w:sz w:val="52"/>
          <w:szCs w:val="52"/>
        </w:rPr>
      </w:pPr>
      <w:r>
        <w:rPr>
          <w:rFonts w:ascii="Times New Roman" w:hAnsi="Times New Roman" w:eastAsia="华文行楷"/>
          <w:b/>
          <w:bCs/>
          <w:snapToGrid w:val="0"/>
          <w:spacing w:val="-20"/>
          <w:kern w:val="0"/>
          <w:sz w:val="52"/>
          <w:szCs w:val="52"/>
        </w:rPr>
        <w:t>“</w:t>
      </w:r>
      <w:r>
        <w:rPr>
          <w:rFonts w:hint="eastAsia" w:ascii="Times New Roman" w:hAnsi="Times New Roman" w:eastAsia="华文行楷"/>
          <w:b/>
          <w:bCs/>
          <w:snapToGrid w:val="0"/>
          <w:spacing w:val="-20"/>
          <w:kern w:val="0"/>
          <w:sz w:val="52"/>
          <w:szCs w:val="52"/>
        </w:rPr>
        <w:t>十四五</w:t>
      </w:r>
      <w:r>
        <w:rPr>
          <w:rFonts w:ascii="Times New Roman" w:hAnsi="Times New Roman" w:eastAsia="华文行楷"/>
          <w:b/>
          <w:bCs/>
          <w:snapToGrid w:val="0"/>
          <w:spacing w:val="-20"/>
          <w:kern w:val="0"/>
          <w:sz w:val="52"/>
          <w:szCs w:val="52"/>
        </w:rPr>
        <w:t>”</w:t>
      </w:r>
      <w:r>
        <w:rPr>
          <w:rFonts w:hint="eastAsia" w:ascii="Times New Roman" w:hAnsi="Times New Roman" w:eastAsia="华文行楷"/>
          <w:b/>
          <w:bCs/>
          <w:snapToGrid w:val="0"/>
          <w:spacing w:val="-20"/>
          <w:kern w:val="0"/>
          <w:sz w:val="52"/>
          <w:szCs w:val="52"/>
        </w:rPr>
        <w:t>节约用水规划报告</w:t>
      </w:r>
    </w:p>
    <w:p>
      <w:pPr>
        <w:widowControl/>
        <w:adjustRightInd w:val="0"/>
        <w:snapToGrid w:val="0"/>
        <w:spacing w:line="360" w:lineRule="auto"/>
        <w:ind w:left="-426" w:right="-483" w:rightChars="-230" w:firstLine="3"/>
        <w:jc w:val="center"/>
        <w:rPr>
          <w:rFonts w:ascii="Times New Roman" w:hAnsi="Times New Roman" w:eastAsia="华文行楷"/>
          <w:b/>
          <w:bCs/>
          <w:snapToGrid w:val="0"/>
          <w:spacing w:val="-20"/>
          <w:kern w:val="0"/>
          <w:sz w:val="52"/>
          <w:szCs w:val="52"/>
        </w:rPr>
      </w:pPr>
      <w:r>
        <w:rPr>
          <w:rFonts w:hint="eastAsia" w:ascii="Times New Roman" w:hAnsi="Times New Roman" w:eastAsia="华文行楷"/>
          <w:b/>
          <w:bCs/>
          <w:snapToGrid w:val="0"/>
          <w:spacing w:val="-20"/>
          <w:kern w:val="0"/>
          <w:sz w:val="52"/>
          <w:szCs w:val="52"/>
        </w:rPr>
        <w:t>（送审稿）</w:t>
      </w:r>
    </w:p>
    <w:p>
      <w:pPr>
        <w:widowControl/>
        <w:adjustRightInd w:val="0"/>
        <w:snapToGrid w:val="0"/>
        <w:spacing w:line="360" w:lineRule="auto"/>
        <w:ind w:left="-426" w:right="-483" w:rightChars="-230" w:firstLine="3"/>
        <w:jc w:val="center"/>
        <w:rPr>
          <w:rFonts w:ascii="Times New Roman" w:hAnsi="Times New Roman" w:eastAsia="华文行楷"/>
          <w:b/>
          <w:bCs/>
          <w:snapToGrid w:val="0"/>
          <w:kern w:val="0"/>
          <w:sz w:val="52"/>
          <w:szCs w:val="52"/>
        </w:rPr>
      </w:pPr>
    </w:p>
    <w:p>
      <w:pPr>
        <w:jc w:val="center"/>
        <w:rPr>
          <w:rFonts w:ascii="Times New Roman" w:hAnsi="Times New Roman"/>
          <w:color w:val="0070C0"/>
          <w:kern w:val="0"/>
          <w:sz w:val="44"/>
          <w:szCs w:val="44"/>
        </w:rPr>
      </w:pPr>
    </w:p>
    <w:p>
      <w:pPr>
        <w:jc w:val="center"/>
        <w:rPr>
          <w:rFonts w:ascii="Times New Roman" w:hAnsi="Times New Roman"/>
          <w:color w:val="0070C0"/>
          <w:kern w:val="0"/>
          <w:sz w:val="44"/>
          <w:szCs w:val="44"/>
        </w:rPr>
      </w:pPr>
    </w:p>
    <w:p>
      <w:pPr>
        <w:rPr>
          <w:rFonts w:ascii="Times New Roman" w:hAnsi="Times New Roman"/>
          <w:color w:val="0070C0"/>
          <w:kern w:val="0"/>
          <w:sz w:val="44"/>
          <w:szCs w:val="44"/>
        </w:rPr>
      </w:pPr>
    </w:p>
    <w:p>
      <w:pPr>
        <w:rPr>
          <w:rFonts w:ascii="Times New Roman" w:hAnsi="Times New Roman"/>
          <w:color w:val="0070C0"/>
          <w:kern w:val="0"/>
          <w:sz w:val="44"/>
          <w:szCs w:val="44"/>
        </w:rPr>
      </w:pPr>
    </w:p>
    <w:p>
      <w:pPr>
        <w:rPr>
          <w:rFonts w:ascii="Times New Roman" w:hAnsi="Times New Roman"/>
          <w:color w:val="0070C0"/>
          <w:kern w:val="0"/>
          <w:szCs w:val="21"/>
        </w:rPr>
      </w:pPr>
    </w:p>
    <w:p>
      <w:pPr>
        <w:rPr>
          <w:rFonts w:ascii="Times New Roman" w:hAnsi="Times New Roman"/>
          <w:color w:val="0070C0"/>
          <w:kern w:val="0"/>
          <w:szCs w:val="21"/>
        </w:rPr>
      </w:pPr>
    </w:p>
    <w:p>
      <w:pPr>
        <w:rPr>
          <w:rFonts w:ascii="Times New Roman" w:hAnsi="Times New Roman"/>
          <w:color w:val="0070C0"/>
          <w:kern w:val="0"/>
          <w:szCs w:val="21"/>
        </w:rPr>
      </w:pPr>
    </w:p>
    <w:p>
      <w:pPr>
        <w:rPr>
          <w:rFonts w:ascii="Times New Roman" w:hAnsi="Times New Roman"/>
          <w:color w:val="0070C0"/>
          <w:kern w:val="0"/>
          <w:szCs w:val="21"/>
        </w:rPr>
      </w:pPr>
    </w:p>
    <w:p>
      <w:pPr>
        <w:rPr>
          <w:rFonts w:ascii="Times New Roman" w:hAnsi="Times New Roman"/>
          <w:color w:val="0070C0"/>
          <w:kern w:val="0"/>
          <w:szCs w:val="21"/>
        </w:rPr>
      </w:pPr>
    </w:p>
    <w:p>
      <w:pPr>
        <w:rPr>
          <w:rFonts w:ascii="Times New Roman" w:hAnsi="Times New Roman"/>
          <w:color w:val="0070C0"/>
          <w:kern w:val="0"/>
          <w:sz w:val="44"/>
          <w:szCs w:val="44"/>
        </w:rPr>
      </w:pPr>
    </w:p>
    <w:p>
      <w:pPr>
        <w:spacing w:line="360" w:lineRule="auto"/>
        <w:jc w:val="center"/>
        <w:rPr>
          <w:rFonts w:ascii="Times New Roman" w:hAnsi="Times New Roman"/>
          <w:b/>
          <w:bCs/>
          <w:color w:val="0070C0"/>
          <w:kern w:val="0"/>
          <w:sz w:val="30"/>
          <w:szCs w:val="30"/>
        </w:rPr>
      </w:pPr>
    </w:p>
    <w:p>
      <w:pPr>
        <w:spacing w:line="360" w:lineRule="auto"/>
        <w:jc w:val="center"/>
        <w:rPr>
          <w:rFonts w:ascii="Times New Roman" w:hAnsi="Times New Roman"/>
          <w:b/>
          <w:bCs/>
          <w:color w:val="0070C0"/>
          <w:kern w:val="0"/>
          <w:sz w:val="30"/>
          <w:szCs w:val="30"/>
        </w:rPr>
      </w:pPr>
    </w:p>
    <w:p>
      <w:pPr>
        <w:spacing w:line="360" w:lineRule="auto"/>
        <w:jc w:val="center"/>
        <w:rPr>
          <w:rFonts w:ascii="Times New Roman" w:hAnsi="Times New Roman"/>
          <w:b/>
          <w:bCs/>
          <w:kern w:val="0"/>
          <w:sz w:val="30"/>
          <w:szCs w:val="30"/>
        </w:rPr>
      </w:pPr>
      <w:r>
        <w:rPr>
          <w:rFonts w:hint="eastAsia" w:ascii="Times New Roman" w:hAnsi="Times New Roman"/>
          <w:b/>
          <w:bCs/>
          <w:kern w:val="0"/>
          <w:sz w:val="30"/>
          <w:szCs w:val="30"/>
        </w:rPr>
        <w:t>渝北区水利局</w:t>
      </w:r>
    </w:p>
    <w:p>
      <w:pPr>
        <w:spacing w:line="360" w:lineRule="auto"/>
        <w:jc w:val="center"/>
        <w:rPr>
          <w:rFonts w:ascii="Times New Roman" w:hAnsi="Times New Roman"/>
          <w:b/>
          <w:bCs/>
          <w:color w:val="0070C0"/>
          <w:sz w:val="32"/>
          <w:szCs w:val="32"/>
        </w:rPr>
      </w:pPr>
      <w:r>
        <w:rPr>
          <w:rFonts w:hint="eastAsia" w:ascii="Times New Roman" w:hAnsi="Times New Roman"/>
          <w:b/>
          <w:bCs/>
          <w:color w:val="000000"/>
          <w:kern w:val="0"/>
          <w:sz w:val="30"/>
          <w:szCs w:val="30"/>
        </w:rPr>
        <w:t>重庆禹智水利电力工程咨询有限公司</w:t>
      </w:r>
    </w:p>
    <w:p>
      <w:pPr>
        <w:spacing w:line="360" w:lineRule="auto"/>
        <w:jc w:val="center"/>
        <w:rPr>
          <w:rFonts w:ascii="Times New Roman" w:hAnsi="Times New Roman"/>
          <w:b/>
          <w:bCs/>
          <w:color w:val="0070C0"/>
          <w:kern w:val="0"/>
          <w:sz w:val="30"/>
          <w:szCs w:val="30"/>
        </w:rPr>
      </w:pPr>
      <w:r>
        <w:rPr>
          <w:rFonts w:hint="eastAsia" w:ascii="Times New Roman" w:hAnsi="Times New Roman"/>
          <w:b/>
          <w:bCs/>
          <w:kern w:val="0"/>
          <w:sz w:val="30"/>
          <w:szCs w:val="30"/>
        </w:rPr>
        <w:t>二〇二一年十一月</w:t>
      </w:r>
    </w:p>
    <w:p>
      <w:pPr>
        <w:jc w:val="center"/>
        <w:rPr>
          <w:rFonts w:ascii="黑体" w:hAnsi="黑体" w:eastAsia="黑体"/>
          <w:sz w:val="36"/>
          <w:szCs w:val="36"/>
        </w:rPr>
      </w:pPr>
      <w:r>
        <w:rPr>
          <w:rFonts w:hint="eastAsia" w:ascii="黑体" w:hAnsi="黑体" w:eastAsia="黑体"/>
          <w:b/>
          <w:bCs/>
          <w:sz w:val="36"/>
          <w:szCs w:val="36"/>
        </w:rPr>
        <w:t>目录</w:t>
      </w:r>
    </w:p>
    <w:p>
      <w:pPr>
        <w:pStyle w:val="14"/>
        <w:tabs>
          <w:tab w:val="right" w:leader="dot" w:pos="8296"/>
        </w:tabs>
        <w:spacing w:line="360" w:lineRule="auto"/>
      </w:pPr>
      <w:r>
        <w:rPr>
          <w:rFonts w:ascii="Times New Roman" w:hAnsi="Times New Roman"/>
          <w:bCs/>
          <w:color w:val="0070C0"/>
          <w:kern w:val="44"/>
          <w:sz w:val="28"/>
          <w:szCs w:val="28"/>
        </w:rPr>
        <w:fldChar w:fldCharType="begin"/>
      </w:r>
      <w:r>
        <w:rPr>
          <w:rFonts w:ascii="Times New Roman" w:hAnsi="Times New Roman"/>
          <w:bCs/>
          <w:color w:val="0070C0"/>
          <w:kern w:val="44"/>
          <w:sz w:val="28"/>
          <w:szCs w:val="28"/>
        </w:rPr>
        <w:instrText xml:space="preserve">TOC \o "1-3" \h \u </w:instrText>
      </w:r>
      <w:r>
        <w:rPr>
          <w:rFonts w:ascii="Times New Roman" w:hAnsi="Times New Roman"/>
          <w:bCs/>
          <w:color w:val="0070C0"/>
          <w:kern w:val="44"/>
          <w:sz w:val="28"/>
          <w:szCs w:val="28"/>
        </w:rPr>
        <w:fldChar w:fldCharType="separate"/>
      </w:r>
      <w:r>
        <w:fldChar w:fldCharType="begin"/>
      </w:r>
      <w:r>
        <w:instrText xml:space="preserve"> HYPERLINK \l "_Toc90482745" </w:instrText>
      </w:r>
      <w:r>
        <w:fldChar w:fldCharType="separate"/>
      </w:r>
      <w:r>
        <w:rPr>
          <w:rStyle w:val="25"/>
          <w:rFonts w:hint="eastAsia" w:ascii="Times New Roman" w:hAnsi="Times New Roman"/>
          <w:b/>
          <w:bCs/>
          <w:kern w:val="44"/>
        </w:rPr>
        <w:t>前言</w:t>
      </w:r>
      <w:r>
        <w:tab/>
      </w:r>
      <w:r>
        <w:fldChar w:fldCharType="begin"/>
      </w:r>
      <w:r>
        <w:instrText xml:space="preserve"> PAGEREF _Toc90482745 \h </w:instrText>
      </w:r>
      <w:r>
        <w:fldChar w:fldCharType="separate"/>
      </w:r>
      <w:r>
        <w:t>6</w:t>
      </w:r>
      <w:r>
        <w:fldChar w:fldCharType="end"/>
      </w:r>
      <w:r>
        <w:fldChar w:fldCharType="end"/>
      </w:r>
    </w:p>
    <w:p>
      <w:pPr>
        <w:pStyle w:val="14"/>
        <w:tabs>
          <w:tab w:val="right" w:leader="dot" w:pos="8296"/>
        </w:tabs>
        <w:spacing w:line="360" w:lineRule="auto"/>
      </w:pPr>
      <w:r>
        <w:fldChar w:fldCharType="begin"/>
      </w:r>
      <w:r>
        <w:instrText xml:space="preserve"> HYPERLINK \l "_Toc90482746" </w:instrText>
      </w:r>
      <w:r>
        <w:fldChar w:fldCharType="separate"/>
      </w:r>
      <w:r>
        <w:rPr>
          <w:rStyle w:val="25"/>
          <w:rFonts w:ascii="Times New Roman" w:hAnsi="Times New Roman"/>
          <w:b/>
          <w:bCs/>
          <w:kern w:val="44"/>
        </w:rPr>
        <w:t xml:space="preserve">1 </w:t>
      </w:r>
      <w:r>
        <w:rPr>
          <w:rStyle w:val="25"/>
          <w:rFonts w:hint="eastAsia" w:ascii="Times New Roman" w:hAnsi="Times New Roman"/>
          <w:b/>
          <w:bCs/>
          <w:kern w:val="44"/>
        </w:rPr>
        <w:t>区域概况</w:t>
      </w:r>
      <w:r>
        <w:tab/>
      </w:r>
      <w:r>
        <w:fldChar w:fldCharType="begin"/>
      </w:r>
      <w:r>
        <w:instrText xml:space="preserve"> PAGEREF _Toc90482746 \h </w:instrText>
      </w:r>
      <w:r>
        <w:fldChar w:fldCharType="separate"/>
      </w:r>
      <w:r>
        <w:t>7</w:t>
      </w:r>
      <w:r>
        <w:fldChar w:fldCharType="end"/>
      </w:r>
      <w:r>
        <w:fldChar w:fldCharType="end"/>
      </w:r>
    </w:p>
    <w:p>
      <w:pPr>
        <w:pStyle w:val="18"/>
        <w:tabs>
          <w:tab w:val="right" w:leader="dot" w:pos="8296"/>
        </w:tabs>
        <w:spacing w:line="360" w:lineRule="auto"/>
        <w:ind w:left="31680"/>
      </w:pPr>
      <w:r>
        <w:fldChar w:fldCharType="begin"/>
      </w:r>
      <w:r>
        <w:instrText xml:space="preserve"> HYPERLINK \l "_Toc90482747" </w:instrText>
      </w:r>
      <w:r>
        <w:fldChar w:fldCharType="separate"/>
      </w:r>
      <w:r>
        <w:rPr>
          <w:rStyle w:val="25"/>
          <w:rFonts w:ascii="Times New Roman" w:hAnsi="Times New Roman"/>
          <w:b/>
          <w:bCs/>
          <w:kern w:val="44"/>
        </w:rPr>
        <w:t xml:space="preserve">1.1 </w:t>
      </w:r>
      <w:r>
        <w:rPr>
          <w:rStyle w:val="25"/>
          <w:rFonts w:hint="eastAsia" w:ascii="Times New Roman" w:hAnsi="Times New Roman"/>
          <w:b/>
          <w:bCs/>
          <w:kern w:val="44"/>
        </w:rPr>
        <w:t>自然地理概况</w:t>
      </w:r>
      <w:r>
        <w:tab/>
      </w:r>
      <w:r>
        <w:fldChar w:fldCharType="begin"/>
      </w:r>
      <w:r>
        <w:instrText xml:space="preserve"> PAGEREF _Toc90482747 \h </w:instrText>
      </w:r>
      <w:r>
        <w:fldChar w:fldCharType="separate"/>
      </w:r>
      <w:r>
        <w:t>7</w:t>
      </w:r>
      <w:r>
        <w:fldChar w:fldCharType="end"/>
      </w:r>
      <w:r>
        <w:fldChar w:fldCharType="end"/>
      </w:r>
    </w:p>
    <w:p>
      <w:pPr>
        <w:pStyle w:val="7"/>
        <w:tabs>
          <w:tab w:val="right" w:leader="dot" w:pos="8296"/>
        </w:tabs>
        <w:spacing w:line="360" w:lineRule="auto"/>
        <w:ind w:left="31680"/>
      </w:pPr>
      <w:r>
        <w:fldChar w:fldCharType="begin"/>
      </w:r>
      <w:r>
        <w:instrText xml:space="preserve"> HYPERLINK \l "_Toc90482748" </w:instrText>
      </w:r>
      <w:r>
        <w:fldChar w:fldCharType="separate"/>
      </w:r>
      <w:r>
        <w:rPr>
          <w:rStyle w:val="25"/>
          <w:rFonts w:ascii="Times New Roman" w:hAnsi="Times New Roman" w:eastAsia="黑体"/>
        </w:rPr>
        <w:t xml:space="preserve">1.1.1 </w:t>
      </w:r>
      <w:r>
        <w:rPr>
          <w:rStyle w:val="25"/>
          <w:rFonts w:hint="eastAsia" w:ascii="Times New Roman" w:hAnsi="Times New Roman" w:eastAsia="黑体"/>
        </w:rPr>
        <w:t>地理位置</w:t>
      </w:r>
      <w:r>
        <w:tab/>
      </w:r>
      <w:r>
        <w:fldChar w:fldCharType="begin"/>
      </w:r>
      <w:r>
        <w:instrText xml:space="preserve"> PAGEREF _Toc90482748 \h </w:instrText>
      </w:r>
      <w:r>
        <w:fldChar w:fldCharType="separate"/>
      </w:r>
      <w:r>
        <w:t>7</w:t>
      </w:r>
      <w:r>
        <w:fldChar w:fldCharType="end"/>
      </w:r>
      <w:r>
        <w:fldChar w:fldCharType="end"/>
      </w:r>
    </w:p>
    <w:p>
      <w:pPr>
        <w:pStyle w:val="7"/>
        <w:tabs>
          <w:tab w:val="right" w:leader="dot" w:pos="8296"/>
        </w:tabs>
        <w:spacing w:line="360" w:lineRule="auto"/>
        <w:ind w:left="31680"/>
      </w:pPr>
      <w:r>
        <w:fldChar w:fldCharType="begin"/>
      </w:r>
      <w:r>
        <w:instrText xml:space="preserve"> HYPERLINK \l "_Toc90482749" </w:instrText>
      </w:r>
      <w:r>
        <w:fldChar w:fldCharType="separate"/>
      </w:r>
      <w:r>
        <w:rPr>
          <w:rStyle w:val="25"/>
          <w:rFonts w:ascii="Times New Roman" w:hAnsi="Times New Roman" w:eastAsia="黑体"/>
        </w:rPr>
        <w:t xml:space="preserve">1.1.2 </w:t>
      </w:r>
      <w:r>
        <w:rPr>
          <w:rStyle w:val="25"/>
          <w:rFonts w:hint="eastAsia" w:ascii="Times New Roman" w:hAnsi="Times New Roman" w:eastAsia="黑体"/>
        </w:rPr>
        <w:t>地形地貌</w:t>
      </w:r>
      <w:r>
        <w:tab/>
      </w:r>
      <w:r>
        <w:fldChar w:fldCharType="begin"/>
      </w:r>
      <w:r>
        <w:instrText xml:space="preserve"> PAGEREF _Toc90482749 \h </w:instrText>
      </w:r>
      <w:r>
        <w:fldChar w:fldCharType="separate"/>
      </w:r>
      <w:r>
        <w:t>7</w:t>
      </w:r>
      <w:r>
        <w:fldChar w:fldCharType="end"/>
      </w:r>
      <w:r>
        <w:fldChar w:fldCharType="end"/>
      </w:r>
    </w:p>
    <w:p>
      <w:pPr>
        <w:pStyle w:val="7"/>
        <w:tabs>
          <w:tab w:val="right" w:leader="dot" w:pos="8296"/>
        </w:tabs>
        <w:spacing w:line="360" w:lineRule="auto"/>
        <w:ind w:left="31680"/>
      </w:pPr>
      <w:r>
        <w:fldChar w:fldCharType="begin"/>
      </w:r>
      <w:r>
        <w:instrText xml:space="preserve"> HYPERLINK \l "_Toc90482750" </w:instrText>
      </w:r>
      <w:r>
        <w:fldChar w:fldCharType="separate"/>
      </w:r>
      <w:r>
        <w:rPr>
          <w:rStyle w:val="25"/>
          <w:rFonts w:ascii="Times New Roman" w:hAnsi="Times New Roman" w:eastAsia="黑体"/>
        </w:rPr>
        <w:t xml:space="preserve">1.1.3 </w:t>
      </w:r>
      <w:r>
        <w:rPr>
          <w:rStyle w:val="25"/>
          <w:rFonts w:hint="eastAsia" w:ascii="Times New Roman" w:hAnsi="Times New Roman" w:eastAsia="黑体"/>
        </w:rPr>
        <w:t>水文气象</w:t>
      </w:r>
      <w:r>
        <w:tab/>
      </w:r>
      <w:r>
        <w:fldChar w:fldCharType="begin"/>
      </w:r>
      <w:r>
        <w:instrText xml:space="preserve"> PAGEREF _Toc90482750 \h </w:instrText>
      </w:r>
      <w:r>
        <w:fldChar w:fldCharType="separate"/>
      </w:r>
      <w:r>
        <w:t>8</w:t>
      </w:r>
      <w:r>
        <w:fldChar w:fldCharType="end"/>
      </w:r>
      <w:r>
        <w:fldChar w:fldCharType="end"/>
      </w:r>
    </w:p>
    <w:p>
      <w:pPr>
        <w:pStyle w:val="7"/>
        <w:tabs>
          <w:tab w:val="right" w:leader="dot" w:pos="8296"/>
        </w:tabs>
        <w:spacing w:line="360" w:lineRule="auto"/>
        <w:ind w:left="31680"/>
      </w:pPr>
      <w:r>
        <w:fldChar w:fldCharType="begin"/>
      </w:r>
      <w:r>
        <w:instrText xml:space="preserve"> HYPERLINK \l "_Toc90482751" </w:instrText>
      </w:r>
      <w:r>
        <w:fldChar w:fldCharType="separate"/>
      </w:r>
      <w:r>
        <w:rPr>
          <w:rStyle w:val="25"/>
          <w:rFonts w:ascii="Times New Roman" w:hAnsi="Times New Roman" w:eastAsia="黑体"/>
        </w:rPr>
        <w:t xml:space="preserve">1.1.4 </w:t>
      </w:r>
      <w:r>
        <w:rPr>
          <w:rStyle w:val="25"/>
          <w:rFonts w:hint="eastAsia" w:ascii="Times New Roman" w:hAnsi="Times New Roman" w:eastAsia="黑体"/>
        </w:rPr>
        <w:t>河流水系</w:t>
      </w:r>
      <w:r>
        <w:tab/>
      </w:r>
      <w:r>
        <w:fldChar w:fldCharType="begin"/>
      </w:r>
      <w:r>
        <w:instrText xml:space="preserve"> PAGEREF _Toc90482751 \h </w:instrText>
      </w:r>
      <w:r>
        <w:fldChar w:fldCharType="separate"/>
      </w:r>
      <w:r>
        <w:t>8</w:t>
      </w:r>
      <w:r>
        <w:fldChar w:fldCharType="end"/>
      </w:r>
      <w:r>
        <w:fldChar w:fldCharType="end"/>
      </w:r>
    </w:p>
    <w:p>
      <w:pPr>
        <w:pStyle w:val="18"/>
        <w:tabs>
          <w:tab w:val="right" w:leader="dot" w:pos="8296"/>
        </w:tabs>
        <w:spacing w:line="360" w:lineRule="auto"/>
        <w:ind w:left="31680"/>
      </w:pPr>
      <w:r>
        <w:fldChar w:fldCharType="begin"/>
      </w:r>
      <w:r>
        <w:instrText xml:space="preserve"> HYPERLINK \l "_Toc90482752" </w:instrText>
      </w:r>
      <w:r>
        <w:fldChar w:fldCharType="separate"/>
      </w:r>
      <w:r>
        <w:rPr>
          <w:rStyle w:val="25"/>
          <w:rFonts w:ascii="Times New Roman" w:hAnsi="Times New Roman"/>
          <w:b/>
          <w:bCs/>
          <w:kern w:val="44"/>
        </w:rPr>
        <w:t xml:space="preserve">1.2 </w:t>
      </w:r>
      <w:r>
        <w:rPr>
          <w:rStyle w:val="25"/>
          <w:rFonts w:hint="eastAsia" w:ascii="Times New Roman" w:hAnsi="Times New Roman"/>
          <w:b/>
          <w:bCs/>
          <w:kern w:val="44"/>
        </w:rPr>
        <w:t>社会经济概况</w:t>
      </w:r>
      <w:r>
        <w:tab/>
      </w:r>
      <w:r>
        <w:fldChar w:fldCharType="begin"/>
      </w:r>
      <w:r>
        <w:instrText xml:space="preserve"> PAGEREF _Toc90482752 \h </w:instrText>
      </w:r>
      <w:r>
        <w:fldChar w:fldCharType="separate"/>
      </w:r>
      <w:r>
        <w:t>9</w:t>
      </w:r>
      <w:r>
        <w:fldChar w:fldCharType="end"/>
      </w:r>
      <w:r>
        <w:fldChar w:fldCharType="end"/>
      </w:r>
    </w:p>
    <w:p>
      <w:pPr>
        <w:pStyle w:val="7"/>
        <w:tabs>
          <w:tab w:val="right" w:leader="dot" w:pos="8296"/>
        </w:tabs>
        <w:spacing w:line="360" w:lineRule="auto"/>
        <w:ind w:left="31680"/>
      </w:pPr>
      <w:r>
        <w:fldChar w:fldCharType="begin"/>
      </w:r>
      <w:r>
        <w:instrText xml:space="preserve"> HYPERLINK \l "_Toc90482753" </w:instrText>
      </w:r>
      <w:r>
        <w:fldChar w:fldCharType="separate"/>
      </w:r>
      <w:r>
        <w:rPr>
          <w:rStyle w:val="25"/>
          <w:rFonts w:ascii="Times New Roman" w:hAnsi="Times New Roman" w:eastAsia="黑体"/>
        </w:rPr>
        <w:t xml:space="preserve">1.2.1 </w:t>
      </w:r>
      <w:r>
        <w:rPr>
          <w:rStyle w:val="25"/>
          <w:rFonts w:hint="eastAsia" w:ascii="Times New Roman" w:hAnsi="Times New Roman" w:eastAsia="黑体"/>
        </w:rPr>
        <w:t>综合</w:t>
      </w:r>
      <w:r>
        <w:tab/>
      </w:r>
      <w:r>
        <w:fldChar w:fldCharType="begin"/>
      </w:r>
      <w:r>
        <w:instrText xml:space="preserve"> PAGEREF _Toc90482753 \h </w:instrText>
      </w:r>
      <w:r>
        <w:fldChar w:fldCharType="separate"/>
      </w:r>
      <w:r>
        <w:t>9</w:t>
      </w:r>
      <w:r>
        <w:fldChar w:fldCharType="end"/>
      </w:r>
      <w:r>
        <w:fldChar w:fldCharType="end"/>
      </w:r>
    </w:p>
    <w:p>
      <w:pPr>
        <w:pStyle w:val="7"/>
        <w:tabs>
          <w:tab w:val="right" w:leader="dot" w:pos="8296"/>
        </w:tabs>
        <w:spacing w:line="360" w:lineRule="auto"/>
        <w:ind w:left="31680"/>
      </w:pPr>
      <w:r>
        <w:fldChar w:fldCharType="begin"/>
      </w:r>
      <w:r>
        <w:instrText xml:space="preserve"> HYPERLINK \l "_Toc90482754" </w:instrText>
      </w:r>
      <w:r>
        <w:fldChar w:fldCharType="separate"/>
      </w:r>
      <w:r>
        <w:rPr>
          <w:rStyle w:val="25"/>
          <w:rFonts w:ascii="Times New Roman" w:hAnsi="Times New Roman" w:eastAsia="黑体"/>
        </w:rPr>
        <w:t xml:space="preserve">1.2.2 </w:t>
      </w:r>
      <w:r>
        <w:rPr>
          <w:rStyle w:val="25"/>
          <w:rFonts w:hint="eastAsia" w:ascii="Times New Roman" w:hAnsi="Times New Roman" w:eastAsia="黑体"/>
        </w:rPr>
        <w:t>农业</w:t>
      </w:r>
      <w:r>
        <w:tab/>
      </w:r>
      <w:r>
        <w:fldChar w:fldCharType="begin"/>
      </w:r>
      <w:r>
        <w:instrText xml:space="preserve"> PAGEREF _Toc90482754 \h </w:instrText>
      </w:r>
      <w:r>
        <w:fldChar w:fldCharType="separate"/>
      </w:r>
      <w:r>
        <w:t>9</w:t>
      </w:r>
      <w:r>
        <w:fldChar w:fldCharType="end"/>
      </w:r>
      <w:r>
        <w:fldChar w:fldCharType="end"/>
      </w:r>
    </w:p>
    <w:p>
      <w:pPr>
        <w:pStyle w:val="7"/>
        <w:tabs>
          <w:tab w:val="right" w:leader="dot" w:pos="8296"/>
        </w:tabs>
        <w:spacing w:line="360" w:lineRule="auto"/>
        <w:ind w:left="31680"/>
      </w:pPr>
      <w:r>
        <w:fldChar w:fldCharType="begin"/>
      </w:r>
      <w:r>
        <w:instrText xml:space="preserve"> HYPERLINK \l "_Toc90482755" </w:instrText>
      </w:r>
      <w:r>
        <w:fldChar w:fldCharType="separate"/>
      </w:r>
      <w:r>
        <w:rPr>
          <w:rStyle w:val="25"/>
          <w:rFonts w:ascii="Times New Roman" w:hAnsi="Times New Roman" w:eastAsia="黑体"/>
        </w:rPr>
        <w:t xml:space="preserve">1.2.3 </w:t>
      </w:r>
      <w:r>
        <w:rPr>
          <w:rStyle w:val="25"/>
          <w:rFonts w:hint="eastAsia" w:ascii="Times New Roman" w:hAnsi="Times New Roman" w:eastAsia="黑体"/>
        </w:rPr>
        <w:t>工业和建筑业</w:t>
      </w:r>
      <w:r>
        <w:tab/>
      </w:r>
      <w:r>
        <w:fldChar w:fldCharType="begin"/>
      </w:r>
      <w:r>
        <w:instrText xml:space="preserve"> PAGEREF _Toc90482755 \h </w:instrText>
      </w:r>
      <w:r>
        <w:fldChar w:fldCharType="separate"/>
      </w:r>
      <w:r>
        <w:t>10</w:t>
      </w:r>
      <w:r>
        <w:fldChar w:fldCharType="end"/>
      </w:r>
      <w:r>
        <w:fldChar w:fldCharType="end"/>
      </w:r>
    </w:p>
    <w:p>
      <w:pPr>
        <w:pStyle w:val="7"/>
        <w:tabs>
          <w:tab w:val="right" w:leader="dot" w:pos="8296"/>
        </w:tabs>
        <w:spacing w:line="360" w:lineRule="auto"/>
        <w:ind w:left="31680"/>
      </w:pPr>
      <w:r>
        <w:fldChar w:fldCharType="begin"/>
      </w:r>
      <w:r>
        <w:instrText xml:space="preserve"> HYPERLINK \l "_Toc90482756" </w:instrText>
      </w:r>
      <w:r>
        <w:fldChar w:fldCharType="separate"/>
      </w:r>
      <w:r>
        <w:rPr>
          <w:rStyle w:val="25"/>
          <w:rFonts w:ascii="Times New Roman" w:hAnsi="Times New Roman" w:eastAsia="黑体"/>
        </w:rPr>
        <w:t xml:space="preserve">1.2.4 </w:t>
      </w:r>
      <w:r>
        <w:rPr>
          <w:rStyle w:val="25"/>
          <w:rFonts w:hint="eastAsia" w:ascii="Times New Roman" w:hAnsi="Times New Roman" w:eastAsia="黑体"/>
        </w:rPr>
        <w:t>国内贸易和对外经济</w:t>
      </w:r>
      <w:r>
        <w:tab/>
      </w:r>
      <w:r>
        <w:fldChar w:fldCharType="begin"/>
      </w:r>
      <w:r>
        <w:instrText xml:space="preserve"> PAGEREF _Toc90482756 \h </w:instrText>
      </w:r>
      <w:r>
        <w:fldChar w:fldCharType="separate"/>
      </w:r>
      <w:r>
        <w:t>11</w:t>
      </w:r>
      <w:r>
        <w:fldChar w:fldCharType="end"/>
      </w:r>
      <w:r>
        <w:fldChar w:fldCharType="end"/>
      </w:r>
    </w:p>
    <w:p>
      <w:pPr>
        <w:pStyle w:val="7"/>
        <w:tabs>
          <w:tab w:val="right" w:leader="dot" w:pos="8296"/>
        </w:tabs>
        <w:spacing w:line="360" w:lineRule="auto"/>
        <w:ind w:left="31680"/>
      </w:pPr>
      <w:r>
        <w:fldChar w:fldCharType="begin"/>
      </w:r>
      <w:r>
        <w:instrText xml:space="preserve"> HYPERLINK \l "_Toc90482757" </w:instrText>
      </w:r>
      <w:r>
        <w:fldChar w:fldCharType="separate"/>
      </w:r>
      <w:r>
        <w:rPr>
          <w:rStyle w:val="25"/>
          <w:rFonts w:ascii="Times New Roman" w:hAnsi="Times New Roman" w:eastAsia="黑体"/>
        </w:rPr>
        <w:t xml:space="preserve">1.2.5 </w:t>
      </w:r>
      <w:r>
        <w:rPr>
          <w:rStyle w:val="25"/>
          <w:rFonts w:hint="eastAsia" w:ascii="Times New Roman" w:hAnsi="Times New Roman" w:eastAsia="黑体"/>
        </w:rPr>
        <w:t>交通运输、邮电和旅游</w:t>
      </w:r>
      <w:r>
        <w:tab/>
      </w:r>
      <w:r>
        <w:fldChar w:fldCharType="begin"/>
      </w:r>
      <w:r>
        <w:instrText xml:space="preserve"> PAGEREF _Toc90482757 \h </w:instrText>
      </w:r>
      <w:r>
        <w:fldChar w:fldCharType="separate"/>
      </w:r>
      <w:r>
        <w:t>11</w:t>
      </w:r>
      <w:r>
        <w:fldChar w:fldCharType="end"/>
      </w:r>
      <w:r>
        <w:fldChar w:fldCharType="end"/>
      </w:r>
    </w:p>
    <w:p>
      <w:pPr>
        <w:pStyle w:val="7"/>
        <w:tabs>
          <w:tab w:val="right" w:leader="dot" w:pos="8296"/>
        </w:tabs>
        <w:spacing w:line="360" w:lineRule="auto"/>
        <w:ind w:left="31680"/>
      </w:pPr>
      <w:r>
        <w:fldChar w:fldCharType="begin"/>
      </w:r>
      <w:r>
        <w:instrText xml:space="preserve"> HYPERLINK \l "_Toc90482758" </w:instrText>
      </w:r>
      <w:r>
        <w:fldChar w:fldCharType="separate"/>
      </w:r>
      <w:r>
        <w:rPr>
          <w:rStyle w:val="25"/>
          <w:rFonts w:ascii="Times New Roman" w:hAnsi="Times New Roman" w:eastAsia="黑体"/>
        </w:rPr>
        <w:t xml:space="preserve">1.2.6 </w:t>
      </w:r>
      <w:r>
        <w:rPr>
          <w:rStyle w:val="25"/>
          <w:rFonts w:hint="eastAsia" w:ascii="Times New Roman" w:hAnsi="Times New Roman" w:eastAsia="黑体"/>
        </w:rPr>
        <w:t>教育、科学技术和文化</w:t>
      </w:r>
      <w:r>
        <w:tab/>
      </w:r>
      <w:r>
        <w:fldChar w:fldCharType="begin"/>
      </w:r>
      <w:r>
        <w:instrText xml:space="preserve"> PAGEREF _Toc90482758 \h </w:instrText>
      </w:r>
      <w:r>
        <w:fldChar w:fldCharType="separate"/>
      </w:r>
      <w:r>
        <w:t>12</w:t>
      </w:r>
      <w:r>
        <w:fldChar w:fldCharType="end"/>
      </w:r>
      <w:r>
        <w:fldChar w:fldCharType="end"/>
      </w:r>
    </w:p>
    <w:p>
      <w:pPr>
        <w:pStyle w:val="7"/>
        <w:tabs>
          <w:tab w:val="right" w:leader="dot" w:pos="8296"/>
        </w:tabs>
        <w:spacing w:line="360" w:lineRule="auto"/>
        <w:ind w:left="31680"/>
      </w:pPr>
      <w:r>
        <w:fldChar w:fldCharType="begin"/>
      </w:r>
      <w:r>
        <w:instrText xml:space="preserve"> HYPERLINK \l "_Toc90482759" </w:instrText>
      </w:r>
      <w:r>
        <w:fldChar w:fldCharType="separate"/>
      </w:r>
      <w:r>
        <w:rPr>
          <w:rStyle w:val="25"/>
          <w:rFonts w:ascii="Times New Roman" w:hAnsi="Times New Roman" w:eastAsia="黑体"/>
        </w:rPr>
        <w:t xml:space="preserve">1.2.7 </w:t>
      </w:r>
      <w:r>
        <w:rPr>
          <w:rStyle w:val="25"/>
          <w:rFonts w:hint="eastAsia" w:ascii="Times New Roman" w:hAnsi="Times New Roman" w:eastAsia="黑体"/>
        </w:rPr>
        <w:t>人口</w:t>
      </w:r>
      <w:r>
        <w:tab/>
      </w:r>
      <w:r>
        <w:fldChar w:fldCharType="begin"/>
      </w:r>
      <w:r>
        <w:instrText xml:space="preserve"> PAGEREF _Toc90482759 \h </w:instrText>
      </w:r>
      <w:r>
        <w:fldChar w:fldCharType="separate"/>
      </w:r>
      <w:r>
        <w:t>13</w:t>
      </w:r>
      <w:r>
        <w:fldChar w:fldCharType="end"/>
      </w:r>
      <w:r>
        <w:fldChar w:fldCharType="end"/>
      </w:r>
    </w:p>
    <w:p>
      <w:pPr>
        <w:pStyle w:val="18"/>
        <w:tabs>
          <w:tab w:val="right" w:leader="dot" w:pos="8296"/>
        </w:tabs>
        <w:spacing w:line="360" w:lineRule="auto"/>
        <w:ind w:left="31680"/>
      </w:pPr>
      <w:r>
        <w:fldChar w:fldCharType="begin"/>
      </w:r>
      <w:r>
        <w:instrText xml:space="preserve"> HYPERLINK \l "_Toc90482760" </w:instrText>
      </w:r>
      <w:r>
        <w:fldChar w:fldCharType="separate"/>
      </w:r>
      <w:r>
        <w:rPr>
          <w:rStyle w:val="25"/>
          <w:rFonts w:ascii="Times New Roman" w:hAnsi="Times New Roman"/>
          <w:b/>
          <w:bCs/>
          <w:kern w:val="44"/>
        </w:rPr>
        <w:t xml:space="preserve">1.3 </w:t>
      </w:r>
      <w:r>
        <w:rPr>
          <w:rStyle w:val="25"/>
          <w:rFonts w:hint="eastAsia" w:ascii="Times New Roman" w:hAnsi="Times New Roman"/>
          <w:b/>
          <w:bCs/>
          <w:kern w:val="44"/>
        </w:rPr>
        <w:t>水资源及其开发利用现状</w:t>
      </w:r>
      <w:r>
        <w:tab/>
      </w:r>
      <w:r>
        <w:fldChar w:fldCharType="begin"/>
      </w:r>
      <w:r>
        <w:instrText xml:space="preserve"> PAGEREF _Toc90482760 \h </w:instrText>
      </w:r>
      <w:r>
        <w:fldChar w:fldCharType="separate"/>
      </w:r>
      <w:r>
        <w:t>13</w:t>
      </w:r>
      <w:r>
        <w:fldChar w:fldCharType="end"/>
      </w:r>
      <w:r>
        <w:fldChar w:fldCharType="end"/>
      </w:r>
    </w:p>
    <w:p>
      <w:pPr>
        <w:pStyle w:val="7"/>
        <w:tabs>
          <w:tab w:val="right" w:leader="dot" w:pos="8296"/>
        </w:tabs>
        <w:spacing w:line="360" w:lineRule="auto"/>
        <w:ind w:left="31680"/>
      </w:pPr>
      <w:r>
        <w:fldChar w:fldCharType="begin"/>
      </w:r>
      <w:r>
        <w:instrText xml:space="preserve"> HYPERLINK \l "_Toc90482761" </w:instrText>
      </w:r>
      <w:r>
        <w:fldChar w:fldCharType="separate"/>
      </w:r>
      <w:r>
        <w:rPr>
          <w:rStyle w:val="25"/>
          <w:rFonts w:ascii="Times New Roman" w:hAnsi="Times New Roman" w:eastAsia="黑体"/>
        </w:rPr>
        <w:t xml:space="preserve">1.3.1 </w:t>
      </w:r>
      <w:r>
        <w:rPr>
          <w:rStyle w:val="25"/>
          <w:rFonts w:hint="eastAsia" w:ascii="Times New Roman" w:hAnsi="Times New Roman" w:eastAsia="黑体"/>
        </w:rPr>
        <w:t>水资源量</w:t>
      </w:r>
      <w:r>
        <w:tab/>
      </w:r>
      <w:r>
        <w:fldChar w:fldCharType="begin"/>
      </w:r>
      <w:r>
        <w:instrText xml:space="preserve"> PAGEREF _Toc90482761 \h </w:instrText>
      </w:r>
      <w:r>
        <w:fldChar w:fldCharType="separate"/>
      </w:r>
      <w:r>
        <w:t>13</w:t>
      </w:r>
      <w:r>
        <w:fldChar w:fldCharType="end"/>
      </w:r>
      <w:r>
        <w:fldChar w:fldCharType="end"/>
      </w:r>
    </w:p>
    <w:p>
      <w:pPr>
        <w:pStyle w:val="7"/>
        <w:tabs>
          <w:tab w:val="right" w:leader="dot" w:pos="8296"/>
        </w:tabs>
        <w:spacing w:line="360" w:lineRule="auto"/>
        <w:ind w:left="31680"/>
      </w:pPr>
      <w:r>
        <w:fldChar w:fldCharType="begin"/>
      </w:r>
      <w:r>
        <w:instrText xml:space="preserve"> HYPERLINK \l "_Toc90482762" </w:instrText>
      </w:r>
      <w:r>
        <w:fldChar w:fldCharType="separate"/>
      </w:r>
      <w:r>
        <w:rPr>
          <w:rStyle w:val="25"/>
          <w:rFonts w:ascii="Times New Roman" w:hAnsi="Times New Roman" w:eastAsia="黑体"/>
        </w:rPr>
        <w:t xml:space="preserve">1.3.2 </w:t>
      </w:r>
      <w:r>
        <w:rPr>
          <w:rStyle w:val="25"/>
          <w:rFonts w:hint="eastAsia" w:ascii="Times New Roman" w:hAnsi="Times New Roman" w:eastAsia="黑体"/>
        </w:rPr>
        <w:t>水功能区水质情况</w:t>
      </w:r>
      <w:r>
        <w:tab/>
      </w:r>
      <w:r>
        <w:fldChar w:fldCharType="begin"/>
      </w:r>
      <w:r>
        <w:instrText xml:space="preserve"> PAGEREF _Toc90482762 \h </w:instrText>
      </w:r>
      <w:r>
        <w:fldChar w:fldCharType="separate"/>
      </w:r>
      <w:r>
        <w:t>14</w:t>
      </w:r>
      <w:r>
        <w:fldChar w:fldCharType="end"/>
      </w:r>
      <w:r>
        <w:fldChar w:fldCharType="end"/>
      </w:r>
    </w:p>
    <w:p>
      <w:pPr>
        <w:pStyle w:val="18"/>
        <w:tabs>
          <w:tab w:val="right" w:leader="dot" w:pos="8296"/>
        </w:tabs>
        <w:spacing w:line="360" w:lineRule="auto"/>
        <w:ind w:left="31680"/>
      </w:pPr>
      <w:r>
        <w:fldChar w:fldCharType="begin"/>
      </w:r>
      <w:r>
        <w:instrText xml:space="preserve"> HYPERLINK \l "_Toc90482763" </w:instrText>
      </w:r>
      <w:r>
        <w:fldChar w:fldCharType="separate"/>
      </w:r>
      <w:r>
        <w:rPr>
          <w:rStyle w:val="25"/>
          <w:rFonts w:ascii="Times New Roman" w:hAnsi="Times New Roman"/>
          <w:b/>
          <w:bCs/>
          <w:kern w:val="44"/>
        </w:rPr>
        <w:t xml:space="preserve">1.4 </w:t>
      </w:r>
      <w:r>
        <w:rPr>
          <w:rStyle w:val="25"/>
          <w:rFonts w:hint="eastAsia" w:ascii="Times New Roman" w:hAnsi="Times New Roman"/>
          <w:b/>
          <w:bCs/>
          <w:kern w:val="44"/>
        </w:rPr>
        <w:t>现状用水水平及节水潜力分析</w:t>
      </w:r>
      <w:r>
        <w:tab/>
      </w:r>
      <w:r>
        <w:fldChar w:fldCharType="begin"/>
      </w:r>
      <w:r>
        <w:instrText xml:space="preserve"> PAGEREF _Toc90482763 \h </w:instrText>
      </w:r>
      <w:r>
        <w:fldChar w:fldCharType="separate"/>
      </w:r>
      <w:r>
        <w:t>15</w:t>
      </w:r>
      <w:r>
        <w:fldChar w:fldCharType="end"/>
      </w:r>
      <w:r>
        <w:fldChar w:fldCharType="end"/>
      </w:r>
    </w:p>
    <w:p>
      <w:pPr>
        <w:pStyle w:val="7"/>
        <w:tabs>
          <w:tab w:val="right" w:leader="dot" w:pos="8296"/>
        </w:tabs>
        <w:spacing w:line="360" w:lineRule="auto"/>
        <w:ind w:left="31680"/>
      </w:pPr>
      <w:r>
        <w:fldChar w:fldCharType="begin"/>
      </w:r>
      <w:r>
        <w:instrText xml:space="preserve"> HYPERLINK \l "_Toc90482764" </w:instrText>
      </w:r>
      <w:r>
        <w:fldChar w:fldCharType="separate"/>
      </w:r>
      <w:r>
        <w:rPr>
          <w:rStyle w:val="25"/>
          <w:rFonts w:ascii="Times New Roman" w:hAnsi="Times New Roman" w:eastAsia="黑体"/>
        </w:rPr>
        <w:t xml:space="preserve">1.4.1 </w:t>
      </w:r>
      <w:r>
        <w:rPr>
          <w:rStyle w:val="25"/>
          <w:rFonts w:hint="eastAsia" w:ascii="Times New Roman" w:hAnsi="Times New Roman" w:eastAsia="黑体"/>
        </w:rPr>
        <w:t>现状用水水平</w:t>
      </w:r>
      <w:r>
        <w:tab/>
      </w:r>
      <w:r>
        <w:fldChar w:fldCharType="begin"/>
      </w:r>
      <w:r>
        <w:instrText xml:space="preserve"> PAGEREF _Toc90482764 \h </w:instrText>
      </w:r>
      <w:r>
        <w:fldChar w:fldCharType="separate"/>
      </w:r>
      <w:r>
        <w:t>15</w:t>
      </w:r>
      <w:r>
        <w:fldChar w:fldCharType="end"/>
      </w:r>
      <w:r>
        <w:fldChar w:fldCharType="end"/>
      </w:r>
    </w:p>
    <w:p>
      <w:pPr>
        <w:pStyle w:val="7"/>
        <w:tabs>
          <w:tab w:val="right" w:leader="dot" w:pos="8296"/>
        </w:tabs>
        <w:spacing w:line="360" w:lineRule="auto"/>
        <w:ind w:left="31680"/>
      </w:pPr>
      <w:r>
        <w:fldChar w:fldCharType="begin"/>
      </w:r>
      <w:r>
        <w:instrText xml:space="preserve"> HYPERLINK \l "_Toc90482765" </w:instrText>
      </w:r>
      <w:r>
        <w:fldChar w:fldCharType="separate"/>
      </w:r>
      <w:r>
        <w:rPr>
          <w:rStyle w:val="25"/>
          <w:rFonts w:ascii="Times New Roman" w:hAnsi="Times New Roman" w:eastAsia="黑体"/>
        </w:rPr>
        <w:t xml:space="preserve">1.4.2 </w:t>
      </w:r>
      <w:r>
        <w:rPr>
          <w:rStyle w:val="25"/>
          <w:rFonts w:hint="eastAsia" w:ascii="Times New Roman" w:hAnsi="Times New Roman" w:eastAsia="黑体"/>
        </w:rPr>
        <w:t>节水潜力分析</w:t>
      </w:r>
      <w:r>
        <w:tab/>
      </w:r>
      <w:r>
        <w:fldChar w:fldCharType="begin"/>
      </w:r>
      <w:r>
        <w:instrText xml:space="preserve"> PAGEREF _Toc90482765 \h </w:instrText>
      </w:r>
      <w:r>
        <w:fldChar w:fldCharType="separate"/>
      </w:r>
      <w:r>
        <w:t>15</w:t>
      </w:r>
      <w:r>
        <w:fldChar w:fldCharType="end"/>
      </w:r>
      <w:r>
        <w:fldChar w:fldCharType="end"/>
      </w:r>
    </w:p>
    <w:p>
      <w:pPr>
        <w:pStyle w:val="14"/>
        <w:tabs>
          <w:tab w:val="right" w:leader="dot" w:pos="8296"/>
        </w:tabs>
        <w:spacing w:line="360" w:lineRule="auto"/>
      </w:pPr>
      <w:r>
        <w:fldChar w:fldCharType="begin"/>
      </w:r>
      <w:r>
        <w:instrText xml:space="preserve"> HYPERLINK \l "_Toc90482766" </w:instrText>
      </w:r>
      <w:r>
        <w:fldChar w:fldCharType="separate"/>
      </w:r>
      <w:r>
        <w:rPr>
          <w:rStyle w:val="25"/>
          <w:rFonts w:ascii="Times New Roman" w:hAnsi="Times New Roman"/>
          <w:b/>
          <w:bCs/>
          <w:kern w:val="44"/>
        </w:rPr>
        <w:t xml:space="preserve">2 </w:t>
      </w:r>
      <w:r>
        <w:rPr>
          <w:rStyle w:val="25"/>
          <w:rFonts w:hint="eastAsia" w:ascii="Times New Roman" w:hAnsi="Times New Roman"/>
          <w:b/>
          <w:bCs/>
          <w:kern w:val="44"/>
        </w:rPr>
        <w:t>节水工作成效及存在的问题</w:t>
      </w:r>
      <w:r>
        <w:tab/>
      </w:r>
      <w:r>
        <w:fldChar w:fldCharType="begin"/>
      </w:r>
      <w:r>
        <w:instrText xml:space="preserve"> PAGEREF _Toc90482766 \h </w:instrText>
      </w:r>
      <w:r>
        <w:fldChar w:fldCharType="separate"/>
      </w:r>
      <w:r>
        <w:t>20</w:t>
      </w:r>
      <w:r>
        <w:fldChar w:fldCharType="end"/>
      </w:r>
      <w:r>
        <w:fldChar w:fldCharType="end"/>
      </w:r>
    </w:p>
    <w:p>
      <w:pPr>
        <w:pStyle w:val="18"/>
        <w:tabs>
          <w:tab w:val="right" w:leader="dot" w:pos="8296"/>
        </w:tabs>
        <w:spacing w:line="360" w:lineRule="auto"/>
        <w:ind w:left="31680"/>
      </w:pPr>
      <w:r>
        <w:fldChar w:fldCharType="begin"/>
      </w:r>
      <w:r>
        <w:instrText xml:space="preserve"> HYPERLINK \l "_Toc90482767" </w:instrText>
      </w:r>
      <w:r>
        <w:fldChar w:fldCharType="separate"/>
      </w:r>
      <w:r>
        <w:rPr>
          <w:rStyle w:val="25"/>
          <w:rFonts w:ascii="Times New Roman" w:hAnsi="Times New Roman"/>
          <w:b/>
          <w:bCs/>
          <w:kern w:val="44"/>
        </w:rPr>
        <w:t>2.1 “</w:t>
      </w:r>
      <w:r>
        <w:rPr>
          <w:rStyle w:val="25"/>
          <w:rFonts w:hint="eastAsia" w:ascii="Times New Roman" w:hAnsi="Times New Roman"/>
          <w:b/>
          <w:bCs/>
          <w:kern w:val="44"/>
        </w:rPr>
        <w:t>十三五</w:t>
      </w:r>
      <w:r>
        <w:rPr>
          <w:rStyle w:val="25"/>
          <w:rFonts w:ascii="Times New Roman" w:hAnsi="Times New Roman"/>
          <w:b/>
          <w:bCs/>
          <w:kern w:val="44"/>
        </w:rPr>
        <w:t>”</w:t>
      </w:r>
      <w:r>
        <w:rPr>
          <w:rStyle w:val="25"/>
          <w:rFonts w:hint="eastAsia" w:ascii="Times New Roman" w:hAnsi="Times New Roman"/>
          <w:b/>
          <w:bCs/>
          <w:kern w:val="44"/>
        </w:rPr>
        <w:t>节水工作成效</w:t>
      </w:r>
      <w:r>
        <w:tab/>
      </w:r>
      <w:r>
        <w:fldChar w:fldCharType="begin"/>
      </w:r>
      <w:r>
        <w:instrText xml:space="preserve"> PAGEREF _Toc90482767 \h </w:instrText>
      </w:r>
      <w:r>
        <w:fldChar w:fldCharType="separate"/>
      </w:r>
      <w:r>
        <w:t>20</w:t>
      </w:r>
      <w:r>
        <w:fldChar w:fldCharType="end"/>
      </w:r>
      <w:r>
        <w:fldChar w:fldCharType="end"/>
      </w:r>
    </w:p>
    <w:p>
      <w:pPr>
        <w:pStyle w:val="7"/>
        <w:tabs>
          <w:tab w:val="right" w:leader="dot" w:pos="8296"/>
        </w:tabs>
        <w:spacing w:line="360" w:lineRule="auto"/>
        <w:ind w:left="31680"/>
      </w:pPr>
      <w:r>
        <w:fldChar w:fldCharType="begin"/>
      </w:r>
      <w:r>
        <w:instrText xml:space="preserve"> HYPERLINK \l "_Toc90482768" </w:instrText>
      </w:r>
      <w:r>
        <w:fldChar w:fldCharType="separate"/>
      </w:r>
      <w:r>
        <w:rPr>
          <w:rStyle w:val="25"/>
          <w:rFonts w:ascii="Times New Roman" w:hAnsi="Times New Roman" w:eastAsia="黑体"/>
        </w:rPr>
        <w:t xml:space="preserve">2.1.1 </w:t>
      </w:r>
      <w:r>
        <w:rPr>
          <w:rStyle w:val="25"/>
          <w:rFonts w:hint="eastAsia" w:ascii="Times New Roman" w:hAnsi="Times New Roman" w:eastAsia="黑体"/>
        </w:rPr>
        <w:t>节水管理体系逐步完善</w:t>
      </w:r>
      <w:r>
        <w:tab/>
      </w:r>
      <w:r>
        <w:fldChar w:fldCharType="begin"/>
      </w:r>
      <w:r>
        <w:instrText xml:space="preserve"> PAGEREF _Toc90482768 \h </w:instrText>
      </w:r>
      <w:r>
        <w:fldChar w:fldCharType="separate"/>
      </w:r>
      <w:r>
        <w:t>20</w:t>
      </w:r>
      <w:r>
        <w:fldChar w:fldCharType="end"/>
      </w:r>
      <w:r>
        <w:fldChar w:fldCharType="end"/>
      </w:r>
    </w:p>
    <w:p>
      <w:pPr>
        <w:pStyle w:val="7"/>
        <w:tabs>
          <w:tab w:val="right" w:leader="dot" w:pos="8296"/>
        </w:tabs>
        <w:spacing w:line="360" w:lineRule="auto"/>
        <w:ind w:left="31680"/>
      </w:pPr>
      <w:r>
        <w:fldChar w:fldCharType="begin"/>
      </w:r>
      <w:r>
        <w:instrText xml:space="preserve"> HYPERLINK \l "_Toc90482769" </w:instrText>
      </w:r>
      <w:r>
        <w:fldChar w:fldCharType="separate"/>
      </w:r>
      <w:r>
        <w:rPr>
          <w:rStyle w:val="25"/>
          <w:rFonts w:ascii="Times New Roman" w:hAnsi="Times New Roman" w:eastAsia="黑体"/>
        </w:rPr>
        <w:t xml:space="preserve">2.1.2 </w:t>
      </w:r>
      <w:r>
        <w:rPr>
          <w:rStyle w:val="25"/>
          <w:rFonts w:hint="eastAsia" w:ascii="Times New Roman" w:hAnsi="Times New Roman" w:eastAsia="黑体"/>
        </w:rPr>
        <w:t>节水型社会建设初见成效</w:t>
      </w:r>
      <w:r>
        <w:tab/>
      </w:r>
      <w:r>
        <w:fldChar w:fldCharType="begin"/>
      </w:r>
      <w:r>
        <w:instrText xml:space="preserve"> PAGEREF _Toc90482769 \h </w:instrText>
      </w:r>
      <w:r>
        <w:fldChar w:fldCharType="separate"/>
      </w:r>
      <w:r>
        <w:t>21</w:t>
      </w:r>
      <w:r>
        <w:fldChar w:fldCharType="end"/>
      </w:r>
      <w:r>
        <w:fldChar w:fldCharType="end"/>
      </w:r>
    </w:p>
    <w:p>
      <w:pPr>
        <w:pStyle w:val="7"/>
        <w:tabs>
          <w:tab w:val="right" w:leader="dot" w:pos="8296"/>
        </w:tabs>
        <w:spacing w:line="360" w:lineRule="auto"/>
        <w:ind w:left="31680"/>
      </w:pPr>
      <w:r>
        <w:fldChar w:fldCharType="begin"/>
      </w:r>
      <w:r>
        <w:instrText xml:space="preserve"> HYPERLINK \l "_Toc90482770" </w:instrText>
      </w:r>
      <w:r>
        <w:fldChar w:fldCharType="separate"/>
      </w:r>
      <w:r>
        <w:rPr>
          <w:rStyle w:val="25"/>
          <w:rFonts w:ascii="Times New Roman" w:hAnsi="Times New Roman" w:eastAsia="黑体"/>
        </w:rPr>
        <w:t xml:space="preserve">2.1.3 </w:t>
      </w:r>
      <w:r>
        <w:rPr>
          <w:rStyle w:val="25"/>
          <w:rFonts w:hint="eastAsia" w:ascii="Times New Roman" w:hAnsi="Times New Roman" w:eastAsia="黑体"/>
        </w:rPr>
        <w:t>节水载体持续创建</w:t>
      </w:r>
      <w:r>
        <w:tab/>
      </w:r>
      <w:r>
        <w:fldChar w:fldCharType="begin"/>
      </w:r>
      <w:r>
        <w:instrText xml:space="preserve"> PAGEREF _Toc90482770 \h </w:instrText>
      </w:r>
      <w:r>
        <w:fldChar w:fldCharType="separate"/>
      </w:r>
      <w:r>
        <w:t>24</w:t>
      </w:r>
      <w:r>
        <w:fldChar w:fldCharType="end"/>
      </w:r>
      <w:r>
        <w:fldChar w:fldCharType="end"/>
      </w:r>
    </w:p>
    <w:p>
      <w:pPr>
        <w:pStyle w:val="7"/>
        <w:tabs>
          <w:tab w:val="right" w:leader="dot" w:pos="8296"/>
        </w:tabs>
        <w:spacing w:line="360" w:lineRule="auto"/>
        <w:ind w:left="31680"/>
      </w:pPr>
      <w:r>
        <w:fldChar w:fldCharType="begin"/>
      </w:r>
      <w:r>
        <w:instrText xml:space="preserve"> HYPERLINK \l "_Toc90482771" </w:instrText>
      </w:r>
      <w:r>
        <w:fldChar w:fldCharType="separate"/>
      </w:r>
      <w:r>
        <w:rPr>
          <w:rStyle w:val="25"/>
          <w:rFonts w:ascii="Times New Roman" w:hAnsi="Times New Roman" w:eastAsia="黑体"/>
        </w:rPr>
        <w:t xml:space="preserve">2.1.4 </w:t>
      </w:r>
      <w:r>
        <w:rPr>
          <w:rStyle w:val="25"/>
          <w:rFonts w:hint="eastAsia" w:ascii="Times New Roman" w:hAnsi="Times New Roman" w:eastAsia="黑体"/>
        </w:rPr>
        <w:t>节水管理能力不断加强</w:t>
      </w:r>
      <w:r>
        <w:tab/>
      </w:r>
      <w:r>
        <w:fldChar w:fldCharType="begin"/>
      </w:r>
      <w:r>
        <w:instrText xml:space="preserve"> PAGEREF _Toc90482771 \h </w:instrText>
      </w:r>
      <w:r>
        <w:fldChar w:fldCharType="separate"/>
      </w:r>
      <w:r>
        <w:t>24</w:t>
      </w:r>
      <w:r>
        <w:fldChar w:fldCharType="end"/>
      </w:r>
      <w:r>
        <w:fldChar w:fldCharType="end"/>
      </w:r>
    </w:p>
    <w:p>
      <w:pPr>
        <w:pStyle w:val="7"/>
        <w:tabs>
          <w:tab w:val="right" w:leader="dot" w:pos="8296"/>
        </w:tabs>
        <w:spacing w:line="360" w:lineRule="auto"/>
        <w:ind w:left="31680"/>
      </w:pPr>
      <w:r>
        <w:fldChar w:fldCharType="begin"/>
      </w:r>
      <w:r>
        <w:instrText xml:space="preserve"> HYPERLINK \l "_Toc90482772" </w:instrText>
      </w:r>
      <w:r>
        <w:fldChar w:fldCharType="separate"/>
      </w:r>
      <w:r>
        <w:rPr>
          <w:rStyle w:val="25"/>
          <w:rFonts w:ascii="Times New Roman" w:hAnsi="Times New Roman" w:eastAsia="黑体"/>
        </w:rPr>
        <w:t xml:space="preserve">2.1.5 </w:t>
      </w:r>
      <w:r>
        <w:rPr>
          <w:rStyle w:val="25"/>
          <w:rFonts w:hint="eastAsia" w:ascii="Times New Roman" w:hAnsi="Times New Roman" w:eastAsia="黑体"/>
        </w:rPr>
        <w:t>非常规水利用持续增加</w:t>
      </w:r>
      <w:r>
        <w:tab/>
      </w:r>
      <w:r>
        <w:fldChar w:fldCharType="begin"/>
      </w:r>
      <w:r>
        <w:instrText xml:space="preserve"> PAGEREF _Toc90482772 \h </w:instrText>
      </w:r>
      <w:r>
        <w:fldChar w:fldCharType="separate"/>
      </w:r>
      <w:r>
        <w:t>26</w:t>
      </w:r>
      <w:r>
        <w:fldChar w:fldCharType="end"/>
      </w:r>
      <w:r>
        <w:fldChar w:fldCharType="end"/>
      </w:r>
    </w:p>
    <w:p>
      <w:pPr>
        <w:pStyle w:val="7"/>
        <w:tabs>
          <w:tab w:val="right" w:leader="dot" w:pos="8296"/>
        </w:tabs>
        <w:spacing w:line="360" w:lineRule="auto"/>
        <w:ind w:left="31680"/>
      </w:pPr>
      <w:r>
        <w:fldChar w:fldCharType="begin"/>
      </w:r>
      <w:r>
        <w:instrText xml:space="preserve"> HYPERLINK \l "_Toc90482773" </w:instrText>
      </w:r>
      <w:r>
        <w:fldChar w:fldCharType="separate"/>
      </w:r>
      <w:r>
        <w:rPr>
          <w:rStyle w:val="25"/>
          <w:rFonts w:ascii="Times New Roman" w:hAnsi="Times New Roman" w:eastAsia="黑体"/>
        </w:rPr>
        <w:t xml:space="preserve">2.1.6 </w:t>
      </w:r>
      <w:r>
        <w:rPr>
          <w:rStyle w:val="25"/>
          <w:rFonts w:hint="eastAsia" w:ascii="Times New Roman" w:hAnsi="Times New Roman" w:eastAsia="黑体"/>
        </w:rPr>
        <w:t>污水处理能力稳步提升</w:t>
      </w:r>
      <w:r>
        <w:tab/>
      </w:r>
      <w:r>
        <w:fldChar w:fldCharType="begin"/>
      </w:r>
      <w:r>
        <w:instrText xml:space="preserve"> PAGEREF _Toc90482773 \h </w:instrText>
      </w:r>
      <w:r>
        <w:fldChar w:fldCharType="separate"/>
      </w:r>
      <w:r>
        <w:t>27</w:t>
      </w:r>
      <w:r>
        <w:fldChar w:fldCharType="end"/>
      </w:r>
      <w:r>
        <w:fldChar w:fldCharType="end"/>
      </w:r>
    </w:p>
    <w:p>
      <w:pPr>
        <w:pStyle w:val="7"/>
        <w:tabs>
          <w:tab w:val="right" w:leader="dot" w:pos="8296"/>
        </w:tabs>
        <w:spacing w:line="360" w:lineRule="auto"/>
        <w:ind w:left="31680"/>
      </w:pPr>
      <w:r>
        <w:fldChar w:fldCharType="begin"/>
      </w:r>
      <w:r>
        <w:instrText xml:space="preserve"> HYPERLINK \l "_Toc90482774" </w:instrText>
      </w:r>
      <w:r>
        <w:fldChar w:fldCharType="separate"/>
      </w:r>
      <w:r>
        <w:rPr>
          <w:rStyle w:val="25"/>
          <w:rFonts w:ascii="Times New Roman" w:hAnsi="Times New Roman" w:eastAsia="黑体"/>
        </w:rPr>
        <w:t xml:space="preserve">2.1.7 </w:t>
      </w:r>
      <w:r>
        <w:rPr>
          <w:rStyle w:val="25"/>
          <w:rFonts w:hint="eastAsia" w:ascii="Times New Roman" w:hAnsi="Times New Roman" w:eastAsia="黑体"/>
        </w:rPr>
        <w:t>节水宣传教育不断深入</w:t>
      </w:r>
      <w:r>
        <w:tab/>
      </w:r>
      <w:r>
        <w:fldChar w:fldCharType="begin"/>
      </w:r>
      <w:r>
        <w:instrText xml:space="preserve"> PAGEREF _Toc90482774 \h </w:instrText>
      </w:r>
      <w:r>
        <w:fldChar w:fldCharType="separate"/>
      </w:r>
      <w:r>
        <w:t>27</w:t>
      </w:r>
      <w:r>
        <w:fldChar w:fldCharType="end"/>
      </w:r>
      <w:r>
        <w:fldChar w:fldCharType="end"/>
      </w:r>
    </w:p>
    <w:p>
      <w:pPr>
        <w:pStyle w:val="18"/>
        <w:tabs>
          <w:tab w:val="right" w:leader="dot" w:pos="8296"/>
        </w:tabs>
        <w:spacing w:line="360" w:lineRule="auto"/>
        <w:ind w:left="31680"/>
      </w:pPr>
      <w:r>
        <w:fldChar w:fldCharType="begin"/>
      </w:r>
      <w:r>
        <w:instrText xml:space="preserve"> HYPERLINK \l "_Toc90482775" </w:instrText>
      </w:r>
      <w:r>
        <w:fldChar w:fldCharType="separate"/>
      </w:r>
      <w:r>
        <w:rPr>
          <w:rStyle w:val="25"/>
          <w:rFonts w:ascii="Times New Roman" w:hAnsi="Times New Roman"/>
          <w:b/>
          <w:bCs/>
          <w:kern w:val="44"/>
        </w:rPr>
        <w:t xml:space="preserve">2.2 </w:t>
      </w:r>
      <w:r>
        <w:rPr>
          <w:rStyle w:val="25"/>
          <w:rFonts w:hint="eastAsia" w:ascii="Times New Roman" w:hAnsi="Times New Roman"/>
          <w:b/>
          <w:bCs/>
          <w:kern w:val="44"/>
        </w:rPr>
        <w:t>存在的主要问题</w:t>
      </w:r>
      <w:r>
        <w:tab/>
      </w:r>
      <w:r>
        <w:fldChar w:fldCharType="begin"/>
      </w:r>
      <w:r>
        <w:instrText xml:space="preserve"> PAGEREF _Toc90482775 \h </w:instrText>
      </w:r>
      <w:r>
        <w:fldChar w:fldCharType="separate"/>
      </w:r>
      <w:r>
        <w:t>28</w:t>
      </w:r>
      <w:r>
        <w:fldChar w:fldCharType="end"/>
      </w:r>
      <w:r>
        <w:fldChar w:fldCharType="end"/>
      </w:r>
    </w:p>
    <w:p>
      <w:pPr>
        <w:pStyle w:val="18"/>
        <w:tabs>
          <w:tab w:val="right" w:leader="dot" w:pos="8296"/>
        </w:tabs>
        <w:spacing w:line="360" w:lineRule="auto"/>
        <w:ind w:left="31680"/>
      </w:pPr>
      <w:r>
        <w:fldChar w:fldCharType="begin"/>
      </w:r>
      <w:r>
        <w:instrText xml:space="preserve"> HYPERLINK \l "_Toc90482776" </w:instrText>
      </w:r>
      <w:r>
        <w:fldChar w:fldCharType="separate"/>
      </w:r>
      <w:r>
        <w:rPr>
          <w:rStyle w:val="25"/>
          <w:rFonts w:ascii="Times New Roman" w:hAnsi="Times New Roman"/>
          <w:b/>
          <w:bCs/>
          <w:kern w:val="44"/>
        </w:rPr>
        <w:t xml:space="preserve">2.3 </w:t>
      </w:r>
      <w:r>
        <w:rPr>
          <w:rStyle w:val="25"/>
          <w:rFonts w:hint="eastAsia" w:ascii="Times New Roman" w:hAnsi="Times New Roman"/>
          <w:b/>
          <w:bCs/>
          <w:kern w:val="44"/>
        </w:rPr>
        <w:t>面临的形势</w:t>
      </w:r>
      <w:r>
        <w:tab/>
      </w:r>
      <w:r>
        <w:fldChar w:fldCharType="begin"/>
      </w:r>
      <w:r>
        <w:instrText xml:space="preserve"> PAGEREF _Toc90482776 \h </w:instrText>
      </w:r>
      <w:r>
        <w:fldChar w:fldCharType="separate"/>
      </w:r>
      <w:r>
        <w:t>29</w:t>
      </w:r>
      <w:r>
        <w:fldChar w:fldCharType="end"/>
      </w:r>
      <w:r>
        <w:fldChar w:fldCharType="end"/>
      </w:r>
    </w:p>
    <w:p>
      <w:pPr>
        <w:pStyle w:val="14"/>
        <w:tabs>
          <w:tab w:val="right" w:leader="dot" w:pos="8296"/>
        </w:tabs>
        <w:spacing w:line="360" w:lineRule="auto"/>
      </w:pPr>
      <w:r>
        <w:fldChar w:fldCharType="begin"/>
      </w:r>
      <w:r>
        <w:instrText xml:space="preserve"> HYPERLINK \l "_Toc90482777" </w:instrText>
      </w:r>
      <w:r>
        <w:fldChar w:fldCharType="separate"/>
      </w:r>
      <w:r>
        <w:rPr>
          <w:rStyle w:val="25"/>
          <w:rFonts w:ascii="Times New Roman" w:hAnsi="Times New Roman"/>
          <w:b/>
          <w:bCs/>
          <w:kern w:val="44"/>
        </w:rPr>
        <w:t xml:space="preserve">3 </w:t>
      </w:r>
      <w:r>
        <w:rPr>
          <w:rStyle w:val="25"/>
          <w:rFonts w:hint="eastAsia" w:ascii="Times New Roman" w:hAnsi="Times New Roman"/>
          <w:b/>
          <w:bCs/>
          <w:kern w:val="44"/>
        </w:rPr>
        <w:t>指导思想和规划目标</w:t>
      </w:r>
      <w:r>
        <w:tab/>
      </w:r>
      <w:r>
        <w:fldChar w:fldCharType="begin"/>
      </w:r>
      <w:r>
        <w:instrText xml:space="preserve"> PAGEREF _Toc90482777 \h </w:instrText>
      </w:r>
      <w:r>
        <w:fldChar w:fldCharType="separate"/>
      </w:r>
      <w:r>
        <w:t>31</w:t>
      </w:r>
      <w:r>
        <w:fldChar w:fldCharType="end"/>
      </w:r>
      <w:r>
        <w:fldChar w:fldCharType="end"/>
      </w:r>
    </w:p>
    <w:p>
      <w:pPr>
        <w:pStyle w:val="18"/>
        <w:tabs>
          <w:tab w:val="right" w:leader="dot" w:pos="8296"/>
        </w:tabs>
        <w:spacing w:line="360" w:lineRule="auto"/>
        <w:ind w:left="31680"/>
      </w:pPr>
      <w:r>
        <w:fldChar w:fldCharType="begin"/>
      </w:r>
      <w:r>
        <w:instrText xml:space="preserve"> HYPERLINK \l "_Toc90482778" </w:instrText>
      </w:r>
      <w:r>
        <w:fldChar w:fldCharType="separate"/>
      </w:r>
      <w:r>
        <w:rPr>
          <w:rStyle w:val="25"/>
          <w:rFonts w:ascii="Times New Roman" w:hAnsi="Times New Roman"/>
          <w:b/>
          <w:bCs/>
          <w:kern w:val="44"/>
        </w:rPr>
        <w:t xml:space="preserve">3.1 </w:t>
      </w:r>
      <w:r>
        <w:rPr>
          <w:rStyle w:val="25"/>
          <w:rFonts w:hint="eastAsia" w:ascii="Times New Roman" w:hAnsi="Times New Roman"/>
          <w:b/>
          <w:bCs/>
          <w:kern w:val="44"/>
        </w:rPr>
        <w:t>指导思想</w:t>
      </w:r>
      <w:r>
        <w:tab/>
      </w:r>
      <w:r>
        <w:fldChar w:fldCharType="begin"/>
      </w:r>
      <w:r>
        <w:instrText xml:space="preserve"> PAGEREF _Toc90482778 \h </w:instrText>
      </w:r>
      <w:r>
        <w:fldChar w:fldCharType="separate"/>
      </w:r>
      <w:r>
        <w:t>31</w:t>
      </w:r>
      <w:r>
        <w:fldChar w:fldCharType="end"/>
      </w:r>
      <w:r>
        <w:fldChar w:fldCharType="end"/>
      </w:r>
    </w:p>
    <w:p>
      <w:pPr>
        <w:pStyle w:val="18"/>
        <w:tabs>
          <w:tab w:val="right" w:leader="dot" w:pos="8296"/>
        </w:tabs>
        <w:spacing w:line="360" w:lineRule="auto"/>
        <w:ind w:left="31680"/>
      </w:pPr>
      <w:r>
        <w:fldChar w:fldCharType="begin"/>
      </w:r>
      <w:r>
        <w:instrText xml:space="preserve"> HYPERLINK \l "_Toc90482779" </w:instrText>
      </w:r>
      <w:r>
        <w:fldChar w:fldCharType="separate"/>
      </w:r>
      <w:r>
        <w:rPr>
          <w:rStyle w:val="25"/>
          <w:rFonts w:ascii="Times New Roman" w:hAnsi="Times New Roman"/>
          <w:b/>
          <w:bCs/>
          <w:kern w:val="44"/>
        </w:rPr>
        <w:t xml:space="preserve">3.2 </w:t>
      </w:r>
      <w:r>
        <w:rPr>
          <w:rStyle w:val="25"/>
          <w:rFonts w:hint="eastAsia" w:ascii="Times New Roman" w:hAnsi="Times New Roman"/>
          <w:b/>
          <w:bCs/>
          <w:kern w:val="44"/>
        </w:rPr>
        <w:t>基本原则及编制依据</w:t>
      </w:r>
      <w:r>
        <w:tab/>
      </w:r>
      <w:r>
        <w:fldChar w:fldCharType="begin"/>
      </w:r>
      <w:r>
        <w:instrText xml:space="preserve"> PAGEREF _Toc90482779 \h </w:instrText>
      </w:r>
      <w:r>
        <w:fldChar w:fldCharType="separate"/>
      </w:r>
      <w:r>
        <w:t>31</w:t>
      </w:r>
      <w:r>
        <w:fldChar w:fldCharType="end"/>
      </w:r>
      <w:r>
        <w:fldChar w:fldCharType="end"/>
      </w:r>
    </w:p>
    <w:p>
      <w:pPr>
        <w:pStyle w:val="7"/>
        <w:tabs>
          <w:tab w:val="right" w:leader="dot" w:pos="8296"/>
        </w:tabs>
        <w:spacing w:line="360" w:lineRule="auto"/>
        <w:ind w:left="31680"/>
      </w:pPr>
      <w:r>
        <w:fldChar w:fldCharType="begin"/>
      </w:r>
      <w:r>
        <w:instrText xml:space="preserve"> HYPERLINK \l "_Toc90482780" </w:instrText>
      </w:r>
      <w:r>
        <w:fldChar w:fldCharType="separate"/>
      </w:r>
      <w:r>
        <w:rPr>
          <w:rStyle w:val="25"/>
          <w:rFonts w:ascii="Times New Roman" w:hAnsi="Times New Roman" w:eastAsia="黑体"/>
        </w:rPr>
        <w:t xml:space="preserve">3.2.1 </w:t>
      </w:r>
      <w:r>
        <w:rPr>
          <w:rStyle w:val="25"/>
          <w:rFonts w:hint="eastAsia" w:ascii="Times New Roman" w:hAnsi="Times New Roman" w:eastAsia="黑体"/>
        </w:rPr>
        <w:t>编制原则</w:t>
      </w:r>
      <w:r>
        <w:tab/>
      </w:r>
      <w:r>
        <w:fldChar w:fldCharType="begin"/>
      </w:r>
      <w:r>
        <w:instrText xml:space="preserve"> PAGEREF _Toc90482780 \h </w:instrText>
      </w:r>
      <w:r>
        <w:fldChar w:fldCharType="separate"/>
      </w:r>
      <w:r>
        <w:t>31</w:t>
      </w:r>
      <w:r>
        <w:fldChar w:fldCharType="end"/>
      </w:r>
      <w:r>
        <w:fldChar w:fldCharType="end"/>
      </w:r>
    </w:p>
    <w:p>
      <w:pPr>
        <w:pStyle w:val="7"/>
        <w:tabs>
          <w:tab w:val="right" w:leader="dot" w:pos="8296"/>
        </w:tabs>
        <w:spacing w:line="360" w:lineRule="auto"/>
        <w:ind w:left="31680"/>
      </w:pPr>
      <w:r>
        <w:fldChar w:fldCharType="begin"/>
      </w:r>
      <w:r>
        <w:instrText xml:space="preserve"> HYPERLINK \l "_Toc90482781" </w:instrText>
      </w:r>
      <w:r>
        <w:fldChar w:fldCharType="separate"/>
      </w:r>
      <w:r>
        <w:rPr>
          <w:rStyle w:val="25"/>
          <w:rFonts w:ascii="Times New Roman" w:hAnsi="Times New Roman" w:eastAsia="黑体"/>
        </w:rPr>
        <w:t xml:space="preserve">3.2.2 </w:t>
      </w:r>
      <w:r>
        <w:rPr>
          <w:rStyle w:val="25"/>
          <w:rFonts w:hint="eastAsia" w:ascii="Times New Roman" w:hAnsi="Times New Roman" w:eastAsia="黑体"/>
        </w:rPr>
        <w:t>编制依据</w:t>
      </w:r>
      <w:r>
        <w:tab/>
      </w:r>
      <w:r>
        <w:fldChar w:fldCharType="begin"/>
      </w:r>
      <w:r>
        <w:instrText xml:space="preserve"> PAGEREF _Toc90482781 \h </w:instrText>
      </w:r>
      <w:r>
        <w:fldChar w:fldCharType="separate"/>
      </w:r>
      <w:r>
        <w:t>33</w:t>
      </w:r>
      <w:r>
        <w:fldChar w:fldCharType="end"/>
      </w:r>
      <w:r>
        <w:fldChar w:fldCharType="end"/>
      </w:r>
    </w:p>
    <w:p>
      <w:pPr>
        <w:pStyle w:val="18"/>
        <w:tabs>
          <w:tab w:val="right" w:leader="dot" w:pos="8296"/>
        </w:tabs>
        <w:spacing w:line="360" w:lineRule="auto"/>
        <w:ind w:left="31680"/>
      </w:pPr>
      <w:r>
        <w:fldChar w:fldCharType="begin"/>
      </w:r>
      <w:r>
        <w:instrText xml:space="preserve"> HYPERLINK \l "_Toc90482782" </w:instrText>
      </w:r>
      <w:r>
        <w:fldChar w:fldCharType="separate"/>
      </w:r>
      <w:r>
        <w:rPr>
          <w:rStyle w:val="25"/>
          <w:rFonts w:ascii="Times New Roman" w:hAnsi="Times New Roman"/>
          <w:b/>
          <w:bCs/>
          <w:kern w:val="44"/>
        </w:rPr>
        <w:t xml:space="preserve">3.3 </w:t>
      </w:r>
      <w:r>
        <w:rPr>
          <w:rStyle w:val="25"/>
          <w:rFonts w:hint="eastAsia" w:ascii="Times New Roman" w:hAnsi="Times New Roman"/>
          <w:b/>
          <w:bCs/>
          <w:kern w:val="44"/>
        </w:rPr>
        <w:t>规划目标</w:t>
      </w:r>
      <w:r>
        <w:tab/>
      </w:r>
      <w:r>
        <w:fldChar w:fldCharType="begin"/>
      </w:r>
      <w:r>
        <w:instrText xml:space="preserve"> PAGEREF _Toc90482782 \h </w:instrText>
      </w:r>
      <w:r>
        <w:fldChar w:fldCharType="separate"/>
      </w:r>
      <w:r>
        <w:t>36</w:t>
      </w:r>
      <w:r>
        <w:fldChar w:fldCharType="end"/>
      </w:r>
      <w:r>
        <w:fldChar w:fldCharType="end"/>
      </w:r>
    </w:p>
    <w:p>
      <w:pPr>
        <w:pStyle w:val="7"/>
        <w:tabs>
          <w:tab w:val="right" w:leader="dot" w:pos="8296"/>
        </w:tabs>
        <w:spacing w:line="360" w:lineRule="auto"/>
        <w:ind w:left="31680"/>
      </w:pPr>
      <w:r>
        <w:fldChar w:fldCharType="begin"/>
      </w:r>
      <w:r>
        <w:instrText xml:space="preserve"> HYPERLINK \l "_Toc90482783" </w:instrText>
      </w:r>
      <w:r>
        <w:fldChar w:fldCharType="separate"/>
      </w:r>
      <w:r>
        <w:rPr>
          <w:rStyle w:val="25"/>
          <w:rFonts w:ascii="Times New Roman" w:hAnsi="Times New Roman" w:eastAsia="黑体"/>
        </w:rPr>
        <w:t xml:space="preserve">3.3.1 </w:t>
      </w:r>
      <w:r>
        <w:rPr>
          <w:rStyle w:val="25"/>
          <w:rFonts w:hint="eastAsia" w:ascii="Times New Roman" w:hAnsi="Times New Roman" w:eastAsia="黑体"/>
        </w:rPr>
        <w:t>总体目标</w:t>
      </w:r>
      <w:r>
        <w:tab/>
      </w:r>
      <w:r>
        <w:fldChar w:fldCharType="begin"/>
      </w:r>
      <w:r>
        <w:instrText xml:space="preserve"> PAGEREF _Toc90482783 \h </w:instrText>
      </w:r>
      <w:r>
        <w:fldChar w:fldCharType="separate"/>
      </w:r>
      <w:r>
        <w:t>36</w:t>
      </w:r>
      <w:r>
        <w:fldChar w:fldCharType="end"/>
      </w:r>
      <w:r>
        <w:fldChar w:fldCharType="end"/>
      </w:r>
    </w:p>
    <w:p>
      <w:pPr>
        <w:pStyle w:val="7"/>
        <w:tabs>
          <w:tab w:val="right" w:leader="dot" w:pos="8296"/>
        </w:tabs>
        <w:spacing w:line="360" w:lineRule="auto"/>
        <w:ind w:left="31680"/>
      </w:pPr>
      <w:r>
        <w:fldChar w:fldCharType="begin"/>
      </w:r>
      <w:r>
        <w:instrText xml:space="preserve"> HYPERLINK \l "_Toc90482784" </w:instrText>
      </w:r>
      <w:r>
        <w:fldChar w:fldCharType="separate"/>
      </w:r>
      <w:r>
        <w:rPr>
          <w:rStyle w:val="25"/>
          <w:rFonts w:ascii="Times New Roman" w:hAnsi="Times New Roman" w:eastAsia="黑体"/>
        </w:rPr>
        <w:t xml:space="preserve">3.3.2 </w:t>
      </w:r>
      <w:r>
        <w:rPr>
          <w:rStyle w:val="25"/>
          <w:rFonts w:hint="eastAsia" w:ascii="Times New Roman" w:hAnsi="Times New Roman" w:eastAsia="黑体"/>
        </w:rPr>
        <w:t>分领域目标</w:t>
      </w:r>
      <w:r>
        <w:tab/>
      </w:r>
      <w:r>
        <w:fldChar w:fldCharType="begin"/>
      </w:r>
      <w:r>
        <w:instrText xml:space="preserve"> PAGEREF _Toc90482784 \h </w:instrText>
      </w:r>
      <w:r>
        <w:fldChar w:fldCharType="separate"/>
      </w:r>
      <w:r>
        <w:t>36</w:t>
      </w:r>
      <w:r>
        <w:fldChar w:fldCharType="end"/>
      </w:r>
      <w:r>
        <w:fldChar w:fldCharType="end"/>
      </w:r>
    </w:p>
    <w:p>
      <w:pPr>
        <w:pStyle w:val="18"/>
        <w:tabs>
          <w:tab w:val="right" w:leader="dot" w:pos="8296"/>
        </w:tabs>
        <w:spacing w:line="360" w:lineRule="auto"/>
        <w:ind w:left="31680"/>
      </w:pPr>
      <w:r>
        <w:fldChar w:fldCharType="begin"/>
      </w:r>
      <w:r>
        <w:instrText xml:space="preserve"> HYPERLINK \l "_Toc90482785" </w:instrText>
      </w:r>
      <w:r>
        <w:fldChar w:fldCharType="separate"/>
      </w:r>
      <w:r>
        <w:rPr>
          <w:rStyle w:val="25"/>
          <w:rFonts w:ascii="Times New Roman" w:hAnsi="Times New Roman"/>
          <w:b/>
          <w:bCs/>
          <w:kern w:val="44"/>
        </w:rPr>
        <w:t xml:space="preserve">3.4 </w:t>
      </w:r>
      <w:r>
        <w:rPr>
          <w:rStyle w:val="25"/>
          <w:rFonts w:hint="eastAsia" w:ascii="Times New Roman" w:hAnsi="Times New Roman"/>
          <w:b/>
          <w:bCs/>
          <w:kern w:val="44"/>
        </w:rPr>
        <w:t>主要任务</w:t>
      </w:r>
      <w:r>
        <w:tab/>
      </w:r>
      <w:r>
        <w:fldChar w:fldCharType="begin"/>
      </w:r>
      <w:r>
        <w:instrText xml:space="preserve"> PAGEREF _Toc90482785 \h </w:instrText>
      </w:r>
      <w:r>
        <w:fldChar w:fldCharType="separate"/>
      </w:r>
      <w:r>
        <w:t>39</w:t>
      </w:r>
      <w:r>
        <w:fldChar w:fldCharType="end"/>
      </w:r>
      <w:r>
        <w:fldChar w:fldCharType="end"/>
      </w:r>
    </w:p>
    <w:p>
      <w:pPr>
        <w:pStyle w:val="18"/>
        <w:tabs>
          <w:tab w:val="right" w:leader="dot" w:pos="8296"/>
        </w:tabs>
        <w:spacing w:line="360" w:lineRule="auto"/>
        <w:ind w:left="31680"/>
      </w:pPr>
      <w:r>
        <w:fldChar w:fldCharType="begin"/>
      </w:r>
      <w:r>
        <w:instrText xml:space="preserve"> HYPERLINK \l "_Toc90482786" </w:instrText>
      </w:r>
      <w:r>
        <w:fldChar w:fldCharType="separate"/>
      </w:r>
      <w:r>
        <w:rPr>
          <w:rStyle w:val="25"/>
          <w:rFonts w:ascii="Times New Roman" w:hAnsi="Times New Roman"/>
          <w:b/>
          <w:bCs/>
          <w:kern w:val="44"/>
        </w:rPr>
        <w:t xml:space="preserve">3.5 </w:t>
      </w:r>
      <w:r>
        <w:rPr>
          <w:rStyle w:val="25"/>
          <w:rFonts w:hint="eastAsia" w:ascii="Times New Roman" w:hAnsi="Times New Roman"/>
          <w:b/>
          <w:bCs/>
          <w:kern w:val="44"/>
        </w:rPr>
        <w:t>规划技术路线</w:t>
      </w:r>
      <w:r>
        <w:tab/>
      </w:r>
      <w:r>
        <w:fldChar w:fldCharType="begin"/>
      </w:r>
      <w:r>
        <w:instrText xml:space="preserve"> PAGEREF _Toc90482786 \h </w:instrText>
      </w:r>
      <w:r>
        <w:fldChar w:fldCharType="separate"/>
      </w:r>
      <w:r>
        <w:t>41</w:t>
      </w:r>
      <w:r>
        <w:fldChar w:fldCharType="end"/>
      </w:r>
      <w:r>
        <w:fldChar w:fldCharType="end"/>
      </w:r>
    </w:p>
    <w:p>
      <w:pPr>
        <w:pStyle w:val="14"/>
        <w:tabs>
          <w:tab w:val="right" w:leader="dot" w:pos="8296"/>
        </w:tabs>
        <w:spacing w:line="360" w:lineRule="auto"/>
      </w:pPr>
      <w:r>
        <w:fldChar w:fldCharType="begin"/>
      </w:r>
      <w:r>
        <w:instrText xml:space="preserve"> HYPERLINK \l "_Toc90482787" </w:instrText>
      </w:r>
      <w:r>
        <w:fldChar w:fldCharType="separate"/>
      </w:r>
      <w:r>
        <w:rPr>
          <w:rStyle w:val="25"/>
          <w:rFonts w:ascii="Times New Roman" w:hAnsi="Times New Roman"/>
          <w:b/>
          <w:bCs/>
          <w:kern w:val="44"/>
        </w:rPr>
        <w:t xml:space="preserve">4 </w:t>
      </w:r>
      <w:r>
        <w:rPr>
          <w:rStyle w:val="25"/>
          <w:rFonts w:hint="eastAsia" w:ascii="Times New Roman" w:hAnsi="Times New Roman"/>
          <w:b/>
          <w:bCs/>
          <w:kern w:val="44"/>
        </w:rPr>
        <w:t>重点领域</w:t>
      </w:r>
      <w:r>
        <w:tab/>
      </w:r>
      <w:r>
        <w:fldChar w:fldCharType="begin"/>
      </w:r>
      <w:r>
        <w:instrText xml:space="preserve"> PAGEREF _Toc90482787 \h </w:instrText>
      </w:r>
      <w:r>
        <w:fldChar w:fldCharType="separate"/>
      </w:r>
      <w:r>
        <w:t>42</w:t>
      </w:r>
      <w:r>
        <w:fldChar w:fldCharType="end"/>
      </w:r>
      <w:r>
        <w:fldChar w:fldCharType="end"/>
      </w:r>
    </w:p>
    <w:p>
      <w:pPr>
        <w:pStyle w:val="18"/>
        <w:tabs>
          <w:tab w:val="right" w:leader="dot" w:pos="8296"/>
        </w:tabs>
        <w:spacing w:line="360" w:lineRule="auto"/>
        <w:ind w:left="31680"/>
      </w:pPr>
      <w:r>
        <w:fldChar w:fldCharType="begin"/>
      </w:r>
      <w:r>
        <w:instrText xml:space="preserve"> HYPERLINK \l "_Toc90482788" </w:instrText>
      </w:r>
      <w:r>
        <w:fldChar w:fldCharType="separate"/>
      </w:r>
      <w:r>
        <w:rPr>
          <w:rStyle w:val="25"/>
          <w:rFonts w:ascii="Times New Roman" w:hAnsi="Times New Roman"/>
          <w:b/>
          <w:bCs/>
          <w:kern w:val="44"/>
        </w:rPr>
        <w:t xml:space="preserve">4.1 </w:t>
      </w:r>
      <w:r>
        <w:rPr>
          <w:rStyle w:val="25"/>
          <w:rFonts w:hint="eastAsia" w:ascii="Times New Roman" w:hAnsi="Times New Roman"/>
          <w:b/>
          <w:bCs/>
          <w:kern w:val="44"/>
        </w:rPr>
        <w:t>农业节水增效</w:t>
      </w:r>
      <w:r>
        <w:tab/>
      </w:r>
      <w:r>
        <w:fldChar w:fldCharType="begin"/>
      </w:r>
      <w:r>
        <w:instrText xml:space="preserve"> PAGEREF _Toc90482788 \h </w:instrText>
      </w:r>
      <w:r>
        <w:fldChar w:fldCharType="separate"/>
      </w:r>
      <w:r>
        <w:t>42</w:t>
      </w:r>
      <w:r>
        <w:fldChar w:fldCharType="end"/>
      </w:r>
      <w:r>
        <w:fldChar w:fldCharType="end"/>
      </w:r>
    </w:p>
    <w:p>
      <w:pPr>
        <w:pStyle w:val="18"/>
        <w:tabs>
          <w:tab w:val="right" w:leader="dot" w:pos="8296"/>
        </w:tabs>
        <w:spacing w:line="360" w:lineRule="auto"/>
        <w:ind w:left="31680"/>
      </w:pPr>
      <w:r>
        <w:fldChar w:fldCharType="begin"/>
      </w:r>
      <w:r>
        <w:instrText xml:space="preserve"> HYPERLINK \l "_Toc90482789" </w:instrText>
      </w:r>
      <w:r>
        <w:fldChar w:fldCharType="separate"/>
      </w:r>
      <w:r>
        <w:rPr>
          <w:rStyle w:val="25"/>
          <w:rFonts w:ascii="Times New Roman" w:hAnsi="Times New Roman"/>
          <w:b/>
          <w:bCs/>
          <w:kern w:val="44"/>
        </w:rPr>
        <w:t xml:space="preserve">4.2 </w:t>
      </w:r>
      <w:r>
        <w:rPr>
          <w:rStyle w:val="25"/>
          <w:rFonts w:hint="eastAsia" w:ascii="Times New Roman" w:hAnsi="Times New Roman"/>
          <w:b/>
          <w:bCs/>
          <w:kern w:val="44"/>
        </w:rPr>
        <w:t>工业节水减排</w:t>
      </w:r>
      <w:r>
        <w:tab/>
      </w:r>
      <w:r>
        <w:fldChar w:fldCharType="begin"/>
      </w:r>
      <w:r>
        <w:instrText xml:space="preserve"> PAGEREF _Toc90482789 \h </w:instrText>
      </w:r>
      <w:r>
        <w:fldChar w:fldCharType="separate"/>
      </w:r>
      <w:r>
        <w:t>43</w:t>
      </w:r>
      <w:r>
        <w:fldChar w:fldCharType="end"/>
      </w:r>
      <w:r>
        <w:fldChar w:fldCharType="end"/>
      </w:r>
    </w:p>
    <w:p>
      <w:pPr>
        <w:pStyle w:val="18"/>
        <w:tabs>
          <w:tab w:val="right" w:leader="dot" w:pos="8296"/>
        </w:tabs>
        <w:spacing w:line="360" w:lineRule="auto"/>
        <w:ind w:left="31680"/>
      </w:pPr>
      <w:r>
        <w:fldChar w:fldCharType="begin"/>
      </w:r>
      <w:r>
        <w:instrText xml:space="preserve"> HYPERLINK \l "_Toc90482790" </w:instrText>
      </w:r>
      <w:r>
        <w:fldChar w:fldCharType="separate"/>
      </w:r>
      <w:r>
        <w:rPr>
          <w:rStyle w:val="25"/>
          <w:rFonts w:ascii="Times New Roman" w:hAnsi="Times New Roman"/>
          <w:b/>
          <w:bCs/>
          <w:kern w:val="44"/>
        </w:rPr>
        <w:t xml:space="preserve">4.3 </w:t>
      </w:r>
      <w:r>
        <w:rPr>
          <w:rStyle w:val="25"/>
          <w:rFonts w:hint="eastAsia" w:ascii="Times New Roman" w:hAnsi="Times New Roman"/>
          <w:b/>
          <w:bCs/>
          <w:kern w:val="44"/>
        </w:rPr>
        <w:t>城镇节水降损</w:t>
      </w:r>
      <w:r>
        <w:tab/>
      </w:r>
      <w:r>
        <w:fldChar w:fldCharType="begin"/>
      </w:r>
      <w:r>
        <w:instrText xml:space="preserve"> PAGEREF _Toc90482790 \h </w:instrText>
      </w:r>
      <w:r>
        <w:fldChar w:fldCharType="separate"/>
      </w:r>
      <w:r>
        <w:t>44</w:t>
      </w:r>
      <w:r>
        <w:fldChar w:fldCharType="end"/>
      </w:r>
      <w:r>
        <w:fldChar w:fldCharType="end"/>
      </w:r>
    </w:p>
    <w:p>
      <w:pPr>
        <w:pStyle w:val="18"/>
        <w:tabs>
          <w:tab w:val="right" w:leader="dot" w:pos="8296"/>
        </w:tabs>
        <w:spacing w:line="360" w:lineRule="auto"/>
        <w:ind w:left="31680"/>
      </w:pPr>
      <w:r>
        <w:fldChar w:fldCharType="begin"/>
      </w:r>
      <w:r>
        <w:instrText xml:space="preserve"> HYPERLINK \l "_Toc90482791" </w:instrText>
      </w:r>
      <w:r>
        <w:fldChar w:fldCharType="separate"/>
      </w:r>
      <w:r>
        <w:rPr>
          <w:rStyle w:val="25"/>
          <w:rFonts w:ascii="Times New Roman" w:hAnsi="Times New Roman"/>
          <w:b/>
          <w:bCs/>
          <w:kern w:val="44"/>
        </w:rPr>
        <w:t xml:space="preserve">4.4 </w:t>
      </w:r>
      <w:r>
        <w:rPr>
          <w:rStyle w:val="25"/>
          <w:rFonts w:hint="eastAsia" w:ascii="Times New Roman" w:hAnsi="Times New Roman"/>
          <w:b/>
          <w:bCs/>
          <w:kern w:val="44"/>
        </w:rPr>
        <w:t>非常规水源利用</w:t>
      </w:r>
      <w:r>
        <w:tab/>
      </w:r>
      <w:r>
        <w:fldChar w:fldCharType="begin"/>
      </w:r>
      <w:r>
        <w:instrText xml:space="preserve"> PAGEREF _Toc90482791 \h </w:instrText>
      </w:r>
      <w:r>
        <w:fldChar w:fldCharType="separate"/>
      </w:r>
      <w:r>
        <w:t>45</w:t>
      </w:r>
      <w:r>
        <w:fldChar w:fldCharType="end"/>
      </w:r>
      <w:r>
        <w:fldChar w:fldCharType="end"/>
      </w:r>
    </w:p>
    <w:p>
      <w:pPr>
        <w:pStyle w:val="18"/>
        <w:tabs>
          <w:tab w:val="right" w:leader="dot" w:pos="8296"/>
        </w:tabs>
        <w:spacing w:line="360" w:lineRule="auto"/>
        <w:ind w:left="31680"/>
      </w:pPr>
      <w:r>
        <w:fldChar w:fldCharType="begin"/>
      </w:r>
      <w:r>
        <w:instrText xml:space="preserve"> HYPERLINK \l "_Toc90482792" </w:instrText>
      </w:r>
      <w:r>
        <w:fldChar w:fldCharType="separate"/>
      </w:r>
      <w:r>
        <w:rPr>
          <w:rStyle w:val="25"/>
          <w:rFonts w:ascii="Times New Roman" w:hAnsi="Times New Roman"/>
          <w:b/>
          <w:bCs/>
          <w:kern w:val="44"/>
        </w:rPr>
        <w:t xml:space="preserve">4.5 </w:t>
      </w:r>
      <w:r>
        <w:rPr>
          <w:rStyle w:val="25"/>
          <w:rFonts w:hint="eastAsia" w:ascii="Times New Roman" w:hAnsi="Times New Roman"/>
          <w:b/>
          <w:bCs/>
          <w:kern w:val="44"/>
        </w:rPr>
        <w:t>海绵城市建设</w:t>
      </w:r>
      <w:r>
        <w:tab/>
      </w:r>
      <w:r>
        <w:fldChar w:fldCharType="begin"/>
      </w:r>
      <w:r>
        <w:instrText xml:space="preserve"> PAGEREF _Toc90482792 \h </w:instrText>
      </w:r>
      <w:r>
        <w:fldChar w:fldCharType="separate"/>
      </w:r>
      <w:r>
        <w:t>46</w:t>
      </w:r>
      <w:r>
        <w:fldChar w:fldCharType="end"/>
      </w:r>
      <w:r>
        <w:fldChar w:fldCharType="end"/>
      </w:r>
    </w:p>
    <w:p>
      <w:pPr>
        <w:pStyle w:val="18"/>
        <w:tabs>
          <w:tab w:val="right" w:leader="dot" w:pos="8296"/>
        </w:tabs>
        <w:spacing w:line="360" w:lineRule="auto"/>
        <w:ind w:left="31680"/>
      </w:pPr>
      <w:r>
        <w:fldChar w:fldCharType="begin"/>
      </w:r>
      <w:r>
        <w:instrText xml:space="preserve"> HYPERLINK \l "_Toc90482793" </w:instrText>
      </w:r>
      <w:r>
        <w:fldChar w:fldCharType="separate"/>
      </w:r>
      <w:r>
        <w:rPr>
          <w:rStyle w:val="25"/>
          <w:rFonts w:ascii="Times New Roman" w:hAnsi="Times New Roman"/>
          <w:b/>
          <w:bCs/>
          <w:kern w:val="44"/>
        </w:rPr>
        <w:t xml:space="preserve">4.6 </w:t>
      </w:r>
      <w:r>
        <w:rPr>
          <w:rStyle w:val="25"/>
          <w:rFonts w:hint="eastAsia" w:ascii="Times New Roman" w:hAnsi="Times New Roman"/>
          <w:b/>
          <w:bCs/>
          <w:kern w:val="44"/>
        </w:rPr>
        <w:t>水资源保护</w:t>
      </w:r>
      <w:r>
        <w:tab/>
      </w:r>
      <w:r>
        <w:fldChar w:fldCharType="begin"/>
      </w:r>
      <w:r>
        <w:instrText xml:space="preserve"> PAGEREF _Toc90482793 \h </w:instrText>
      </w:r>
      <w:r>
        <w:fldChar w:fldCharType="separate"/>
      </w:r>
      <w:r>
        <w:t>47</w:t>
      </w:r>
      <w:r>
        <w:fldChar w:fldCharType="end"/>
      </w:r>
      <w:r>
        <w:fldChar w:fldCharType="end"/>
      </w:r>
    </w:p>
    <w:p>
      <w:pPr>
        <w:pStyle w:val="14"/>
        <w:tabs>
          <w:tab w:val="right" w:leader="dot" w:pos="8296"/>
        </w:tabs>
        <w:spacing w:line="360" w:lineRule="auto"/>
      </w:pPr>
      <w:r>
        <w:fldChar w:fldCharType="begin"/>
      </w:r>
      <w:r>
        <w:instrText xml:space="preserve"> HYPERLINK \l "_Toc90482794" </w:instrText>
      </w:r>
      <w:r>
        <w:fldChar w:fldCharType="separate"/>
      </w:r>
      <w:r>
        <w:rPr>
          <w:rStyle w:val="25"/>
          <w:rFonts w:ascii="Times New Roman" w:hAnsi="Times New Roman"/>
          <w:b/>
          <w:bCs/>
          <w:kern w:val="44"/>
        </w:rPr>
        <w:t xml:space="preserve">5 </w:t>
      </w:r>
      <w:r>
        <w:rPr>
          <w:rStyle w:val="25"/>
          <w:rFonts w:hint="eastAsia" w:ascii="Times New Roman" w:hAnsi="Times New Roman"/>
          <w:b/>
          <w:bCs/>
          <w:kern w:val="44"/>
        </w:rPr>
        <w:t>节水型社会制度建设</w:t>
      </w:r>
      <w:r>
        <w:tab/>
      </w:r>
      <w:r>
        <w:fldChar w:fldCharType="begin"/>
      </w:r>
      <w:r>
        <w:instrText xml:space="preserve"> PAGEREF _Toc90482794 \h </w:instrText>
      </w:r>
      <w:r>
        <w:fldChar w:fldCharType="separate"/>
      </w:r>
      <w:r>
        <w:t>48</w:t>
      </w:r>
      <w:r>
        <w:fldChar w:fldCharType="end"/>
      </w:r>
      <w:r>
        <w:fldChar w:fldCharType="end"/>
      </w:r>
    </w:p>
    <w:p>
      <w:pPr>
        <w:pStyle w:val="18"/>
        <w:tabs>
          <w:tab w:val="right" w:leader="dot" w:pos="8296"/>
        </w:tabs>
        <w:spacing w:line="360" w:lineRule="auto"/>
        <w:ind w:left="31680"/>
      </w:pPr>
      <w:r>
        <w:fldChar w:fldCharType="begin"/>
      </w:r>
      <w:r>
        <w:instrText xml:space="preserve"> HYPERLINK \l "_Toc90482795" </w:instrText>
      </w:r>
      <w:r>
        <w:fldChar w:fldCharType="separate"/>
      </w:r>
      <w:r>
        <w:rPr>
          <w:rStyle w:val="25"/>
          <w:rFonts w:ascii="Times New Roman" w:hAnsi="Times New Roman"/>
          <w:b/>
          <w:bCs/>
          <w:kern w:val="44"/>
        </w:rPr>
        <w:t xml:space="preserve">5.1 </w:t>
      </w:r>
      <w:r>
        <w:rPr>
          <w:rStyle w:val="25"/>
          <w:rFonts w:hint="eastAsia" w:ascii="Times New Roman" w:hAnsi="Times New Roman"/>
          <w:b/>
          <w:bCs/>
          <w:kern w:val="44"/>
        </w:rPr>
        <w:t>节水管理组织体系建设</w:t>
      </w:r>
      <w:r>
        <w:tab/>
      </w:r>
      <w:r>
        <w:fldChar w:fldCharType="begin"/>
      </w:r>
      <w:r>
        <w:instrText xml:space="preserve"> PAGEREF _Toc90482795 \h </w:instrText>
      </w:r>
      <w:r>
        <w:fldChar w:fldCharType="separate"/>
      </w:r>
      <w:r>
        <w:t>48</w:t>
      </w:r>
      <w:r>
        <w:fldChar w:fldCharType="end"/>
      </w:r>
      <w:r>
        <w:fldChar w:fldCharType="end"/>
      </w:r>
    </w:p>
    <w:p>
      <w:pPr>
        <w:pStyle w:val="18"/>
        <w:tabs>
          <w:tab w:val="right" w:leader="dot" w:pos="8296"/>
        </w:tabs>
        <w:spacing w:line="360" w:lineRule="auto"/>
        <w:ind w:left="31680"/>
      </w:pPr>
      <w:r>
        <w:fldChar w:fldCharType="begin"/>
      </w:r>
      <w:r>
        <w:instrText xml:space="preserve"> HYPERLINK \l "_Toc90482796" </w:instrText>
      </w:r>
      <w:r>
        <w:fldChar w:fldCharType="separate"/>
      </w:r>
      <w:r>
        <w:rPr>
          <w:rStyle w:val="25"/>
          <w:rFonts w:ascii="Times New Roman" w:hAnsi="Times New Roman"/>
          <w:b/>
          <w:bCs/>
          <w:kern w:val="44"/>
        </w:rPr>
        <w:t xml:space="preserve">5.2 </w:t>
      </w:r>
      <w:r>
        <w:rPr>
          <w:rStyle w:val="25"/>
          <w:rFonts w:hint="eastAsia" w:ascii="Times New Roman" w:hAnsi="Times New Roman"/>
          <w:b/>
          <w:bCs/>
          <w:kern w:val="44"/>
        </w:rPr>
        <w:t>节水管理制度体系建设</w:t>
      </w:r>
      <w:r>
        <w:tab/>
      </w:r>
      <w:r>
        <w:fldChar w:fldCharType="begin"/>
      </w:r>
      <w:r>
        <w:instrText xml:space="preserve"> PAGEREF _Toc90482796 \h </w:instrText>
      </w:r>
      <w:r>
        <w:fldChar w:fldCharType="separate"/>
      </w:r>
      <w:r>
        <w:t>48</w:t>
      </w:r>
      <w:r>
        <w:fldChar w:fldCharType="end"/>
      </w:r>
      <w:r>
        <w:fldChar w:fldCharType="end"/>
      </w:r>
    </w:p>
    <w:p>
      <w:pPr>
        <w:pStyle w:val="18"/>
        <w:tabs>
          <w:tab w:val="right" w:leader="dot" w:pos="8296"/>
        </w:tabs>
        <w:spacing w:line="360" w:lineRule="auto"/>
        <w:ind w:left="31680"/>
      </w:pPr>
      <w:r>
        <w:fldChar w:fldCharType="begin"/>
      </w:r>
      <w:r>
        <w:instrText xml:space="preserve"> HYPERLINK \l "_Toc90482797" </w:instrText>
      </w:r>
      <w:r>
        <w:fldChar w:fldCharType="separate"/>
      </w:r>
      <w:r>
        <w:rPr>
          <w:rStyle w:val="25"/>
          <w:rFonts w:ascii="Times New Roman" w:hAnsi="Times New Roman"/>
          <w:b/>
          <w:bCs/>
          <w:kern w:val="44"/>
        </w:rPr>
        <w:t xml:space="preserve">5.3 </w:t>
      </w:r>
      <w:r>
        <w:rPr>
          <w:rStyle w:val="25"/>
          <w:rFonts w:hint="eastAsia" w:ascii="Times New Roman" w:hAnsi="Times New Roman"/>
          <w:b/>
          <w:bCs/>
          <w:kern w:val="44"/>
        </w:rPr>
        <w:t>节水宣传体系建设</w:t>
      </w:r>
      <w:r>
        <w:tab/>
      </w:r>
      <w:r>
        <w:fldChar w:fldCharType="begin"/>
      </w:r>
      <w:r>
        <w:instrText xml:space="preserve"> PAGEREF _Toc90482797 \h </w:instrText>
      </w:r>
      <w:r>
        <w:fldChar w:fldCharType="separate"/>
      </w:r>
      <w:r>
        <w:t>51</w:t>
      </w:r>
      <w:r>
        <w:fldChar w:fldCharType="end"/>
      </w:r>
      <w:r>
        <w:fldChar w:fldCharType="end"/>
      </w:r>
    </w:p>
    <w:p>
      <w:pPr>
        <w:pStyle w:val="18"/>
        <w:tabs>
          <w:tab w:val="right" w:leader="dot" w:pos="8296"/>
        </w:tabs>
        <w:spacing w:line="360" w:lineRule="auto"/>
        <w:ind w:left="31680"/>
      </w:pPr>
      <w:r>
        <w:fldChar w:fldCharType="begin"/>
      </w:r>
      <w:r>
        <w:instrText xml:space="preserve"> HYPERLINK \l "_Toc90482798" </w:instrText>
      </w:r>
      <w:r>
        <w:fldChar w:fldCharType="separate"/>
      </w:r>
      <w:r>
        <w:rPr>
          <w:rStyle w:val="25"/>
          <w:rFonts w:ascii="Times New Roman" w:hAnsi="Times New Roman"/>
          <w:b/>
          <w:bCs/>
          <w:kern w:val="44"/>
        </w:rPr>
        <w:t xml:space="preserve">5.4 </w:t>
      </w:r>
      <w:r>
        <w:rPr>
          <w:rStyle w:val="25"/>
          <w:rFonts w:hint="eastAsia" w:ascii="Times New Roman" w:hAnsi="Times New Roman"/>
          <w:b/>
          <w:bCs/>
          <w:kern w:val="44"/>
        </w:rPr>
        <w:t>节约用水监督考核体系建设</w:t>
      </w:r>
      <w:r>
        <w:tab/>
      </w:r>
      <w:r>
        <w:fldChar w:fldCharType="begin"/>
      </w:r>
      <w:r>
        <w:instrText xml:space="preserve"> PAGEREF _Toc90482798 \h </w:instrText>
      </w:r>
      <w:r>
        <w:fldChar w:fldCharType="separate"/>
      </w:r>
      <w:r>
        <w:t>51</w:t>
      </w:r>
      <w:r>
        <w:fldChar w:fldCharType="end"/>
      </w:r>
      <w:r>
        <w:fldChar w:fldCharType="end"/>
      </w:r>
    </w:p>
    <w:p>
      <w:pPr>
        <w:pStyle w:val="14"/>
        <w:tabs>
          <w:tab w:val="right" w:leader="dot" w:pos="8296"/>
        </w:tabs>
        <w:spacing w:line="360" w:lineRule="auto"/>
      </w:pPr>
      <w:r>
        <w:fldChar w:fldCharType="begin"/>
      </w:r>
      <w:r>
        <w:instrText xml:space="preserve"> HYPERLINK \l "_Toc90482799" </w:instrText>
      </w:r>
      <w:r>
        <w:fldChar w:fldCharType="separate"/>
      </w:r>
      <w:r>
        <w:rPr>
          <w:rStyle w:val="25"/>
          <w:rFonts w:ascii="Times New Roman" w:hAnsi="Times New Roman"/>
          <w:b/>
          <w:bCs/>
          <w:kern w:val="44"/>
        </w:rPr>
        <w:t xml:space="preserve">6 </w:t>
      </w:r>
      <w:r>
        <w:rPr>
          <w:rStyle w:val="25"/>
          <w:rFonts w:hint="eastAsia" w:ascii="Times New Roman" w:hAnsi="Times New Roman"/>
          <w:b/>
          <w:bCs/>
          <w:kern w:val="44"/>
        </w:rPr>
        <w:t>节水基础工程</w:t>
      </w:r>
      <w:r>
        <w:tab/>
      </w:r>
      <w:r>
        <w:fldChar w:fldCharType="begin"/>
      </w:r>
      <w:r>
        <w:instrText xml:space="preserve"> PAGEREF _Toc90482799 \h </w:instrText>
      </w:r>
      <w:r>
        <w:fldChar w:fldCharType="separate"/>
      </w:r>
      <w:r>
        <w:t>52</w:t>
      </w:r>
      <w:r>
        <w:fldChar w:fldCharType="end"/>
      </w:r>
      <w:r>
        <w:fldChar w:fldCharType="end"/>
      </w:r>
    </w:p>
    <w:p>
      <w:pPr>
        <w:pStyle w:val="18"/>
        <w:tabs>
          <w:tab w:val="right" w:leader="dot" w:pos="8296"/>
        </w:tabs>
        <w:spacing w:line="360" w:lineRule="auto"/>
        <w:ind w:left="31680"/>
      </w:pPr>
      <w:r>
        <w:fldChar w:fldCharType="begin"/>
      </w:r>
      <w:r>
        <w:instrText xml:space="preserve"> HYPERLINK \l "_Toc90482800" </w:instrText>
      </w:r>
      <w:r>
        <w:fldChar w:fldCharType="separate"/>
      </w:r>
      <w:r>
        <w:rPr>
          <w:rStyle w:val="25"/>
          <w:rFonts w:ascii="Times New Roman" w:hAnsi="Times New Roman"/>
          <w:b/>
          <w:bCs/>
          <w:kern w:val="44"/>
        </w:rPr>
        <w:t xml:space="preserve">6.1 </w:t>
      </w:r>
      <w:r>
        <w:rPr>
          <w:rStyle w:val="25"/>
          <w:rFonts w:hint="eastAsia" w:ascii="Times New Roman" w:hAnsi="Times New Roman"/>
          <w:b/>
          <w:bCs/>
          <w:kern w:val="44"/>
        </w:rPr>
        <w:t>农业节水工程</w:t>
      </w:r>
      <w:r>
        <w:tab/>
      </w:r>
      <w:r>
        <w:fldChar w:fldCharType="begin"/>
      </w:r>
      <w:r>
        <w:instrText xml:space="preserve"> PAGEREF _Toc90482800 \h </w:instrText>
      </w:r>
      <w:r>
        <w:fldChar w:fldCharType="separate"/>
      </w:r>
      <w:r>
        <w:t>52</w:t>
      </w:r>
      <w:r>
        <w:fldChar w:fldCharType="end"/>
      </w:r>
      <w:r>
        <w:fldChar w:fldCharType="end"/>
      </w:r>
    </w:p>
    <w:p>
      <w:pPr>
        <w:pStyle w:val="18"/>
        <w:tabs>
          <w:tab w:val="right" w:leader="dot" w:pos="8296"/>
        </w:tabs>
        <w:spacing w:line="360" w:lineRule="auto"/>
        <w:ind w:left="31680"/>
      </w:pPr>
      <w:r>
        <w:fldChar w:fldCharType="begin"/>
      </w:r>
      <w:r>
        <w:instrText xml:space="preserve"> HYPERLINK \l "_Toc90482801" </w:instrText>
      </w:r>
      <w:r>
        <w:fldChar w:fldCharType="separate"/>
      </w:r>
      <w:r>
        <w:rPr>
          <w:rStyle w:val="25"/>
          <w:rFonts w:ascii="Times New Roman" w:hAnsi="Times New Roman"/>
          <w:b/>
          <w:bCs/>
          <w:kern w:val="44"/>
        </w:rPr>
        <w:t xml:space="preserve">6.2 </w:t>
      </w:r>
      <w:r>
        <w:rPr>
          <w:rStyle w:val="25"/>
          <w:rFonts w:hint="eastAsia" w:ascii="Times New Roman" w:hAnsi="Times New Roman"/>
          <w:b/>
          <w:bCs/>
          <w:kern w:val="44"/>
        </w:rPr>
        <w:t>工业节水工程</w:t>
      </w:r>
      <w:r>
        <w:tab/>
      </w:r>
      <w:r>
        <w:fldChar w:fldCharType="begin"/>
      </w:r>
      <w:r>
        <w:instrText xml:space="preserve"> PAGEREF _Toc90482801 \h </w:instrText>
      </w:r>
      <w:r>
        <w:fldChar w:fldCharType="separate"/>
      </w:r>
      <w:r>
        <w:t>53</w:t>
      </w:r>
      <w:r>
        <w:fldChar w:fldCharType="end"/>
      </w:r>
      <w:r>
        <w:fldChar w:fldCharType="end"/>
      </w:r>
    </w:p>
    <w:p>
      <w:pPr>
        <w:pStyle w:val="18"/>
        <w:tabs>
          <w:tab w:val="right" w:leader="dot" w:pos="8296"/>
        </w:tabs>
        <w:spacing w:line="360" w:lineRule="auto"/>
        <w:ind w:left="31680"/>
      </w:pPr>
      <w:r>
        <w:fldChar w:fldCharType="begin"/>
      </w:r>
      <w:r>
        <w:instrText xml:space="preserve"> HYPERLINK \l "_Toc90482802" </w:instrText>
      </w:r>
      <w:r>
        <w:fldChar w:fldCharType="separate"/>
      </w:r>
      <w:r>
        <w:rPr>
          <w:rStyle w:val="25"/>
          <w:rFonts w:ascii="Times New Roman" w:hAnsi="Times New Roman"/>
          <w:b/>
          <w:bCs/>
          <w:kern w:val="44"/>
        </w:rPr>
        <w:t xml:space="preserve">6.3 </w:t>
      </w:r>
      <w:r>
        <w:rPr>
          <w:rStyle w:val="25"/>
          <w:rFonts w:hint="eastAsia" w:ascii="Times New Roman" w:hAnsi="Times New Roman"/>
          <w:b/>
          <w:bCs/>
          <w:kern w:val="44"/>
        </w:rPr>
        <w:t>城镇节水工程</w:t>
      </w:r>
      <w:r>
        <w:tab/>
      </w:r>
      <w:r>
        <w:fldChar w:fldCharType="begin"/>
      </w:r>
      <w:r>
        <w:instrText xml:space="preserve"> PAGEREF _Toc90482802 \h </w:instrText>
      </w:r>
      <w:r>
        <w:fldChar w:fldCharType="separate"/>
      </w:r>
      <w:r>
        <w:t>53</w:t>
      </w:r>
      <w:r>
        <w:fldChar w:fldCharType="end"/>
      </w:r>
      <w:r>
        <w:fldChar w:fldCharType="end"/>
      </w:r>
    </w:p>
    <w:p>
      <w:pPr>
        <w:pStyle w:val="18"/>
        <w:tabs>
          <w:tab w:val="right" w:leader="dot" w:pos="8296"/>
        </w:tabs>
        <w:spacing w:line="360" w:lineRule="auto"/>
        <w:ind w:left="31680"/>
      </w:pPr>
      <w:r>
        <w:fldChar w:fldCharType="begin"/>
      </w:r>
      <w:r>
        <w:instrText xml:space="preserve"> HYPERLINK \l "_Toc90482803" </w:instrText>
      </w:r>
      <w:r>
        <w:fldChar w:fldCharType="separate"/>
      </w:r>
      <w:r>
        <w:rPr>
          <w:rStyle w:val="25"/>
          <w:rFonts w:ascii="Times New Roman" w:hAnsi="Times New Roman"/>
          <w:b/>
          <w:bCs/>
          <w:kern w:val="44"/>
        </w:rPr>
        <w:t xml:space="preserve">6.4 </w:t>
      </w:r>
      <w:r>
        <w:rPr>
          <w:rStyle w:val="25"/>
          <w:rFonts w:hint="eastAsia" w:ascii="Times New Roman" w:hAnsi="Times New Roman"/>
          <w:b/>
          <w:bCs/>
          <w:kern w:val="44"/>
        </w:rPr>
        <w:t>非常规水源利用工程</w:t>
      </w:r>
      <w:r>
        <w:tab/>
      </w:r>
      <w:r>
        <w:fldChar w:fldCharType="begin"/>
      </w:r>
      <w:r>
        <w:instrText xml:space="preserve"> PAGEREF _Toc90482803 \h </w:instrText>
      </w:r>
      <w:r>
        <w:fldChar w:fldCharType="separate"/>
      </w:r>
      <w:r>
        <w:t>54</w:t>
      </w:r>
      <w:r>
        <w:fldChar w:fldCharType="end"/>
      </w:r>
      <w:r>
        <w:fldChar w:fldCharType="end"/>
      </w:r>
    </w:p>
    <w:p>
      <w:pPr>
        <w:pStyle w:val="18"/>
        <w:tabs>
          <w:tab w:val="right" w:leader="dot" w:pos="8296"/>
        </w:tabs>
        <w:spacing w:line="360" w:lineRule="auto"/>
        <w:ind w:left="31680"/>
      </w:pPr>
      <w:r>
        <w:fldChar w:fldCharType="begin"/>
      </w:r>
      <w:r>
        <w:instrText xml:space="preserve"> HYPERLINK \l "_Toc90482804" </w:instrText>
      </w:r>
      <w:r>
        <w:fldChar w:fldCharType="separate"/>
      </w:r>
      <w:r>
        <w:rPr>
          <w:rStyle w:val="25"/>
          <w:rFonts w:ascii="Times New Roman" w:hAnsi="Times New Roman"/>
          <w:b/>
          <w:bCs/>
          <w:kern w:val="44"/>
        </w:rPr>
        <w:t xml:space="preserve">6.5 </w:t>
      </w:r>
      <w:r>
        <w:rPr>
          <w:rStyle w:val="25"/>
          <w:rFonts w:hint="eastAsia" w:ascii="Times New Roman" w:hAnsi="Times New Roman"/>
          <w:b/>
          <w:bCs/>
          <w:kern w:val="44"/>
        </w:rPr>
        <w:t>海绵城市建设工程</w:t>
      </w:r>
      <w:r>
        <w:tab/>
      </w:r>
      <w:r>
        <w:fldChar w:fldCharType="begin"/>
      </w:r>
      <w:r>
        <w:instrText xml:space="preserve"> PAGEREF _Toc90482804 \h </w:instrText>
      </w:r>
      <w:r>
        <w:fldChar w:fldCharType="separate"/>
      </w:r>
      <w:r>
        <w:t>54</w:t>
      </w:r>
      <w:r>
        <w:fldChar w:fldCharType="end"/>
      </w:r>
      <w:r>
        <w:fldChar w:fldCharType="end"/>
      </w:r>
    </w:p>
    <w:p>
      <w:pPr>
        <w:pStyle w:val="18"/>
        <w:tabs>
          <w:tab w:val="right" w:leader="dot" w:pos="8296"/>
        </w:tabs>
        <w:spacing w:line="360" w:lineRule="auto"/>
        <w:ind w:left="31680"/>
      </w:pPr>
      <w:r>
        <w:fldChar w:fldCharType="begin"/>
      </w:r>
      <w:r>
        <w:instrText xml:space="preserve"> HYPERLINK \l "_Toc90482805" </w:instrText>
      </w:r>
      <w:r>
        <w:fldChar w:fldCharType="separate"/>
      </w:r>
      <w:r>
        <w:rPr>
          <w:rStyle w:val="25"/>
          <w:rFonts w:ascii="Times New Roman" w:hAnsi="Times New Roman"/>
          <w:b/>
          <w:bCs/>
          <w:kern w:val="44"/>
        </w:rPr>
        <w:t xml:space="preserve">6.6 </w:t>
      </w:r>
      <w:r>
        <w:rPr>
          <w:rStyle w:val="25"/>
          <w:rFonts w:hint="eastAsia" w:ascii="Times New Roman" w:hAnsi="Times New Roman"/>
          <w:b/>
          <w:bCs/>
          <w:kern w:val="44"/>
        </w:rPr>
        <w:t>能力建设工程</w:t>
      </w:r>
      <w:r>
        <w:tab/>
      </w:r>
      <w:r>
        <w:fldChar w:fldCharType="begin"/>
      </w:r>
      <w:r>
        <w:instrText xml:space="preserve"> PAGEREF _Toc90482805 \h </w:instrText>
      </w:r>
      <w:r>
        <w:fldChar w:fldCharType="separate"/>
      </w:r>
      <w:r>
        <w:t>55</w:t>
      </w:r>
      <w:r>
        <w:fldChar w:fldCharType="end"/>
      </w:r>
      <w:r>
        <w:fldChar w:fldCharType="end"/>
      </w:r>
    </w:p>
    <w:p>
      <w:pPr>
        <w:pStyle w:val="18"/>
        <w:tabs>
          <w:tab w:val="right" w:leader="dot" w:pos="8296"/>
        </w:tabs>
        <w:spacing w:line="360" w:lineRule="auto"/>
        <w:ind w:left="31680"/>
      </w:pPr>
      <w:r>
        <w:fldChar w:fldCharType="begin"/>
      </w:r>
      <w:r>
        <w:instrText xml:space="preserve"> HYPERLINK \l "_Toc90482806" </w:instrText>
      </w:r>
      <w:r>
        <w:fldChar w:fldCharType="separate"/>
      </w:r>
      <w:r>
        <w:rPr>
          <w:rStyle w:val="25"/>
          <w:rFonts w:ascii="Times New Roman" w:hAnsi="Times New Roman"/>
          <w:b/>
          <w:bCs/>
          <w:kern w:val="44"/>
        </w:rPr>
        <w:t xml:space="preserve">6.7 </w:t>
      </w:r>
      <w:r>
        <w:rPr>
          <w:rStyle w:val="25"/>
          <w:rFonts w:hint="eastAsia" w:ascii="Times New Roman" w:hAnsi="Times New Roman"/>
          <w:b/>
          <w:bCs/>
          <w:kern w:val="44"/>
        </w:rPr>
        <w:t>节水载体建设</w:t>
      </w:r>
      <w:r>
        <w:tab/>
      </w:r>
      <w:r>
        <w:fldChar w:fldCharType="begin"/>
      </w:r>
      <w:r>
        <w:instrText xml:space="preserve"> PAGEREF _Toc90482806 \h </w:instrText>
      </w:r>
      <w:r>
        <w:fldChar w:fldCharType="separate"/>
      </w:r>
      <w:r>
        <w:t>55</w:t>
      </w:r>
      <w:r>
        <w:fldChar w:fldCharType="end"/>
      </w:r>
      <w:r>
        <w:fldChar w:fldCharType="end"/>
      </w:r>
    </w:p>
    <w:p>
      <w:pPr>
        <w:pStyle w:val="14"/>
        <w:tabs>
          <w:tab w:val="right" w:leader="dot" w:pos="8296"/>
        </w:tabs>
        <w:spacing w:line="360" w:lineRule="auto"/>
      </w:pPr>
      <w:r>
        <w:fldChar w:fldCharType="begin"/>
      </w:r>
      <w:r>
        <w:instrText xml:space="preserve"> HYPERLINK \l "_Toc90482807" </w:instrText>
      </w:r>
      <w:r>
        <w:fldChar w:fldCharType="separate"/>
      </w:r>
      <w:r>
        <w:rPr>
          <w:rStyle w:val="25"/>
          <w:rFonts w:ascii="Times New Roman" w:hAnsi="Times New Roman"/>
          <w:b/>
          <w:bCs/>
          <w:kern w:val="44"/>
        </w:rPr>
        <w:t xml:space="preserve">7 </w:t>
      </w:r>
      <w:r>
        <w:rPr>
          <w:rStyle w:val="25"/>
          <w:rFonts w:hint="eastAsia" w:ascii="Times New Roman" w:hAnsi="Times New Roman"/>
          <w:b/>
          <w:bCs/>
          <w:kern w:val="44"/>
        </w:rPr>
        <w:t>投资估算及任务分工</w:t>
      </w:r>
      <w:r>
        <w:tab/>
      </w:r>
      <w:r>
        <w:fldChar w:fldCharType="begin"/>
      </w:r>
      <w:r>
        <w:instrText xml:space="preserve"> PAGEREF _Toc90482807 \h </w:instrText>
      </w:r>
      <w:r>
        <w:fldChar w:fldCharType="separate"/>
      </w:r>
      <w:r>
        <w:t>57</w:t>
      </w:r>
      <w:r>
        <w:fldChar w:fldCharType="end"/>
      </w:r>
      <w:r>
        <w:fldChar w:fldCharType="end"/>
      </w:r>
    </w:p>
    <w:p>
      <w:pPr>
        <w:pStyle w:val="18"/>
        <w:tabs>
          <w:tab w:val="right" w:leader="dot" w:pos="8296"/>
        </w:tabs>
        <w:spacing w:line="360" w:lineRule="auto"/>
        <w:ind w:left="31680"/>
      </w:pPr>
      <w:r>
        <w:fldChar w:fldCharType="begin"/>
      </w:r>
      <w:r>
        <w:instrText xml:space="preserve"> HYPERLINK \l "_Toc90482808" </w:instrText>
      </w:r>
      <w:r>
        <w:fldChar w:fldCharType="separate"/>
      </w:r>
      <w:r>
        <w:rPr>
          <w:rStyle w:val="25"/>
          <w:rFonts w:ascii="Times New Roman" w:hAnsi="Times New Roman"/>
          <w:b/>
          <w:bCs/>
          <w:kern w:val="44"/>
        </w:rPr>
        <w:t xml:space="preserve">7.1 </w:t>
      </w:r>
      <w:r>
        <w:rPr>
          <w:rStyle w:val="25"/>
          <w:rFonts w:hint="eastAsia" w:ascii="Times New Roman" w:hAnsi="Times New Roman"/>
          <w:b/>
          <w:bCs/>
          <w:kern w:val="44"/>
        </w:rPr>
        <w:t>投资估算</w:t>
      </w:r>
      <w:r>
        <w:tab/>
      </w:r>
      <w:r>
        <w:fldChar w:fldCharType="begin"/>
      </w:r>
      <w:r>
        <w:instrText xml:space="preserve"> PAGEREF _Toc90482808 \h </w:instrText>
      </w:r>
      <w:r>
        <w:fldChar w:fldCharType="separate"/>
      </w:r>
      <w:r>
        <w:t>57</w:t>
      </w:r>
      <w:r>
        <w:fldChar w:fldCharType="end"/>
      </w:r>
      <w:r>
        <w:fldChar w:fldCharType="end"/>
      </w:r>
    </w:p>
    <w:p>
      <w:pPr>
        <w:pStyle w:val="18"/>
        <w:tabs>
          <w:tab w:val="right" w:leader="dot" w:pos="8296"/>
        </w:tabs>
        <w:spacing w:line="360" w:lineRule="auto"/>
        <w:ind w:left="31680"/>
      </w:pPr>
      <w:r>
        <w:fldChar w:fldCharType="begin"/>
      </w:r>
      <w:r>
        <w:instrText xml:space="preserve"> HYPERLINK \l "_Toc90482809" </w:instrText>
      </w:r>
      <w:r>
        <w:fldChar w:fldCharType="separate"/>
      </w:r>
      <w:r>
        <w:rPr>
          <w:rStyle w:val="25"/>
          <w:rFonts w:ascii="Times New Roman" w:hAnsi="Times New Roman"/>
          <w:b/>
          <w:bCs/>
          <w:kern w:val="44"/>
        </w:rPr>
        <w:t xml:space="preserve">7.2 </w:t>
      </w:r>
      <w:r>
        <w:rPr>
          <w:rStyle w:val="25"/>
          <w:rFonts w:hint="eastAsia" w:ascii="Times New Roman" w:hAnsi="Times New Roman"/>
          <w:b/>
          <w:bCs/>
          <w:kern w:val="44"/>
        </w:rPr>
        <w:t>任务分工</w:t>
      </w:r>
      <w:r>
        <w:tab/>
      </w:r>
      <w:r>
        <w:fldChar w:fldCharType="begin"/>
      </w:r>
      <w:r>
        <w:instrText xml:space="preserve"> PAGEREF _Toc90482809 \h </w:instrText>
      </w:r>
      <w:r>
        <w:fldChar w:fldCharType="separate"/>
      </w:r>
      <w:r>
        <w:t>58</w:t>
      </w:r>
      <w:r>
        <w:fldChar w:fldCharType="end"/>
      </w:r>
      <w:r>
        <w:fldChar w:fldCharType="end"/>
      </w:r>
    </w:p>
    <w:p>
      <w:pPr>
        <w:pStyle w:val="14"/>
        <w:tabs>
          <w:tab w:val="right" w:leader="dot" w:pos="8296"/>
        </w:tabs>
        <w:spacing w:line="360" w:lineRule="auto"/>
      </w:pPr>
      <w:r>
        <w:fldChar w:fldCharType="begin"/>
      </w:r>
      <w:r>
        <w:instrText xml:space="preserve"> HYPERLINK \l "_Toc90482810" </w:instrText>
      </w:r>
      <w:r>
        <w:fldChar w:fldCharType="separate"/>
      </w:r>
      <w:r>
        <w:rPr>
          <w:rStyle w:val="25"/>
          <w:rFonts w:ascii="宋体" w:hAnsi="宋体" w:cs="宋体"/>
          <w:b/>
          <w:bCs/>
          <w:kern w:val="44"/>
        </w:rPr>
        <w:t xml:space="preserve">8 </w:t>
      </w:r>
      <w:r>
        <w:rPr>
          <w:rStyle w:val="25"/>
          <w:rFonts w:hint="eastAsia" w:ascii="宋体" w:hAnsi="宋体" w:cs="宋体"/>
          <w:b/>
          <w:bCs/>
          <w:kern w:val="44"/>
        </w:rPr>
        <w:t>实施效果评价</w:t>
      </w:r>
      <w:r>
        <w:tab/>
      </w:r>
      <w:r>
        <w:fldChar w:fldCharType="begin"/>
      </w:r>
      <w:r>
        <w:instrText xml:space="preserve"> PAGEREF _Toc90482810 \h </w:instrText>
      </w:r>
      <w:r>
        <w:fldChar w:fldCharType="separate"/>
      </w:r>
      <w:r>
        <w:t>63</w:t>
      </w:r>
      <w:r>
        <w:fldChar w:fldCharType="end"/>
      </w:r>
      <w:r>
        <w:fldChar w:fldCharType="end"/>
      </w:r>
    </w:p>
    <w:p>
      <w:pPr>
        <w:pStyle w:val="18"/>
        <w:tabs>
          <w:tab w:val="right" w:leader="dot" w:pos="8296"/>
        </w:tabs>
        <w:spacing w:line="360" w:lineRule="auto"/>
        <w:ind w:left="31680"/>
      </w:pPr>
      <w:r>
        <w:fldChar w:fldCharType="begin"/>
      </w:r>
      <w:r>
        <w:instrText xml:space="preserve"> HYPERLINK \l "_Toc90482811" </w:instrText>
      </w:r>
      <w:r>
        <w:fldChar w:fldCharType="separate"/>
      </w:r>
      <w:r>
        <w:rPr>
          <w:rStyle w:val="25"/>
          <w:rFonts w:ascii="宋体" w:hAnsi="宋体" w:cs="宋体"/>
          <w:b/>
          <w:bCs/>
          <w:kern w:val="44"/>
        </w:rPr>
        <w:t xml:space="preserve">8.1 </w:t>
      </w:r>
      <w:r>
        <w:rPr>
          <w:rStyle w:val="25"/>
          <w:rFonts w:hint="eastAsia" w:ascii="宋体" w:hAnsi="宋体" w:cs="宋体"/>
          <w:b/>
          <w:bCs/>
          <w:kern w:val="44"/>
        </w:rPr>
        <w:t>经济效益</w:t>
      </w:r>
      <w:r>
        <w:tab/>
      </w:r>
      <w:r>
        <w:fldChar w:fldCharType="begin"/>
      </w:r>
      <w:r>
        <w:instrText xml:space="preserve"> PAGEREF _Toc90482811 \h </w:instrText>
      </w:r>
      <w:r>
        <w:fldChar w:fldCharType="separate"/>
      </w:r>
      <w:r>
        <w:t>63</w:t>
      </w:r>
      <w:r>
        <w:fldChar w:fldCharType="end"/>
      </w:r>
      <w:r>
        <w:fldChar w:fldCharType="end"/>
      </w:r>
    </w:p>
    <w:p>
      <w:pPr>
        <w:pStyle w:val="18"/>
        <w:tabs>
          <w:tab w:val="right" w:leader="dot" w:pos="8296"/>
        </w:tabs>
        <w:spacing w:line="360" w:lineRule="auto"/>
        <w:ind w:left="31680"/>
      </w:pPr>
      <w:r>
        <w:fldChar w:fldCharType="begin"/>
      </w:r>
      <w:r>
        <w:instrText xml:space="preserve"> HYPERLINK \l "_Toc90482812" </w:instrText>
      </w:r>
      <w:r>
        <w:fldChar w:fldCharType="separate"/>
      </w:r>
      <w:r>
        <w:rPr>
          <w:rStyle w:val="25"/>
          <w:rFonts w:ascii="宋体" w:hAnsi="宋体" w:cs="宋体"/>
          <w:b/>
          <w:bCs/>
          <w:kern w:val="44"/>
        </w:rPr>
        <w:t xml:space="preserve">8.2 </w:t>
      </w:r>
      <w:r>
        <w:rPr>
          <w:rStyle w:val="25"/>
          <w:rFonts w:hint="eastAsia" w:ascii="宋体" w:hAnsi="宋体" w:cs="宋体"/>
          <w:b/>
          <w:bCs/>
          <w:kern w:val="44"/>
        </w:rPr>
        <w:t>社会效益</w:t>
      </w:r>
      <w:r>
        <w:tab/>
      </w:r>
      <w:r>
        <w:fldChar w:fldCharType="begin"/>
      </w:r>
      <w:r>
        <w:instrText xml:space="preserve"> PAGEREF _Toc90482812 \h </w:instrText>
      </w:r>
      <w:r>
        <w:fldChar w:fldCharType="separate"/>
      </w:r>
      <w:r>
        <w:t>63</w:t>
      </w:r>
      <w:r>
        <w:fldChar w:fldCharType="end"/>
      </w:r>
      <w:r>
        <w:fldChar w:fldCharType="end"/>
      </w:r>
    </w:p>
    <w:p>
      <w:pPr>
        <w:pStyle w:val="18"/>
        <w:tabs>
          <w:tab w:val="right" w:leader="dot" w:pos="8296"/>
        </w:tabs>
        <w:spacing w:line="360" w:lineRule="auto"/>
        <w:ind w:left="31680"/>
      </w:pPr>
      <w:r>
        <w:fldChar w:fldCharType="begin"/>
      </w:r>
      <w:r>
        <w:instrText xml:space="preserve"> HYPERLINK \l "_Toc90482813" </w:instrText>
      </w:r>
      <w:r>
        <w:fldChar w:fldCharType="separate"/>
      </w:r>
      <w:r>
        <w:rPr>
          <w:rStyle w:val="25"/>
          <w:rFonts w:ascii="宋体" w:hAnsi="宋体" w:cs="宋体"/>
          <w:b/>
          <w:bCs/>
          <w:kern w:val="44"/>
        </w:rPr>
        <w:t xml:space="preserve">8.3 </w:t>
      </w:r>
      <w:r>
        <w:rPr>
          <w:rStyle w:val="25"/>
          <w:rFonts w:hint="eastAsia" w:ascii="宋体" w:hAnsi="宋体" w:cs="宋体"/>
          <w:b/>
          <w:bCs/>
          <w:kern w:val="44"/>
        </w:rPr>
        <w:t>生态效益</w:t>
      </w:r>
      <w:r>
        <w:tab/>
      </w:r>
      <w:r>
        <w:fldChar w:fldCharType="begin"/>
      </w:r>
      <w:r>
        <w:instrText xml:space="preserve"> PAGEREF _Toc90482813 \h </w:instrText>
      </w:r>
      <w:r>
        <w:fldChar w:fldCharType="separate"/>
      </w:r>
      <w:r>
        <w:t>64</w:t>
      </w:r>
      <w:r>
        <w:fldChar w:fldCharType="end"/>
      </w:r>
      <w:r>
        <w:fldChar w:fldCharType="end"/>
      </w:r>
    </w:p>
    <w:p>
      <w:pPr>
        <w:pStyle w:val="14"/>
        <w:tabs>
          <w:tab w:val="right" w:leader="dot" w:pos="8296"/>
        </w:tabs>
        <w:spacing w:line="360" w:lineRule="auto"/>
      </w:pPr>
      <w:r>
        <w:fldChar w:fldCharType="begin"/>
      </w:r>
      <w:r>
        <w:instrText xml:space="preserve"> HYPERLINK \l "_Toc90482814" </w:instrText>
      </w:r>
      <w:r>
        <w:fldChar w:fldCharType="separate"/>
      </w:r>
      <w:r>
        <w:rPr>
          <w:rStyle w:val="25"/>
          <w:rFonts w:ascii="Times New Roman" w:hAnsi="Times New Roman"/>
          <w:b/>
          <w:bCs/>
          <w:kern w:val="44"/>
        </w:rPr>
        <w:t xml:space="preserve">9 </w:t>
      </w:r>
      <w:r>
        <w:rPr>
          <w:rStyle w:val="25"/>
          <w:rFonts w:hint="eastAsia" w:ascii="Times New Roman" w:hAnsi="Times New Roman"/>
          <w:b/>
          <w:bCs/>
          <w:kern w:val="44"/>
        </w:rPr>
        <w:t>环境影响评价</w:t>
      </w:r>
      <w:r>
        <w:tab/>
      </w:r>
      <w:r>
        <w:fldChar w:fldCharType="begin"/>
      </w:r>
      <w:r>
        <w:instrText xml:space="preserve"> PAGEREF _Toc90482814 \h </w:instrText>
      </w:r>
      <w:r>
        <w:fldChar w:fldCharType="separate"/>
      </w:r>
      <w:r>
        <w:t>65</w:t>
      </w:r>
      <w:r>
        <w:fldChar w:fldCharType="end"/>
      </w:r>
      <w:r>
        <w:fldChar w:fldCharType="end"/>
      </w:r>
    </w:p>
    <w:p>
      <w:pPr>
        <w:pStyle w:val="18"/>
        <w:tabs>
          <w:tab w:val="right" w:leader="dot" w:pos="8296"/>
        </w:tabs>
        <w:spacing w:line="360" w:lineRule="auto"/>
        <w:ind w:left="31680"/>
      </w:pPr>
      <w:r>
        <w:fldChar w:fldCharType="begin"/>
      </w:r>
      <w:r>
        <w:instrText xml:space="preserve"> HYPERLINK \l "_Toc90482815" </w:instrText>
      </w:r>
      <w:r>
        <w:fldChar w:fldCharType="separate"/>
      </w:r>
      <w:r>
        <w:rPr>
          <w:rStyle w:val="25"/>
          <w:rFonts w:ascii="Times New Roman" w:hAnsi="Times New Roman"/>
          <w:b/>
          <w:bCs/>
          <w:kern w:val="44"/>
        </w:rPr>
        <w:t xml:space="preserve">9.1 </w:t>
      </w:r>
      <w:r>
        <w:rPr>
          <w:rStyle w:val="25"/>
          <w:rFonts w:hint="eastAsia" w:ascii="Times New Roman" w:hAnsi="Times New Roman"/>
          <w:b/>
          <w:bCs/>
          <w:kern w:val="44"/>
        </w:rPr>
        <w:t>有利影响</w:t>
      </w:r>
      <w:r>
        <w:tab/>
      </w:r>
      <w:r>
        <w:fldChar w:fldCharType="begin"/>
      </w:r>
      <w:r>
        <w:instrText xml:space="preserve"> PAGEREF _Toc90482815 \h </w:instrText>
      </w:r>
      <w:r>
        <w:fldChar w:fldCharType="separate"/>
      </w:r>
      <w:r>
        <w:t>65</w:t>
      </w:r>
      <w:r>
        <w:fldChar w:fldCharType="end"/>
      </w:r>
      <w:r>
        <w:fldChar w:fldCharType="end"/>
      </w:r>
    </w:p>
    <w:p>
      <w:pPr>
        <w:pStyle w:val="18"/>
        <w:tabs>
          <w:tab w:val="right" w:leader="dot" w:pos="8296"/>
        </w:tabs>
        <w:spacing w:line="360" w:lineRule="auto"/>
        <w:ind w:left="31680"/>
      </w:pPr>
      <w:r>
        <w:fldChar w:fldCharType="begin"/>
      </w:r>
      <w:r>
        <w:instrText xml:space="preserve"> HYPERLINK \l "_Toc90482816" </w:instrText>
      </w:r>
      <w:r>
        <w:fldChar w:fldCharType="separate"/>
      </w:r>
      <w:r>
        <w:rPr>
          <w:rStyle w:val="25"/>
          <w:rFonts w:ascii="Times New Roman" w:hAnsi="Times New Roman"/>
          <w:b/>
          <w:bCs/>
          <w:kern w:val="44"/>
        </w:rPr>
        <w:t xml:space="preserve">9.2 </w:t>
      </w:r>
      <w:r>
        <w:rPr>
          <w:rStyle w:val="25"/>
          <w:rFonts w:hint="eastAsia" w:ascii="Times New Roman" w:hAnsi="Times New Roman"/>
          <w:b/>
          <w:bCs/>
          <w:kern w:val="44"/>
        </w:rPr>
        <w:t>不利影响</w:t>
      </w:r>
      <w:r>
        <w:tab/>
      </w:r>
      <w:r>
        <w:fldChar w:fldCharType="begin"/>
      </w:r>
      <w:r>
        <w:instrText xml:space="preserve"> PAGEREF _Toc90482816 \h </w:instrText>
      </w:r>
      <w:r>
        <w:fldChar w:fldCharType="separate"/>
      </w:r>
      <w:r>
        <w:t>66</w:t>
      </w:r>
      <w:r>
        <w:fldChar w:fldCharType="end"/>
      </w:r>
      <w:r>
        <w:fldChar w:fldCharType="end"/>
      </w:r>
    </w:p>
    <w:p>
      <w:pPr>
        <w:pStyle w:val="18"/>
        <w:tabs>
          <w:tab w:val="right" w:leader="dot" w:pos="8296"/>
        </w:tabs>
        <w:spacing w:line="360" w:lineRule="auto"/>
        <w:ind w:left="31680"/>
      </w:pPr>
      <w:r>
        <w:fldChar w:fldCharType="begin"/>
      </w:r>
      <w:r>
        <w:instrText xml:space="preserve"> HYPERLINK \l "_Toc90482817" </w:instrText>
      </w:r>
      <w:r>
        <w:fldChar w:fldCharType="separate"/>
      </w:r>
      <w:r>
        <w:rPr>
          <w:rStyle w:val="25"/>
          <w:rFonts w:ascii="Times New Roman" w:hAnsi="Times New Roman"/>
          <w:b/>
          <w:bCs/>
          <w:kern w:val="44"/>
        </w:rPr>
        <w:t xml:space="preserve">9.3 </w:t>
      </w:r>
      <w:r>
        <w:rPr>
          <w:rStyle w:val="25"/>
          <w:rFonts w:hint="eastAsia" w:ascii="Times New Roman" w:hAnsi="Times New Roman"/>
          <w:b/>
          <w:bCs/>
          <w:kern w:val="44"/>
        </w:rPr>
        <w:t>减免不利影响对策措施</w:t>
      </w:r>
      <w:r>
        <w:tab/>
      </w:r>
      <w:r>
        <w:fldChar w:fldCharType="begin"/>
      </w:r>
      <w:r>
        <w:instrText xml:space="preserve"> PAGEREF _Toc90482817 \h </w:instrText>
      </w:r>
      <w:r>
        <w:fldChar w:fldCharType="separate"/>
      </w:r>
      <w:r>
        <w:t>67</w:t>
      </w:r>
      <w:r>
        <w:fldChar w:fldCharType="end"/>
      </w:r>
      <w:r>
        <w:fldChar w:fldCharType="end"/>
      </w:r>
    </w:p>
    <w:p>
      <w:pPr>
        <w:pStyle w:val="14"/>
        <w:tabs>
          <w:tab w:val="right" w:leader="dot" w:pos="8296"/>
        </w:tabs>
        <w:spacing w:line="360" w:lineRule="auto"/>
      </w:pPr>
      <w:r>
        <w:fldChar w:fldCharType="begin"/>
      </w:r>
      <w:r>
        <w:instrText xml:space="preserve"> HYPERLINK \l "_Toc90482818" </w:instrText>
      </w:r>
      <w:r>
        <w:fldChar w:fldCharType="separate"/>
      </w:r>
      <w:r>
        <w:rPr>
          <w:rStyle w:val="25"/>
          <w:rFonts w:ascii="Times New Roman" w:hAnsi="Times New Roman"/>
          <w:b/>
          <w:bCs/>
          <w:kern w:val="44"/>
        </w:rPr>
        <w:t xml:space="preserve">10 </w:t>
      </w:r>
      <w:r>
        <w:rPr>
          <w:rStyle w:val="25"/>
          <w:rFonts w:hint="eastAsia" w:ascii="Times New Roman" w:hAnsi="Times New Roman"/>
          <w:b/>
          <w:bCs/>
          <w:kern w:val="44"/>
        </w:rPr>
        <w:t>保障措施</w:t>
      </w:r>
      <w:r>
        <w:tab/>
      </w:r>
      <w:r>
        <w:fldChar w:fldCharType="begin"/>
      </w:r>
      <w:r>
        <w:instrText xml:space="preserve"> PAGEREF _Toc90482818 \h </w:instrText>
      </w:r>
      <w:r>
        <w:fldChar w:fldCharType="separate"/>
      </w:r>
      <w:r>
        <w:t>68</w:t>
      </w:r>
      <w:r>
        <w:fldChar w:fldCharType="end"/>
      </w:r>
      <w:r>
        <w:fldChar w:fldCharType="end"/>
      </w:r>
    </w:p>
    <w:p>
      <w:pPr>
        <w:pStyle w:val="18"/>
        <w:tabs>
          <w:tab w:val="right" w:leader="dot" w:pos="8296"/>
        </w:tabs>
        <w:spacing w:line="360" w:lineRule="auto"/>
        <w:ind w:left="31680"/>
      </w:pPr>
      <w:r>
        <w:fldChar w:fldCharType="begin"/>
      </w:r>
      <w:r>
        <w:instrText xml:space="preserve"> HYPERLINK \l "_Toc90482819" </w:instrText>
      </w:r>
      <w:r>
        <w:fldChar w:fldCharType="separate"/>
      </w:r>
      <w:r>
        <w:rPr>
          <w:rStyle w:val="25"/>
          <w:rFonts w:ascii="Times New Roman" w:hAnsi="Times New Roman"/>
          <w:b/>
          <w:bCs/>
          <w:kern w:val="44"/>
        </w:rPr>
        <w:t xml:space="preserve">10.1 </w:t>
      </w:r>
      <w:r>
        <w:rPr>
          <w:rStyle w:val="25"/>
          <w:rFonts w:hint="eastAsia" w:ascii="Times New Roman" w:hAnsi="Times New Roman"/>
          <w:b/>
          <w:bCs/>
          <w:kern w:val="44"/>
        </w:rPr>
        <w:t>加强组织领导，压实节水责任</w:t>
      </w:r>
      <w:r>
        <w:tab/>
      </w:r>
      <w:r>
        <w:fldChar w:fldCharType="begin"/>
      </w:r>
      <w:r>
        <w:instrText xml:space="preserve"> PAGEREF _Toc90482819 \h </w:instrText>
      </w:r>
      <w:r>
        <w:fldChar w:fldCharType="separate"/>
      </w:r>
      <w:r>
        <w:t>68</w:t>
      </w:r>
      <w:r>
        <w:fldChar w:fldCharType="end"/>
      </w:r>
      <w:r>
        <w:fldChar w:fldCharType="end"/>
      </w:r>
    </w:p>
    <w:p>
      <w:pPr>
        <w:pStyle w:val="18"/>
        <w:tabs>
          <w:tab w:val="right" w:leader="dot" w:pos="8296"/>
        </w:tabs>
        <w:spacing w:line="360" w:lineRule="auto"/>
        <w:ind w:left="31680"/>
      </w:pPr>
      <w:r>
        <w:fldChar w:fldCharType="begin"/>
      </w:r>
      <w:r>
        <w:instrText xml:space="preserve"> HYPERLINK \l "_Toc90482820" </w:instrText>
      </w:r>
      <w:r>
        <w:fldChar w:fldCharType="separate"/>
      </w:r>
      <w:r>
        <w:rPr>
          <w:rStyle w:val="25"/>
          <w:rFonts w:ascii="Times New Roman" w:hAnsi="Times New Roman"/>
          <w:b/>
          <w:bCs/>
          <w:kern w:val="44"/>
        </w:rPr>
        <w:t xml:space="preserve">10.2 </w:t>
      </w:r>
      <w:r>
        <w:rPr>
          <w:rStyle w:val="25"/>
          <w:rFonts w:hint="eastAsia" w:ascii="Times New Roman" w:hAnsi="Times New Roman"/>
          <w:b/>
          <w:bCs/>
          <w:kern w:val="44"/>
        </w:rPr>
        <w:t>完善节水政策，严格监督检查</w:t>
      </w:r>
      <w:r>
        <w:tab/>
      </w:r>
      <w:r>
        <w:fldChar w:fldCharType="begin"/>
      </w:r>
      <w:r>
        <w:instrText xml:space="preserve"> PAGEREF _Toc90482820 \h </w:instrText>
      </w:r>
      <w:r>
        <w:fldChar w:fldCharType="separate"/>
      </w:r>
      <w:r>
        <w:t>68</w:t>
      </w:r>
      <w:r>
        <w:fldChar w:fldCharType="end"/>
      </w:r>
      <w:r>
        <w:fldChar w:fldCharType="end"/>
      </w:r>
    </w:p>
    <w:p>
      <w:pPr>
        <w:pStyle w:val="18"/>
        <w:tabs>
          <w:tab w:val="right" w:leader="dot" w:pos="8296"/>
        </w:tabs>
        <w:spacing w:line="360" w:lineRule="auto"/>
        <w:ind w:left="31680"/>
      </w:pPr>
      <w:r>
        <w:fldChar w:fldCharType="begin"/>
      </w:r>
      <w:r>
        <w:instrText xml:space="preserve"> HYPERLINK \l "_Toc90482821" </w:instrText>
      </w:r>
      <w:r>
        <w:fldChar w:fldCharType="separate"/>
      </w:r>
      <w:r>
        <w:rPr>
          <w:rStyle w:val="25"/>
          <w:rFonts w:ascii="Times New Roman" w:hAnsi="Times New Roman"/>
          <w:b/>
          <w:bCs/>
          <w:kern w:val="44"/>
        </w:rPr>
        <w:t xml:space="preserve">10.3 </w:t>
      </w:r>
      <w:r>
        <w:rPr>
          <w:rStyle w:val="25"/>
          <w:rFonts w:hint="eastAsia" w:ascii="Times New Roman" w:hAnsi="Times New Roman"/>
          <w:b/>
          <w:bCs/>
          <w:kern w:val="44"/>
        </w:rPr>
        <w:t>提供资金保障，构建奖励机制</w:t>
      </w:r>
      <w:r>
        <w:tab/>
      </w:r>
      <w:r>
        <w:fldChar w:fldCharType="begin"/>
      </w:r>
      <w:r>
        <w:instrText xml:space="preserve"> PAGEREF _Toc90482821 \h </w:instrText>
      </w:r>
      <w:r>
        <w:fldChar w:fldCharType="separate"/>
      </w:r>
      <w:r>
        <w:t>68</w:t>
      </w:r>
      <w:r>
        <w:fldChar w:fldCharType="end"/>
      </w:r>
      <w:r>
        <w:fldChar w:fldCharType="end"/>
      </w:r>
    </w:p>
    <w:p>
      <w:pPr>
        <w:pStyle w:val="18"/>
        <w:tabs>
          <w:tab w:val="right" w:leader="dot" w:pos="8296"/>
        </w:tabs>
        <w:spacing w:line="360" w:lineRule="auto"/>
        <w:ind w:left="31680"/>
      </w:pPr>
      <w:r>
        <w:fldChar w:fldCharType="begin"/>
      </w:r>
      <w:r>
        <w:instrText xml:space="preserve"> HYPERLINK \l "_Toc90482822" </w:instrText>
      </w:r>
      <w:r>
        <w:fldChar w:fldCharType="separate"/>
      </w:r>
      <w:r>
        <w:rPr>
          <w:rStyle w:val="25"/>
          <w:rFonts w:ascii="Times New Roman" w:hAnsi="Times New Roman"/>
          <w:b/>
          <w:bCs/>
          <w:kern w:val="44"/>
        </w:rPr>
        <w:t xml:space="preserve">10.4 </w:t>
      </w:r>
      <w:r>
        <w:rPr>
          <w:rStyle w:val="25"/>
          <w:rFonts w:hint="eastAsia" w:ascii="Times New Roman" w:hAnsi="Times New Roman"/>
          <w:b/>
          <w:bCs/>
          <w:kern w:val="44"/>
        </w:rPr>
        <w:t>扩大教育宣传，普及全民节水</w:t>
      </w:r>
      <w:r>
        <w:tab/>
      </w:r>
      <w:r>
        <w:fldChar w:fldCharType="begin"/>
      </w:r>
      <w:r>
        <w:instrText xml:space="preserve"> PAGEREF _Toc90482822 \h </w:instrText>
      </w:r>
      <w:r>
        <w:fldChar w:fldCharType="separate"/>
      </w:r>
      <w:r>
        <w:t>69</w:t>
      </w:r>
      <w:r>
        <w:fldChar w:fldCharType="end"/>
      </w:r>
      <w:r>
        <w:fldChar w:fldCharType="end"/>
      </w:r>
    </w:p>
    <w:p>
      <w:pPr>
        <w:pStyle w:val="18"/>
        <w:tabs>
          <w:tab w:val="right" w:leader="dot" w:pos="8296"/>
        </w:tabs>
        <w:spacing w:line="360" w:lineRule="auto"/>
        <w:ind w:left="31680"/>
      </w:pPr>
      <w:r>
        <w:fldChar w:fldCharType="begin"/>
      </w:r>
      <w:r>
        <w:instrText xml:space="preserve"> HYPERLINK \l "_Toc90482823" </w:instrText>
      </w:r>
      <w:r>
        <w:fldChar w:fldCharType="separate"/>
      </w:r>
      <w:r>
        <w:rPr>
          <w:rStyle w:val="25"/>
          <w:rFonts w:ascii="Times New Roman" w:hAnsi="Times New Roman"/>
          <w:b/>
          <w:bCs/>
          <w:kern w:val="44"/>
        </w:rPr>
        <w:t xml:space="preserve">10.5 </w:t>
      </w:r>
      <w:r>
        <w:rPr>
          <w:rStyle w:val="25"/>
          <w:rFonts w:hint="eastAsia" w:ascii="Times New Roman" w:hAnsi="Times New Roman"/>
          <w:b/>
          <w:bCs/>
          <w:kern w:val="44"/>
        </w:rPr>
        <w:t>推广节水技术，增强科技支撑</w:t>
      </w:r>
      <w:r>
        <w:tab/>
      </w:r>
      <w:r>
        <w:fldChar w:fldCharType="begin"/>
      </w:r>
      <w:r>
        <w:instrText xml:space="preserve"> PAGEREF _Toc90482823 \h </w:instrText>
      </w:r>
      <w:r>
        <w:fldChar w:fldCharType="separate"/>
      </w:r>
      <w:r>
        <w:t>69</w:t>
      </w:r>
      <w:r>
        <w:fldChar w:fldCharType="end"/>
      </w:r>
      <w:r>
        <w:fldChar w:fldCharType="end"/>
      </w:r>
    </w:p>
    <w:p>
      <w:pPr>
        <w:pStyle w:val="18"/>
        <w:tabs>
          <w:tab w:val="right" w:leader="dot" w:pos="8296"/>
        </w:tabs>
        <w:spacing w:line="360" w:lineRule="auto"/>
        <w:ind w:left="31680"/>
      </w:pPr>
      <w:r>
        <w:fldChar w:fldCharType="begin"/>
      </w:r>
      <w:r>
        <w:instrText xml:space="preserve"> HYPERLINK \l "_Toc90482824" </w:instrText>
      </w:r>
      <w:r>
        <w:fldChar w:fldCharType="separate"/>
      </w:r>
      <w:r>
        <w:rPr>
          <w:rStyle w:val="25"/>
          <w:rFonts w:ascii="Times New Roman" w:hAnsi="Times New Roman"/>
          <w:b/>
          <w:bCs/>
          <w:kern w:val="44"/>
        </w:rPr>
        <w:t xml:space="preserve">10.6 </w:t>
      </w:r>
      <w:r>
        <w:rPr>
          <w:rStyle w:val="25"/>
          <w:rFonts w:hint="eastAsia" w:ascii="Times New Roman" w:hAnsi="Times New Roman"/>
          <w:b/>
          <w:bCs/>
          <w:kern w:val="44"/>
        </w:rPr>
        <w:t>强化监督考核，建立督促机制</w:t>
      </w:r>
      <w:r>
        <w:tab/>
      </w:r>
      <w:r>
        <w:fldChar w:fldCharType="begin"/>
      </w:r>
      <w:r>
        <w:instrText xml:space="preserve"> PAGEREF _Toc90482824 \h </w:instrText>
      </w:r>
      <w:r>
        <w:fldChar w:fldCharType="separate"/>
      </w:r>
      <w:r>
        <w:t>70</w:t>
      </w:r>
      <w:r>
        <w:fldChar w:fldCharType="end"/>
      </w:r>
      <w:r>
        <w:fldChar w:fldCharType="end"/>
      </w:r>
    </w:p>
    <w:p>
      <w:pPr>
        <w:pStyle w:val="14"/>
        <w:tabs>
          <w:tab w:val="right" w:leader="dot" w:pos="8296"/>
        </w:tabs>
      </w:pPr>
      <w:r>
        <w:fldChar w:fldCharType="begin"/>
      </w:r>
      <w:r>
        <w:instrText xml:space="preserve"> HYPERLINK \l "_Toc90482825" </w:instrText>
      </w:r>
      <w:r>
        <w:fldChar w:fldCharType="separate"/>
      </w:r>
      <w:r>
        <w:rPr>
          <w:rStyle w:val="25"/>
          <w:rFonts w:hint="eastAsia" w:ascii="微软雅黑" w:hAnsi="微软雅黑" w:eastAsia="微软雅黑" w:cs="微软雅黑"/>
        </w:rPr>
        <w:t>附表</w:t>
      </w:r>
      <w:r>
        <w:tab/>
      </w:r>
      <w:r>
        <w:fldChar w:fldCharType="begin"/>
      </w:r>
      <w:r>
        <w:instrText xml:space="preserve"> PAGEREF _Toc90482825 \h </w:instrText>
      </w:r>
      <w:r>
        <w:fldChar w:fldCharType="separate"/>
      </w:r>
      <w:r>
        <w:t>71</w:t>
      </w:r>
      <w:r>
        <w:fldChar w:fldCharType="end"/>
      </w:r>
      <w:r>
        <w:fldChar w:fldCharType="end"/>
      </w:r>
    </w:p>
    <w:p>
      <w:pPr>
        <w:pStyle w:val="7"/>
        <w:tabs>
          <w:tab w:val="right" w:leader="dot" w:pos="8296"/>
        </w:tabs>
        <w:spacing w:line="440" w:lineRule="exact"/>
        <w:ind w:left="31680"/>
      </w:pPr>
      <w:r>
        <w:fldChar w:fldCharType="begin"/>
      </w:r>
      <w:r>
        <w:instrText xml:space="preserve"> HYPERLINK \l "_Toc90482826" </w:instrText>
      </w:r>
      <w:r>
        <w:fldChar w:fldCharType="separate"/>
      </w:r>
      <w:r>
        <w:rPr>
          <w:rStyle w:val="25"/>
          <w:rFonts w:hint="eastAsia" w:ascii="微软雅黑" w:hAnsi="微软雅黑" w:eastAsia="微软雅黑" w:cs="微软雅黑"/>
        </w:rPr>
        <w:t>附表</w:t>
      </w:r>
      <w:r>
        <w:rPr>
          <w:rStyle w:val="25"/>
          <w:rFonts w:ascii="微软雅黑" w:hAnsi="微软雅黑" w:eastAsia="微软雅黑" w:cs="微软雅黑"/>
        </w:rPr>
        <w:t xml:space="preserve"> 1 </w:t>
      </w:r>
      <w:r>
        <w:rPr>
          <w:rStyle w:val="25"/>
          <w:rFonts w:hint="eastAsia" w:ascii="微软雅黑" w:hAnsi="微软雅黑" w:eastAsia="微软雅黑" w:cs="微软雅黑"/>
        </w:rPr>
        <w:t>渝北区“十四五”供水管网改造工程</w:t>
      </w:r>
      <w:r>
        <w:tab/>
      </w:r>
      <w:r>
        <w:fldChar w:fldCharType="begin"/>
      </w:r>
      <w:r>
        <w:instrText xml:space="preserve"> PAGEREF _Toc90482826 \h </w:instrText>
      </w:r>
      <w:r>
        <w:fldChar w:fldCharType="separate"/>
      </w:r>
      <w:r>
        <w:t>71</w:t>
      </w:r>
      <w:r>
        <w:fldChar w:fldCharType="end"/>
      </w:r>
      <w:r>
        <w:fldChar w:fldCharType="end"/>
      </w:r>
    </w:p>
    <w:p>
      <w:pPr>
        <w:pStyle w:val="7"/>
        <w:tabs>
          <w:tab w:val="right" w:leader="dot" w:pos="8296"/>
        </w:tabs>
        <w:spacing w:line="440" w:lineRule="exact"/>
        <w:ind w:left="31680"/>
      </w:pPr>
      <w:r>
        <w:fldChar w:fldCharType="begin"/>
      </w:r>
      <w:r>
        <w:instrText xml:space="preserve"> HYPERLINK \l "_Toc90482827" </w:instrText>
      </w:r>
      <w:r>
        <w:fldChar w:fldCharType="separate"/>
      </w:r>
      <w:r>
        <w:rPr>
          <w:rStyle w:val="25"/>
          <w:rFonts w:hint="eastAsia" w:ascii="微软雅黑" w:hAnsi="微软雅黑" w:eastAsia="微软雅黑" w:cs="微软雅黑"/>
        </w:rPr>
        <w:t>附表</w:t>
      </w:r>
      <w:r>
        <w:rPr>
          <w:rStyle w:val="25"/>
          <w:rFonts w:ascii="微软雅黑" w:hAnsi="微软雅黑" w:eastAsia="微软雅黑" w:cs="微软雅黑"/>
        </w:rPr>
        <w:t xml:space="preserve"> 2 </w:t>
      </w:r>
      <w:r>
        <w:rPr>
          <w:rStyle w:val="25"/>
          <w:rFonts w:hint="eastAsia" w:ascii="微软雅黑" w:hAnsi="微软雅黑" w:eastAsia="微软雅黑" w:cs="微软雅黑"/>
        </w:rPr>
        <w:t>渝北区“十四五”村镇供水管网改造工程</w:t>
      </w:r>
      <w:r>
        <w:tab/>
      </w:r>
      <w:r>
        <w:fldChar w:fldCharType="begin"/>
      </w:r>
      <w:r>
        <w:instrText xml:space="preserve"> PAGEREF _Toc90482827 \h </w:instrText>
      </w:r>
      <w:r>
        <w:fldChar w:fldCharType="separate"/>
      </w:r>
      <w:r>
        <w:t>74</w:t>
      </w:r>
      <w:r>
        <w:fldChar w:fldCharType="end"/>
      </w:r>
      <w:r>
        <w:fldChar w:fldCharType="end"/>
      </w:r>
    </w:p>
    <w:p>
      <w:pPr>
        <w:pStyle w:val="7"/>
        <w:tabs>
          <w:tab w:val="right" w:leader="dot" w:pos="8296"/>
        </w:tabs>
        <w:spacing w:line="440" w:lineRule="exact"/>
        <w:ind w:left="31680"/>
      </w:pPr>
      <w:r>
        <w:fldChar w:fldCharType="begin"/>
      </w:r>
      <w:r>
        <w:instrText xml:space="preserve"> HYPERLINK \l "_Toc90482828" </w:instrText>
      </w:r>
      <w:r>
        <w:fldChar w:fldCharType="separate"/>
      </w:r>
      <w:r>
        <w:rPr>
          <w:rStyle w:val="25"/>
          <w:rFonts w:hint="eastAsia" w:ascii="微软雅黑" w:hAnsi="微软雅黑" w:eastAsia="微软雅黑" w:cs="微软雅黑"/>
        </w:rPr>
        <w:t>附表</w:t>
      </w:r>
      <w:r>
        <w:rPr>
          <w:rStyle w:val="25"/>
          <w:rFonts w:ascii="微软雅黑" w:hAnsi="微软雅黑" w:eastAsia="微软雅黑" w:cs="微软雅黑"/>
        </w:rPr>
        <w:t xml:space="preserve"> 3 </w:t>
      </w:r>
      <w:r>
        <w:rPr>
          <w:rStyle w:val="25"/>
          <w:rFonts w:hint="eastAsia" w:ascii="微软雅黑" w:hAnsi="微软雅黑" w:eastAsia="微软雅黑" w:cs="微软雅黑"/>
        </w:rPr>
        <w:t>渝北区“十四五”农业节水灌溉工程</w:t>
      </w:r>
      <w:r>
        <w:tab/>
      </w:r>
      <w:r>
        <w:fldChar w:fldCharType="begin"/>
      </w:r>
      <w:r>
        <w:instrText xml:space="preserve"> PAGEREF _Toc90482828 \h </w:instrText>
      </w:r>
      <w:r>
        <w:fldChar w:fldCharType="separate"/>
      </w:r>
      <w:r>
        <w:t>77</w:t>
      </w:r>
      <w:r>
        <w:fldChar w:fldCharType="end"/>
      </w:r>
      <w:r>
        <w:fldChar w:fldCharType="end"/>
      </w:r>
    </w:p>
    <w:p>
      <w:pPr>
        <w:pStyle w:val="7"/>
        <w:tabs>
          <w:tab w:val="right" w:leader="dot" w:pos="8296"/>
        </w:tabs>
        <w:spacing w:line="440" w:lineRule="exact"/>
        <w:ind w:left="31680"/>
      </w:pPr>
      <w:r>
        <w:fldChar w:fldCharType="begin"/>
      </w:r>
      <w:r>
        <w:instrText xml:space="preserve"> HYPERLINK \l "_Toc90482829" </w:instrText>
      </w:r>
      <w:r>
        <w:fldChar w:fldCharType="separate"/>
      </w:r>
      <w:r>
        <w:rPr>
          <w:rStyle w:val="25"/>
          <w:rFonts w:hint="eastAsia" w:ascii="微软雅黑" w:hAnsi="微软雅黑" w:eastAsia="微软雅黑" w:cs="微软雅黑"/>
        </w:rPr>
        <w:t>附表</w:t>
      </w:r>
      <w:r>
        <w:rPr>
          <w:rStyle w:val="25"/>
          <w:rFonts w:ascii="微软雅黑" w:hAnsi="微软雅黑" w:eastAsia="微软雅黑" w:cs="微软雅黑"/>
        </w:rPr>
        <w:t xml:space="preserve"> 4 </w:t>
      </w:r>
      <w:r>
        <w:rPr>
          <w:rStyle w:val="25"/>
          <w:rFonts w:hint="eastAsia" w:ascii="微软雅黑" w:hAnsi="微软雅黑" w:eastAsia="微软雅黑" w:cs="微软雅黑"/>
        </w:rPr>
        <w:t>重庆市“十四五”海绵城市建设工程</w:t>
      </w:r>
      <w:r>
        <w:tab/>
      </w:r>
      <w:r>
        <w:fldChar w:fldCharType="begin"/>
      </w:r>
      <w:r>
        <w:instrText xml:space="preserve"> PAGEREF _Toc90482829 \h </w:instrText>
      </w:r>
      <w:r>
        <w:fldChar w:fldCharType="separate"/>
      </w:r>
      <w:r>
        <w:t>78</w:t>
      </w:r>
      <w:r>
        <w:fldChar w:fldCharType="end"/>
      </w:r>
      <w:r>
        <w:fldChar w:fldCharType="end"/>
      </w:r>
    </w:p>
    <w:p>
      <w:pPr>
        <w:pStyle w:val="7"/>
        <w:tabs>
          <w:tab w:val="right" w:leader="dot" w:pos="8296"/>
        </w:tabs>
        <w:spacing w:line="440" w:lineRule="exact"/>
        <w:ind w:left="31680"/>
      </w:pPr>
      <w:r>
        <w:fldChar w:fldCharType="begin"/>
      </w:r>
      <w:r>
        <w:instrText xml:space="preserve"> HYPERLINK \l "_Toc90482830" </w:instrText>
      </w:r>
      <w:r>
        <w:fldChar w:fldCharType="separate"/>
      </w:r>
      <w:r>
        <w:rPr>
          <w:rStyle w:val="25"/>
          <w:rFonts w:hint="eastAsia" w:ascii="微软雅黑" w:hAnsi="微软雅黑" w:eastAsia="微软雅黑" w:cs="微软雅黑"/>
        </w:rPr>
        <w:t>附表</w:t>
      </w:r>
      <w:r>
        <w:rPr>
          <w:rStyle w:val="25"/>
          <w:rFonts w:ascii="微软雅黑" w:hAnsi="微软雅黑" w:eastAsia="微软雅黑" w:cs="微软雅黑"/>
        </w:rPr>
        <w:t xml:space="preserve"> 5 </w:t>
      </w:r>
      <w:r>
        <w:rPr>
          <w:rStyle w:val="25"/>
          <w:rFonts w:hint="eastAsia" w:ascii="微软雅黑" w:hAnsi="微软雅黑" w:eastAsia="微软雅黑" w:cs="微软雅黑"/>
        </w:rPr>
        <w:t>渝北区“十四五”能力建设项目</w:t>
      </w:r>
      <w:r>
        <w:tab/>
      </w:r>
      <w:r>
        <w:fldChar w:fldCharType="begin"/>
      </w:r>
      <w:r>
        <w:instrText xml:space="preserve"> PAGEREF _Toc90482830 \h </w:instrText>
      </w:r>
      <w:r>
        <w:fldChar w:fldCharType="separate"/>
      </w:r>
      <w:r>
        <w:t>81</w:t>
      </w:r>
      <w:r>
        <w:fldChar w:fldCharType="end"/>
      </w:r>
      <w:r>
        <w:fldChar w:fldCharType="end"/>
      </w:r>
    </w:p>
    <w:p>
      <w:pPr>
        <w:pStyle w:val="7"/>
        <w:tabs>
          <w:tab w:val="right" w:leader="dot" w:pos="8296"/>
        </w:tabs>
        <w:spacing w:line="440" w:lineRule="exact"/>
        <w:ind w:left="31680"/>
      </w:pPr>
      <w:r>
        <w:fldChar w:fldCharType="begin"/>
      </w:r>
      <w:r>
        <w:instrText xml:space="preserve"> HYPERLINK \l "_Toc90482831" </w:instrText>
      </w:r>
      <w:r>
        <w:fldChar w:fldCharType="separate"/>
      </w:r>
      <w:r>
        <w:rPr>
          <w:rStyle w:val="25"/>
          <w:rFonts w:hint="eastAsia" w:ascii="微软雅黑" w:hAnsi="微软雅黑" w:eastAsia="微软雅黑" w:cs="微软雅黑"/>
        </w:rPr>
        <w:t>附表</w:t>
      </w:r>
      <w:r>
        <w:rPr>
          <w:rStyle w:val="25"/>
          <w:rFonts w:ascii="微软雅黑" w:hAnsi="微软雅黑" w:eastAsia="微软雅黑" w:cs="微软雅黑"/>
        </w:rPr>
        <w:t xml:space="preserve"> 6 </w:t>
      </w:r>
      <w:r>
        <w:rPr>
          <w:rStyle w:val="25"/>
          <w:rFonts w:hint="eastAsia" w:ascii="微软雅黑" w:hAnsi="微软雅黑" w:eastAsia="微软雅黑" w:cs="微软雅黑"/>
        </w:rPr>
        <w:t>渝北区“十四五”节水载体创建</w:t>
      </w:r>
      <w:r>
        <w:tab/>
      </w:r>
      <w:r>
        <w:fldChar w:fldCharType="begin"/>
      </w:r>
      <w:r>
        <w:instrText xml:space="preserve"> PAGEREF _Toc90482831 \h </w:instrText>
      </w:r>
      <w:r>
        <w:fldChar w:fldCharType="separate"/>
      </w:r>
      <w:r>
        <w:t>82</w:t>
      </w:r>
      <w:r>
        <w:fldChar w:fldCharType="end"/>
      </w:r>
      <w:r>
        <w:fldChar w:fldCharType="end"/>
      </w:r>
    </w:p>
    <w:p>
      <w:pPr>
        <w:pStyle w:val="7"/>
        <w:tabs>
          <w:tab w:val="right" w:leader="dot" w:pos="8296"/>
        </w:tabs>
        <w:spacing w:line="440" w:lineRule="exact"/>
        <w:ind w:left="31680"/>
      </w:pPr>
      <w:r>
        <w:fldChar w:fldCharType="begin"/>
      </w:r>
      <w:r>
        <w:instrText xml:space="preserve"> HYPERLINK \l "_Toc90482832" </w:instrText>
      </w:r>
      <w:r>
        <w:fldChar w:fldCharType="separate"/>
      </w:r>
      <w:r>
        <w:rPr>
          <w:rStyle w:val="25"/>
          <w:rFonts w:hint="eastAsia" w:ascii="微软雅黑" w:hAnsi="微软雅黑" w:eastAsia="微软雅黑" w:cs="微软雅黑"/>
        </w:rPr>
        <w:t>附表</w:t>
      </w:r>
      <w:r>
        <w:rPr>
          <w:rStyle w:val="25"/>
          <w:rFonts w:ascii="微软雅黑" w:hAnsi="微软雅黑" w:eastAsia="微软雅黑" w:cs="微软雅黑"/>
        </w:rPr>
        <w:t xml:space="preserve"> 7 </w:t>
      </w:r>
      <w:r>
        <w:rPr>
          <w:rStyle w:val="25"/>
          <w:rFonts w:hint="eastAsia" w:ascii="微软雅黑" w:hAnsi="微软雅黑" w:eastAsia="微软雅黑" w:cs="微软雅黑"/>
        </w:rPr>
        <w:t>渝北区“十四五”期间节水资金估算汇总表</w:t>
      </w:r>
      <w:r>
        <w:tab/>
      </w:r>
      <w:r>
        <w:fldChar w:fldCharType="begin"/>
      </w:r>
      <w:r>
        <w:instrText xml:space="preserve"> PAGEREF _Toc90482832 \h </w:instrText>
      </w:r>
      <w:r>
        <w:fldChar w:fldCharType="separate"/>
      </w:r>
      <w:r>
        <w:t>83</w:t>
      </w:r>
      <w:r>
        <w:fldChar w:fldCharType="end"/>
      </w:r>
      <w:r>
        <w:fldChar w:fldCharType="end"/>
      </w:r>
    </w:p>
    <w:p>
      <w:pPr>
        <w:pStyle w:val="14"/>
        <w:tabs>
          <w:tab w:val="right" w:leader="dot" w:pos="8296"/>
        </w:tabs>
        <w:spacing w:line="440" w:lineRule="exact"/>
      </w:pPr>
      <w:r>
        <w:fldChar w:fldCharType="begin"/>
      </w:r>
      <w:r>
        <w:instrText xml:space="preserve"> HYPERLINK \l "_Toc90482833" </w:instrText>
      </w:r>
      <w:r>
        <w:fldChar w:fldCharType="separate"/>
      </w:r>
      <w:r>
        <w:rPr>
          <w:rStyle w:val="25"/>
          <w:rFonts w:hint="eastAsia" w:ascii="微软雅黑" w:hAnsi="微软雅黑" w:eastAsia="微软雅黑" w:cs="微软雅黑"/>
        </w:rPr>
        <w:t>附图</w:t>
      </w:r>
      <w:r>
        <w:tab/>
      </w:r>
      <w:r>
        <w:fldChar w:fldCharType="begin"/>
      </w:r>
      <w:r>
        <w:instrText xml:space="preserve"> PAGEREF _Toc90482833 \h </w:instrText>
      </w:r>
      <w:r>
        <w:fldChar w:fldCharType="separate"/>
      </w:r>
      <w:r>
        <w:t>85</w:t>
      </w:r>
      <w:r>
        <w:fldChar w:fldCharType="end"/>
      </w:r>
      <w:r>
        <w:fldChar w:fldCharType="end"/>
      </w:r>
    </w:p>
    <w:p>
      <w:pPr>
        <w:pStyle w:val="7"/>
        <w:tabs>
          <w:tab w:val="right" w:leader="dot" w:pos="8296"/>
        </w:tabs>
        <w:spacing w:line="440" w:lineRule="exact"/>
        <w:ind w:left="31680"/>
      </w:pPr>
      <w:r>
        <w:fldChar w:fldCharType="begin"/>
      </w:r>
      <w:r>
        <w:instrText xml:space="preserve"> HYPERLINK \l "_Toc90482834" </w:instrText>
      </w:r>
      <w:r>
        <w:fldChar w:fldCharType="separate"/>
      </w:r>
      <w:r>
        <w:rPr>
          <w:rStyle w:val="25"/>
          <w:rFonts w:hint="eastAsia" w:ascii="微软雅黑" w:hAnsi="微软雅黑" w:eastAsia="微软雅黑" w:cs="微软雅黑"/>
        </w:rPr>
        <w:t>附图</w:t>
      </w:r>
      <w:r>
        <w:rPr>
          <w:rStyle w:val="25"/>
          <w:rFonts w:ascii="微软雅黑" w:hAnsi="微软雅黑" w:eastAsia="微软雅黑" w:cs="微软雅黑"/>
        </w:rPr>
        <w:t xml:space="preserve">1 </w:t>
      </w:r>
      <w:r>
        <w:rPr>
          <w:rStyle w:val="25"/>
          <w:rFonts w:hint="eastAsia" w:ascii="微软雅黑" w:hAnsi="微软雅黑" w:eastAsia="微软雅黑" w:cs="微软雅黑"/>
        </w:rPr>
        <w:t>渝北区“十四五”节水工程分布图</w:t>
      </w:r>
      <w:r>
        <w:tab/>
      </w:r>
      <w:r>
        <w:fldChar w:fldCharType="begin"/>
      </w:r>
      <w:r>
        <w:instrText xml:space="preserve"> PAGEREF _Toc90482834 \h </w:instrText>
      </w:r>
      <w:r>
        <w:fldChar w:fldCharType="separate"/>
      </w:r>
      <w:r>
        <w:t>85</w:t>
      </w:r>
      <w:r>
        <w:fldChar w:fldCharType="end"/>
      </w:r>
      <w:r>
        <w:fldChar w:fldCharType="end"/>
      </w:r>
    </w:p>
    <w:p>
      <w:pPr>
        <w:pStyle w:val="47"/>
        <w:tabs>
          <w:tab w:val="right" w:leader="dot" w:pos="8306"/>
        </w:tabs>
        <w:spacing w:line="360" w:lineRule="auto"/>
        <w:rPr>
          <w:rFonts w:ascii="Times New Roman" w:hAnsi="Times New Roman"/>
          <w:b/>
          <w:bCs/>
          <w:color w:val="0070C0"/>
          <w:kern w:val="44"/>
          <w:szCs w:val="36"/>
        </w:rPr>
        <w:sectPr>
          <w:footerReference r:id="rId3" w:type="default"/>
          <w:pgSz w:w="11906" w:h="16838"/>
          <w:pgMar w:top="1440" w:right="1800" w:bottom="1440" w:left="1800" w:header="851" w:footer="992" w:gutter="0"/>
          <w:cols w:space="425" w:num="1"/>
          <w:docGrid w:type="lines" w:linePitch="312" w:charSpace="0"/>
        </w:sectPr>
      </w:pPr>
      <w:r>
        <w:rPr>
          <w:rFonts w:ascii="Times New Roman" w:hAnsi="Times New Roman"/>
          <w:bCs/>
          <w:color w:val="0070C0"/>
          <w:kern w:val="44"/>
          <w:sz w:val="28"/>
          <w:szCs w:val="28"/>
        </w:rPr>
        <w:fldChar w:fldCharType="end"/>
      </w:r>
    </w:p>
    <w:p>
      <w:pPr>
        <w:keepNext/>
        <w:keepLines/>
        <w:spacing w:before="340" w:after="330" w:line="576" w:lineRule="auto"/>
        <w:ind w:firstLine="723" w:firstLineChars="200"/>
        <w:jc w:val="center"/>
        <w:outlineLvl w:val="0"/>
        <w:rPr>
          <w:rFonts w:ascii="Times New Roman" w:hAnsi="Times New Roman"/>
          <w:b/>
          <w:bCs/>
          <w:kern w:val="44"/>
          <w:sz w:val="36"/>
          <w:szCs w:val="36"/>
        </w:rPr>
      </w:pPr>
      <w:bookmarkStart w:id="0" w:name="_Toc90482745"/>
      <w:r>
        <w:rPr>
          <w:rFonts w:hint="eastAsia" w:ascii="Times New Roman" w:hAnsi="Times New Roman"/>
          <w:b/>
          <w:bCs/>
          <w:kern w:val="44"/>
          <w:sz w:val="36"/>
          <w:szCs w:val="36"/>
        </w:rPr>
        <w:t>前言</w:t>
      </w:r>
      <w:bookmarkEnd w:id="0"/>
    </w:p>
    <w:p>
      <w:pPr>
        <w:adjustRightInd w:val="0"/>
        <w:snapToGrid w:val="0"/>
        <w:spacing w:line="594" w:lineRule="exact"/>
        <w:ind w:firstLine="560" w:firstLineChars="200"/>
        <w:rPr>
          <w:rFonts w:ascii="Times New Roman" w:hAnsi="Times New Roman"/>
          <w:sz w:val="28"/>
          <w:szCs w:val="28"/>
          <w:lang w:val="zh-CN"/>
        </w:rPr>
      </w:pPr>
      <w:r>
        <w:rPr>
          <w:rFonts w:hint="eastAsia" w:ascii="Times New Roman" w:hAnsi="Times New Roman"/>
          <w:sz w:val="28"/>
          <w:szCs w:val="28"/>
          <w:lang w:val="zh-CN"/>
        </w:rPr>
        <w:t>党的十八大以来，以习近平同志为核心的党中央高度重视水利工作。习近平总书记多次就治水发表重要讲话、作出重要指示，明确提出</w:t>
      </w:r>
      <w:r>
        <w:rPr>
          <w:rFonts w:ascii="Times New Roman" w:hAnsi="Times New Roman"/>
          <w:sz w:val="28"/>
          <w:szCs w:val="28"/>
          <w:lang w:val="zh-CN"/>
        </w:rPr>
        <w:t>“</w:t>
      </w:r>
      <w:r>
        <w:rPr>
          <w:rFonts w:hint="eastAsia" w:ascii="Times New Roman" w:hAnsi="Times New Roman"/>
          <w:sz w:val="28"/>
          <w:szCs w:val="28"/>
          <w:lang w:val="zh-CN"/>
        </w:rPr>
        <w:t>节水优先、空间均衡、系统治理、两手发力</w:t>
      </w:r>
      <w:r>
        <w:rPr>
          <w:rFonts w:ascii="Times New Roman" w:hAnsi="Times New Roman"/>
          <w:sz w:val="28"/>
          <w:szCs w:val="28"/>
          <w:lang w:val="zh-CN"/>
        </w:rPr>
        <w:t>”</w:t>
      </w:r>
      <w:r>
        <w:rPr>
          <w:rFonts w:hint="eastAsia" w:ascii="Times New Roman" w:hAnsi="Times New Roman"/>
          <w:sz w:val="28"/>
          <w:szCs w:val="28"/>
          <w:lang w:val="zh-CN"/>
        </w:rPr>
        <w:t>的治水思路，为推进新时代治水提供了科学指南和根本遵循。</w:t>
      </w:r>
    </w:p>
    <w:p>
      <w:pPr>
        <w:adjustRightInd w:val="0"/>
        <w:snapToGrid w:val="0"/>
        <w:spacing w:line="594" w:lineRule="exact"/>
        <w:ind w:firstLine="560" w:firstLineChars="200"/>
        <w:rPr>
          <w:rFonts w:ascii="Times New Roman" w:hAnsi="Times New Roman"/>
          <w:sz w:val="28"/>
          <w:szCs w:val="28"/>
          <w:lang w:val="zh-CN"/>
        </w:rPr>
      </w:pPr>
      <w:r>
        <w:rPr>
          <w:rFonts w:hint="eastAsia" w:ascii="Times New Roman" w:hAnsi="Times New Roman"/>
          <w:sz w:val="28"/>
          <w:szCs w:val="28"/>
          <w:lang w:val="zh-CN"/>
        </w:rPr>
        <w:t>重庆市紧跟国家节水指示，颁布了《重庆市城市供水节水管理条例》、《重庆市水资源管理条例》、《重庆市节约用水管理办法（试行）》等法规规章，对用水总量控制，用水效率控制，水资源管理责任和考核制度等方面进行了规定。印发《重庆市节水行动实施方案》，将节水工作任务进行分解，并落实到各个行业各部门。</w:t>
      </w:r>
    </w:p>
    <w:p>
      <w:pPr>
        <w:adjustRightInd w:val="0"/>
        <w:snapToGrid w:val="0"/>
        <w:spacing w:line="594" w:lineRule="exact"/>
        <w:ind w:firstLine="560" w:firstLineChars="200"/>
        <w:rPr>
          <w:rFonts w:ascii="Times New Roman" w:hAnsi="Times New Roman"/>
          <w:sz w:val="28"/>
          <w:szCs w:val="28"/>
          <w:lang w:val="zh-CN"/>
        </w:rPr>
      </w:pPr>
      <w:r>
        <w:rPr>
          <w:rFonts w:hint="eastAsia" w:ascii="Times New Roman" w:hAnsi="Times New Roman"/>
          <w:sz w:val="28"/>
          <w:szCs w:val="28"/>
          <w:lang w:val="zh-CN"/>
        </w:rPr>
        <w:t>重庆市渝北区委、区政府一直非常重视节水工作，把节约用水作为一项基本政策。为深入贯彻节水优先思路，顺利推动渝北区节水工作，渝北区印发《重庆市渝北区节水行动实施方案》，确定地区节水目标，加强节水管理等措施，使渝北区近年来节水工作有了长足进步，但也存在一些问题有待解决。结合渝北区节水工作现状，进行综合分析，提出渝北区</w:t>
      </w:r>
      <w:r>
        <w:rPr>
          <w:rFonts w:ascii="Times New Roman" w:hAnsi="Times New Roman"/>
          <w:sz w:val="28"/>
          <w:szCs w:val="28"/>
          <w:lang w:val="zh-CN"/>
        </w:rPr>
        <w:t>“</w:t>
      </w:r>
      <w:r>
        <w:rPr>
          <w:rFonts w:hint="eastAsia" w:ascii="Times New Roman" w:hAnsi="Times New Roman"/>
          <w:sz w:val="28"/>
          <w:szCs w:val="28"/>
          <w:lang w:val="zh-CN"/>
        </w:rPr>
        <w:t>十四五</w:t>
      </w:r>
      <w:r>
        <w:rPr>
          <w:rFonts w:ascii="Times New Roman" w:hAnsi="Times New Roman"/>
          <w:sz w:val="28"/>
          <w:szCs w:val="28"/>
          <w:lang w:val="zh-CN"/>
        </w:rPr>
        <w:t>”</w:t>
      </w:r>
      <w:r>
        <w:rPr>
          <w:rFonts w:hint="eastAsia" w:ascii="Times New Roman" w:hAnsi="Times New Roman"/>
          <w:sz w:val="28"/>
          <w:szCs w:val="28"/>
          <w:lang w:val="zh-CN"/>
        </w:rPr>
        <w:t>节水工作重点，进一步加快建设节水型社会，促进节水型城市的创建。</w:t>
      </w:r>
    </w:p>
    <w:p>
      <w:pPr>
        <w:adjustRightInd w:val="0"/>
        <w:snapToGrid w:val="0"/>
        <w:spacing w:line="594" w:lineRule="exact"/>
        <w:ind w:firstLine="560" w:firstLineChars="200"/>
        <w:rPr>
          <w:rFonts w:ascii="Times New Roman" w:hAnsi="Times New Roman"/>
          <w:sz w:val="28"/>
          <w:szCs w:val="28"/>
          <w:lang w:val="zh-CN"/>
        </w:rPr>
        <w:sectPr>
          <w:pgSz w:w="11906" w:h="16838"/>
          <w:pgMar w:top="1440" w:right="1800" w:bottom="1440" w:left="1800" w:header="851" w:footer="992" w:gutter="0"/>
          <w:cols w:space="425" w:num="1"/>
          <w:docGrid w:type="lines" w:linePitch="312" w:charSpace="0"/>
        </w:sectPr>
      </w:pPr>
    </w:p>
    <w:p>
      <w:pPr>
        <w:keepNext/>
        <w:keepLines/>
        <w:spacing w:before="340" w:after="330" w:line="576" w:lineRule="auto"/>
        <w:ind w:firstLine="420" w:firstLineChars="200"/>
        <w:jc w:val="center"/>
        <w:outlineLvl w:val="0"/>
        <w:rPr>
          <w:rFonts w:ascii="Times New Roman" w:hAnsi="Times New Roman"/>
          <w:b/>
          <w:bCs/>
          <w:color w:val="000000"/>
          <w:kern w:val="44"/>
          <w:sz w:val="36"/>
          <w:szCs w:val="36"/>
        </w:rPr>
      </w:pPr>
      <w:r>
        <w:fldChar w:fldCharType="begin"/>
      </w:r>
      <w:r>
        <w:instrText xml:space="preserve"> HYPERLINK \l "_Toc175629471" </w:instrText>
      </w:r>
      <w:r>
        <w:fldChar w:fldCharType="separate"/>
      </w:r>
      <w:bookmarkStart w:id="1" w:name="_Toc90482746"/>
      <w:r>
        <w:rPr>
          <w:rFonts w:ascii="Times New Roman" w:hAnsi="Times New Roman"/>
          <w:b/>
          <w:bCs/>
          <w:color w:val="000000"/>
          <w:kern w:val="44"/>
          <w:sz w:val="36"/>
          <w:szCs w:val="36"/>
        </w:rPr>
        <w:t xml:space="preserve">1 </w:t>
      </w:r>
      <w:r>
        <w:rPr>
          <w:rFonts w:hint="eastAsia" w:ascii="Times New Roman" w:hAnsi="Times New Roman"/>
          <w:b/>
          <w:bCs/>
          <w:color w:val="000000"/>
          <w:kern w:val="44"/>
          <w:sz w:val="36"/>
          <w:szCs w:val="36"/>
        </w:rPr>
        <w:t>区域概况</w:t>
      </w:r>
      <w:bookmarkEnd w:id="1"/>
      <w:r>
        <w:rPr>
          <w:rFonts w:hint="eastAsia" w:ascii="Times New Roman" w:hAnsi="Times New Roman"/>
          <w:b/>
          <w:bCs/>
          <w:color w:val="000000"/>
          <w:kern w:val="44"/>
          <w:sz w:val="36"/>
          <w:szCs w:val="36"/>
        </w:rPr>
        <w:fldChar w:fldCharType="end"/>
      </w:r>
    </w:p>
    <w:p>
      <w:pPr>
        <w:keepNext/>
        <w:keepLines/>
        <w:spacing w:before="260" w:after="260" w:line="413" w:lineRule="auto"/>
        <w:ind w:firstLine="281" w:firstLineChars="100"/>
        <w:outlineLvl w:val="1"/>
        <w:rPr>
          <w:rFonts w:ascii="Times New Roman" w:hAnsi="Times New Roman"/>
          <w:b/>
          <w:bCs/>
          <w:color w:val="000000"/>
          <w:kern w:val="44"/>
          <w:sz w:val="28"/>
          <w:szCs w:val="28"/>
        </w:rPr>
      </w:pPr>
      <w:bookmarkStart w:id="2" w:name="_Toc90482747"/>
      <w:r>
        <w:rPr>
          <w:rFonts w:ascii="Times New Roman" w:hAnsi="Times New Roman"/>
          <w:b/>
          <w:bCs/>
          <w:color w:val="000000"/>
          <w:kern w:val="44"/>
          <w:sz w:val="28"/>
          <w:szCs w:val="28"/>
        </w:rPr>
        <w:t xml:space="preserve">1.1 </w:t>
      </w:r>
      <w:r>
        <w:rPr>
          <w:rFonts w:hint="eastAsia" w:ascii="Times New Roman" w:hAnsi="Times New Roman"/>
          <w:b/>
          <w:bCs/>
          <w:color w:val="000000"/>
          <w:kern w:val="44"/>
          <w:sz w:val="28"/>
          <w:szCs w:val="28"/>
        </w:rPr>
        <w:t>自然地理概况</w:t>
      </w:r>
      <w:bookmarkEnd w:id="2"/>
    </w:p>
    <w:p>
      <w:pPr>
        <w:keepNext/>
        <w:keepLines/>
        <w:spacing w:before="260" w:after="260" w:line="413" w:lineRule="auto"/>
        <w:ind w:firstLine="560" w:firstLineChars="200"/>
        <w:outlineLvl w:val="2"/>
        <w:rPr>
          <w:rFonts w:ascii="Times New Roman" w:hAnsi="Times New Roman" w:eastAsia="黑体"/>
          <w:color w:val="000000"/>
          <w:sz w:val="28"/>
          <w:szCs w:val="24"/>
        </w:rPr>
      </w:pPr>
      <w:bookmarkStart w:id="3" w:name="_Toc30468"/>
      <w:bookmarkStart w:id="4" w:name="_Toc30761"/>
      <w:bookmarkStart w:id="5" w:name="_Toc90482748"/>
      <w:r>
        <w:rPr>
          <w:rFonts w:ascii="Times New Roman" w:hAnsi="Times New Roman" w:eastAsia="黑体"/>
          <w:color w:val="000000"/>
          <w:sz w:val="28"/>
          <w:szCs w:val="24"/>
        </w:rPr>
        <w:t xml:space="preserve">1.1.1 </w:t>
      </w:r>
      <w:r>
        <w:rPr>
          <w:rFonts w:hint="eastAsia" w:ascii="Times New Roman" w:hAnsi="Times New Roman" w:eastAsia="黑体"/>
          <w:color w:val="000000"/>
          <w:sz w:val="28"/>
          <w:szCs w:val="24"/>
        </w:rPr>
        <w:t>地理位置</w:t>
      </w:r>
      <w:bookmarkEnd w:id="3"/>
      <w:bookmarkEnd w:id="4"/>
      <w:bookmarkEnd w:id="5"/>
    </w:p>
    <w:p>
      <w:pPr>
        <w:spacing w:line="600" w:lineRule="exact"/>
        <w:ind w:firstLine="560" w:firstLineChars="200"/>
        <w:rPr>
          <w:rFonts w:ascii="Times New Roman" w:hAnsi="Times New Roman"/>
          <w:color w:val="000000"/>
          <w:sz w:val="28"/>
          <w:szCs w:val="28"/>
        </w:rPr>
      </w:pPr>
      <w:r>
        <w:rPr>
          <w:rFonts w:hint="eastAsia" w:ascii="Times New Roman" w:hAnsi="Times New Roman"/>
          <w:color w:val="000000"/>
          <w:sz w:val="28"/>
          <w:szCs w:val="28"/>
        </w:rPr>
        <w:t>渝北区地处四川盆地东部，位于重庆主城北部的华蓥山主峰以南嘉陵江东岸，长江北岸的三角地带，地跨东经</w:t>
      </w:r>
      <w:r>
        <w:rPr>
          <w:rFonts w:ascii="Times New Roman" w:hAnsi="Times New Roman"/>
          <w:color w:val="000000"/>
          <w:sz w:val="28"/>
          <w:szCs w:val="28"/>
        </w:rPr>
        <w:t>106°27′30″~106°57′58″</w:t>
      </w:r>
      <w:r>
        <w:rPr>
          <w:rFonts w:hint="eastAsia" w:ascii="Times New Roman" w:hAnsi="Times New Roman"/>
          <w:color w:val="000000"/>
          <w:sz w:val="28"/>
          <w:szCs w:val="28"/>
        </w:rPr>
        <w:t>、北纬</w:t>
      </w:r>
      <w:r>
        <w:rPr>
          <w:rFonts w:ascii="Times New Roman" w:hAnsi="Times New Roman"/>
          <w:color w:val="000000"/>
          <w:sz w:val="28"/>
          <w:szCs w:val="28"/>
        </w:rPr>
        <w:t>29°34′45″</w:t>
      </w:r>
      <w:r>
        <w:rPr>
          <w:rFonts w:hint="eastAsia" w:ascii="Times New Roman" w:hAnsi="Times New Roman"/>
          <w:color w:val="000000"/>
          <w:sz w:val="28"/>
          <w:szCs w:val="28"/>
        </w:rPr>
        <w:t>～</w:t>
      </w:r>
      <w:r>
        <w:rPr>
          <w:rFonts w:ascii="Times New Roman" w:hAnsi="Times New Roman"/>
          <w:color w:val="000000"/>
          <w:sz w:val="28"/>
          <w:szCs w:val="28"/>
        </w:rPr>
        <w:t>30°07′22″</w:t>
      </w:r>
      <w:r>
        <w:rPr>
          <w:rFonts w:hint="eastAsia" w:ascii="Times New Roman" w:hAnsi="Times New Roman"/>
          <w:color w:val="000000"/>
          <w:sz w:val="28"/>
          <w:szCs w:val="28"/>
        </w:rPr>
        <w:t>之间。东邻长寿区、南与江北区毗邻，同南岸区、沙坪坝区隔江相望，西连北碚区、合川区，北接四川省广安地区的华蓥市，幅员面积</w:t>
      </w:r>
      <w:r>
        <w:rPr>
          <w:rFonts w:ascii="Times New Roman" w:hAnsi="Times New Roman"/>
          <w:color w:val="000000"/>
          <w:sz w:val="28"/>
          <w:szCs w:val="28"/>
        </w:rPr>
        <w:t>1452</w:t>
      </w:r>
      <w:r>
        <w:rPr>
          <w:rFonts w:hint="eastAsia" w:ascii="Times New Roman" w:hAnsi="Times New Roman"/>
          <w:color w:val="000000"/>
          <w:sz w:val="28"/>
          <w:szCs w:val="28"/>
        </w:rPr>
        <w:t>平方公里。区政府设在两路街道，距重庆市区约</w:t>
      </w:r>
      <w:r>
        <w:rPr>
          <w:rFonts w:ascii="Times New Roman" w:hAnsi="Times New Roman"/>
          <w:color w:val="000000"/>
          <w:sz w:val="28"/>
          <w:szCs w:val="28"/>
        </w:rPr>
        <w:t>20</w:t>
      </w:r>
      <w:r>
        <w:rPr>
          <w:rFonts w:hint="eastAsia" w:ascii="Times New Roman" w:hAnsi="Times New Roman"/>
          <w:color w:val="000000"/>
          <w:sz w:val="28"/>
          <w:szCs w:val="28"/>
        </w:rPr>
        <w:t>公里，是紧靠重庆的近郊区。全区幅员面积</w:t>
      </w:r>
      <w:r>
        <w:rPr>
          <w:rFonts w:ascii="Times New Roman" w:hAnsi="Times New Roman"/>
          <w:color w:val="000000"/>
          <w:sz w:val="28"/>
          <w:szCs w:val="28"/>
        </w:rPr>
        <w:t>1452</w:t>
      </w:r>
      <w:r>
        <w:rPr>
          <w:rFonts w:hint="eastAsia" w:ascii="Times New Roman" w:hAnsi="Times New Roman"/>
          <w:color w:val="000000"/>
          <w:sz w:val="28"/>
          <w:szCs w:val="28"/>
        </w:rPr>
        <w:t>平方公里，辖</w:t>
      </w:r>
      <w:r>
        <w:rPr>
          <w:rFonts w:ascii="Times New Roman" w:hAnsi="Times New Roman"/>
          <w:color w:val="000000"/>
          <w:sz w:val="28"/>
          <w:szCs w:val="28"/>
        </w:rPr>
        <w:t>11</w:t>
      </w:r>
      <w:r>
        <w:rPr>
          <w:rFonts w:hint="eastAsia" w:ascii="Times New Roman" w:hAnsi="Times New Roman"/>
          <w:color w:val="000000"/>
          <w:sz w:val="28"/>
          <w:szCs w:val="28"/>
        </w:rPr>
        <w:t>个镇</w:t>
      </w:r>
      <w:r>
        <w:rPr>
          <w:rFonts w:ascii="Times New Roman" w:hAnsi="Times New Roman"/>
          <w:color w:val="000000"/>
          <w:sz w:val="28"/>
          <w:szCs w:val="28"/>
        </w:rPr>
        <w:t>19</w:t>
      </w:r>
      <w:r>
        <w:rPr>
          <w:rFonts w:hint="eastAsia" w:ascii="Times New Roman" w:hAnsi="Times New Roman"/>
          <w:color w:val="000000"/>
          <w:sz w:val="28"/>
          <w:szCs w:val="28"/>
        </w:rPr>
        <w:t>个街道（含两江新区直管区</w:t>
      </w:r>
      <w:r>
        <w:rPr>
          <w:rFonts w:ascii="Times New Roman" w:hAnsi="Times New Roman"/>
          <w:color w:val="000000"/>
          <w:sz w:val="28"/>
          <w:szCs w:val="28"/>
        </w:rPr>
        <w:t>8</w:t>
      </w:r>
      <w:r>
        <w:rPr>
          <w:rFonts w:hint="eastAsia" w:ascii="Times New Roman" w:hAnsi="Times New Roman"/>
          <w:color w:val="000000"/>
          <w:sz w:val="28"/>
          <w:szCs w:val="28"/>
        </w:rPr>
        <w:t>个街道），城市建成区面积</w:t>
      </w:r>
      <w:r>
        <w:rPr>
          <w:rFonts w:ascii="Times New Roman" w:hAnsi="Times New Roman"/>
          <w:color w:val="000000"/>
          <w:sz w:val="28"/>
          <w:szCs w:val="28"/>
        </w:rPr>
        <w:t>170</w:t>
      </w:r>
      <w:r>
        <w:rPr>
          <w:rFonts w:hint="eastAsia" w:ascii="Times New Roman" w:hAnsi="Times New Roman"/>
          <w:color w:val="000000"/>
          <w:sz w:val="28"/>
          <w:szCs w:val="28"/>
        </w:rPr>
        <w:t>平方公里。</w:t>
      </w:r>
    </w:p>
    <w:p>
      <w:pPr>
        <w:keepNext/>
        <w:keepLines/>
        <w:spacing w:before="260" w:after="260" w:line="413" w:lineRule="auto"/>
        <w:ind w:firstLine="560" w:firstLineChars="200"/>
        <w:outlineLvl w:val="2"/>
        <w:rPr>
          <w:rFonts w:ascii="Times New Roman" w:hAnsi="Times New Roman" w:eastAsia="黑体"/>
          <w:color w:val="000000"/>
          <w:sz w:val="28"/>
          <w:szCs w:val="24"/>
        </w:rPr>
      </w:pPr>
      <w:bookmarkStart w:id="6" w:name="_Toc31663"/>
      <w:bookmarkStart w:id="7" w:name="_Toc90482749"/>
      <w:bookmarkStart w:id="8" w:name="_Toc13337"/>
      <w:r>
        <w:rPr>
          <w:rFonts w:ascii="Times New Roman" w:hAnsi="Times New Roman" w:eastAsia="黑体"/>
          <w:color w:val="000000"/>
          <w:sz w:val="28"/>
          <w:szCs w:val="24"/>
        </w:rPr>
        <w:t xml:space="preserve">1.1.2 </w:t>
      </w:r>
      <w:r>
        <w:rPr>
          <w:rFonts w:hint="eastAsia" w:ascii="Times New Roman" w:hAnsi="Times New Roman" w:eastAsia="黑体"/>
          <w:color w:val="000000"/>
          <w:sz w:val="28"/>
          <w:szCs w:val="24"/>
        </w:rPr>
        <w:t>地形地貌</w:t>
      </w:r>
      <w:bookmarkEnd w:id="6"/>
      <w:bookmarkEnd w:id="7"/>
      <w:bookmarkEnd w:id="8"/>
    </w:p>
    <w:p>
      <w:pPr>
        <w:spacing w:line="600" w:lineRule="exact"/>
        <w:ind w:firstLine="560" w:firstLineChars="200"/>
        <w:rPr>
          <w:rFonts w:ascii="Times New Roman" w:hAnsi="Times New Roman"/>
          <w:color w:val="000000"/>
          <w:sz w:val="28"/>
          <w:szCs w:val="28"/>
        </w:rPr>
      </w:pPr>
      <w:r>
        <w:rPr>
          <w:rFonts w:hint="eastAsia" w:ascii="Times New Roman" w:hAnsi="Times New Roman"/>
          <w:color w:val="000000"/>
          <w:sz w:val="28"/>
          <w:szCs w:val="28"/>
        </w:rPr>
        <w:t>渝北区地处华蓥山主峰以南的巴渝平行岭谷地带，地势从西北向东南缓缓倾斜。自西向东由华蓥山脉、铜锣山脉、明月山脉三条西北至东南走向的条状山脉与宽谷丘陵交互组成的平行岭谷。北部为中山，海拔</w:t>
      </w:r>
      <w:r>
        <w:rPr>
          <w:rFonts w:ascii="Times New Roman" w:hAnsi="Times New Roman"/>
          <w:color w:val="000000"/>
          <w:sz w:val="28"/>
          <w:szCs w:val="28"/>
        </w:rPr>
        <w:t>800-1460</w:t>
      </w:r>
      <w:r>
        <w:rPr>
          <w:rFonts w:hint="eastAsia" w:ascii="Times New Roman" w:hAnsi="Times New Roman"/>
          <w:color w:val="000000"/>
          <w:sz w:val="28"/>
          <w:szCs w:val="28"/>
        </w:rPr>
        <w:t>米；中部为低山，海拔</w:t>
      </w:r>
      <w:r>
        <w:rPr>
          <w:rFonts w:ascii="Times New Roman" w:hAnsi="Times New Roman"/>
          <w:color w:val="000000"/>
          <w:sz w:val="28"/>
          <w:szCs w:val="28"/>
        </w:rPr>
        <w:t>450-800</w:t>
      </w:r>
      <w:r>
        <w:rPr>
          <w:rFonts w:hint="eastAsia" w:ascii="Times New Roman" w:hAnsi="Times New Roman"/>
          <w:color w:val="000000"/>
          <w:sz w:val="28"/>
          <w:szCs w:val="28"/>
        </w:rPr>
        <w:t>米；南部多浅丘，海拔</w:t>
      </w:r>
      <w:r>
        <w:rPr>
          <w:rFonts w:ascii="Times New Roman" w:hAnsi="Times New Roman"/>
          <w:color w:val="000000"/>
          <w:sz w:val="28"/>
          <w:szCs w:val="28"/>
        </w:rPr>
        <w:t>155-450</w:t>
      </w:r>
      <w:r>
        <w:rPr>
          <w:rFonts w:hint="eastAsia" w:ascii="Times New Roman" w:hAnsi="Times New Roman"/>
          <w:color w:val="000000"/>
          <w:sz w:val="28"/>
          <w:szCs w:val="28"/>
        </w:rPr>
        <w:t>米。</w:t>
      </w:r>
    </w:p>
    <w:p>
      <w:pPr>
        <w:spacing w:line="600" w:lineRule="exact"/>
        <w:ind w:firstLine="560" w:firstLineChars="200"/>
        <w:rPr>
          <w:rFonts w:ascii="Times New Roman" w:hAnsi="Times New Roman"/>
          <w:color w:val="000000"/>
          <w:sz w:val="28"/>
          <w:szCs w:val="28"/>
        </w:rPr>
      </w:pPr>
      <w:r>
        <w:rPr>
          <w:rFonts w:hint="eastAsia" w:ascii="Times New Roman" w:hAnsi="Times New Roman"/>
          <w:color w:val="000000"/>
          <w:sz w:val="28"/>
          <w:szCs w:val="28"/>
        </w:rPr>
        <w:t>地质属沉积岩广泛发育区，地质形态为华蓥山帚状褶皱束和宣汉</w:t>
      </w:r>
      <w:r>
        <w:rPr>
          <w:rFonts w:ascii="Times New Roman" w:hAnsi="Times New Roman"/>
          <w:color w:val="000000"/>
          <w:sz w:val="28"/>
          <w:szCs w:val="28"/>
        </w:rPr>
        <w:t>-</w:t>
      </w:r>
      <w:r>
        <w:rPr>
          <w:rFonts w:hint="eastAsia" w:ascii="Times New Roman" w:hAnsi="Times New Roman"/>
          <w:color w:val="000000"/>
          <w:sz w:val="28"/>
          <w:szCs w:val="28"/>
        </w:rPr>
        <w:t>重庆平行褶皱束，褶皱带呈北北东向展布，狭长而不对称，褶皱紧密，向斜宽，背斜窄，断裂少。地貌多呈垄岗状，山体雄厚，长岭岗、馒头山、桌状山错落于岭谷间，地势起伏较大。喀斯特地貌分布较广，谷坡河岸多溶洞。</w:t>
      </w:r>
    </w:p>
    <w:p>
      <w:pPr>
        <w:keepNext/>
        <w:keepLines/>
        <w:spacing w:before="260" w:after="260" w:line="413" w:lineRule="auto"/>
        <w:ind w:firstLine="560" w:firstLineChars="200"/>
        <w:outlineLvl w:val="2"/>
        <w:rPr>
          <w:rFonts w:ascii="Times New Roman" w:hAnsi="Times New Roman" w:eastAsia="黑体"/>
          <w:color w:val="000000"/>
          <w:sz w:val="28"/>
          <w:szCs w:val="24"/>
        </w:rPr>
      </w:pPr>
      <w:bookmarkStart w:id="9" w:name="_Toc90482750"/>
      <w:bookmarkStart w:id="10" w:name="_Toc9499"/>
      <w:bookmarkStart w:id="11" w:name="_Toc8668"/>
      <w:r>
        <w:rPr>
          <w:rFonts w:ascii="Times New Roman" w:hAnsi="Times New Roman" w:eastAsia="黑体"/>
          <w:color w:val="000000"/>
          <w:sz w:val="28"/>
          <w:szCs w:val="24"/>
        </w:rPr>
        <w:t xml:space="preserve">1.1.3 </w:t>
      </w:r>
      <w:r>
        <w:rPr>
          <w:rFonts w:hint="eastAsia" w:ascii="Times New Roman" w:hAnsi="Times New Roman" w:eastAsia="黑体"/>
          <w:color w:val="000000"/>
          <w:sz w:val="28"/>
          <w:szCs w:val="24"/>
        </w:rPr>
        <w:t>水文气象</w:t>
      </w:r>
      <w:bookmarkEnd w:id="9"/>
      <w:bookmarkEnd w:id="10"/>
      <w:bookmarkEnd w:id="11"/>
    </w:p>
    <w:p>
      <w:pPr>
        <w:spacing w:line="600" w:lineRule="exact"/>
        <w:ind w:firstLine="560" w:firstLineChars="200"/>
        <w:rPr>
          <w:rFonts w:ascii="Times New Roman" w:hAnsi="Times New Roman"/>
          <w:color w:val="000000"/>
          <w:sz w:val="28"/>
          <w:szCs w:val="28"/>
        </w:rPr>
      </w:pPr>
      <w:r>
        <w:rPr>
          <w:rFonts w:hint="eastAsia" w:ascii="Times New Roman" w:hAnsi="Times New Roman"/>
          <w:color w:val="000000"/>
          <w:sz w:val="28"/>
          <w:szCs w:val="28"/>
        </w:rPr>
        <w:t>渝北区属亚热带湿润气候区，大陆性季风气候特点显著。具有冬暖春早、秋短夏长、初夏多雨、无霜期长、湿度大、风力小、云雾多、日照少的气候特点。常年平均气温</w:t>
      </w:r>
      <w:r>
        <w:rPr>
          <w:rFonts w:ascii="Times New Roman" w:hAnsi="Times New Roman"/>
          <w:color w:val="000000"/>
          <w:sz w:val="28"/>
          <w:szCs w:val="28"/>
        </w:rPr>
        <w:t>17.3</w:t>
      </w:r>
      <w:r>
        <w:rPr>
          <w:rFonts w:hint="eastAsia" w:ascii="Times New Roman" w:hAnsi="Times New Roman"/>
          <w:color w:val="000000"/>
          <w:sz w:val="28"/>
          <w:szCs w:val="28"/>
        </w:rPr>
        <w:t>℃。极端最高气温</w:t>
      </w:r>
      <w:r>
        <w:rPr>
          <w:rFonts w:ascii="Times New Roman" w:hAnsi="Times New Roman"/>
          <w:color w:val="000000"/>
          <w:sz w:val="28"/>
          <w:szCs w:val="28"/>
        </w:rPr>
        <w:t>40</w:t>
      </w:r>
      <w:r>
        <w:rPr>
          <w:rFonts w:hint="eastAsia" w:ascii="Times New Roman" w:hAnsi="Times New Roman"/>
          <w:color w:val="000000"/>
          <w:sz w:val="28"/>
          <w:szCs w:val="28"/>
        </w:rPr>
        <w:t>℃，极端最低气温</w:t>
      </w:r>
      <w:r>
        <w:rPr>
          <w:rFonts w:ascii="Times New Roman" w:hAnsi="Times New Roman"/>
          <w:color w:val="000000"/>
          <w:sz w:val="28"/>
          <w:szCs w:val="28"/>
        </w:rPr>
        <w:t>–2</w:t>
      </w:r>
      <w:r>
        <w:rPr>
          <w:rFonts w:hint="eastAsia" w:ascii="Times New Roman" w:hAnsi="Times New Roman"/>
          <w:color w:val="000000"/>
          <w:sz w:val="28"/>
          <w:szCs w:val="28"/>
        </w:rPr>
        <w:t>℃左右。多年平均降雨量</w:t>
      </w:r>
      <w:r>
        <w:rPr>
          <w:rFonts w:ascii="Times New Roman" w:hAnsi="Times New Roman"/>
          <w:color w:val="000000"/>
          <w:sz w:val="28"/>
          <w:szCs w:val="28"/>
        </w:rPr>
        <w:t>1219.6mm</w:t>
      </w:r>
      <w:r>
        <w:rPr>
          <w:rFonts w:hint="eastAsia" w:ascii="Times New Roman" w:hAnsi="Times New Roman"/>
          <w:color w:val="000000"/>
          <w:sz w:val="28"/>
          <w:szCs w:val="28"/>
        </w:rPr>
        <w:t>，多年平均水面蒸发量</w:t>
      </w:r>
      <w:r>
        <w:rPr>
          <w:rFonts w:ascii="Times New Roman" w:hAnsi="Times New Roman"/>
          <w:color w:val="000000"/>
          <w:sz w:val="28"/>
          <w:szCs w:val="28"/>
        </w:rPr>
        <w:t>864mm</w:t>
      </w:r>
      <w:r>
        <w:rPr>
          <w:rFonts w:hint="eastAsia" w:ascii="Times New Roman" w:hAnsi="Times New Roman"/>
          <w:color w:val="000000"/>
          <w:sz w:val="28"/>
          <w:szCs w:val="28"/>
        </w:rPr>
        <w:t>，平均日照</w:t>
      </w:r>
      <w:r>
        <w:rPr>
          <w:rFonts w:ascii="Times New Roman" w:hAnsi="Times New Roman"/>
          <w:color w:val="000000"/>
          <w:sz w:val="28"/>
          <w:szCs w:val="28"/>
        </w:rPr>
        <w:t>1340</w:t>
      </w:r>
      <w:r>
        <w:rPr>
          <w:rFonts w:hint="eastAsia" w:ascii="Times New Roman" w:hAnsi="Times New Roman"/>
          <w:color w:val="000000"/>
          <w:sz w:val="28"/>
          <w:szCs w:val="28"/>
        </w:rPr>
        <w:t>小时左右，平均无霜期</w:t>
      </w:r>
      <w:r>
        <w:rPr>
          <w:rFonts w:ascii="Times New Roman" w:hAnsi="Times New Roman"/>
          <w:color w:val="000000"/>
          <w:sz w:val="28"/>
          <w:szCs w:val="28"/>
        </w:rPr>
        <w:t>319</w:t>
      </w:r>
      <w:r>
        <w:rPr>
          <w:rFonts w:hint="eastAsia" w:ascii="Times New Roman" w:hAnsi="Times New Roman"/>
          <w:color w:val="000000"/>
          <w:sz w:val="28"/>
          <w:szCs w:val="28"/>
        </w:rPr>
        <w:t>天。降雨主要集中于</w:t>
      </w:r>
      <w:r>
        <w:rPr>
          <w:rFonts w:ascii="Times New Roman" w:hAnsi="Times New Roman"/>
          <w:color w:val="000000"/>
          <w:sz w:val="28"/>
          <w:szCs w:val="28"/>
        </w:rPr>
        <w:t>4~10</w:t>
      </w:r>
      <w:r>
        <w:rPr>
          <w:rFonts w:hint="eastAsia" w:ascii="Times New Roman" w:hAnsi="Times New Roman"/>
          <w:color w:val="000000"/>
          <w:sz w:val="28"/>
          <w:szCs w:val="28"/>
        </w:rPr>
        <w:t>月，占全年的</w:t>
      </w:r>
      <w:r>
        <w:rPr>
          <w:rFonts w:ascii="Times New Roman" w:hAnsi="Times New Roman"/>
          <w:color w:val="000000"/>
          <w:sz w:val="28"/>
          <w:szCs w:val="28"/>
        </w:rPr>
        <w:t>86%</w:t>
      </w:r>
      <w:r>
        <w:rPr>
          <w:rFonts w:hint="eastAsia" w:ascii="Times New Roman" w:hAnsi="Times New Roman"/>
          <w:color w:val="000000"/>
          <w:sz w:val="28"/>
          <w:szCs w:val="28"/>
        </w:rPr>
        <w:t>左右，暴雨主要集中在</w:t>
      </w:r>
      <w:r>
        <w:rPr>
          <w:rFonts w:ascii="Times New Roman" w:hAnsi="Times New Roman"/>
          <w:color w:val="000000"/>
          <w:sz w:val="28"/>
          <w:szCs w:val="28"/>
        </w:rPr>
        <w:t>5~10</w:t>
      </w:r>
      <w:r>
        <w:rPr>
          <w:rFonts w:hint="eastAsia" w:ascii="Times New Roman" w:hAnsi="Times New Roman"/>
          <w:color w:val="000000"/>
          <w:sz w:val="28"/>
          <w:szCs w:val="28"/>
        </w:rPr>
        <w:t>月，大暴雨和特大暴雨多发生在</w:t>
      </w:r>
      <w:r>
        <w:rPr>
          <w:rFonts w:ascii="Times New Roman" w:hAnsi="Times New Roman"/>
          <w:color w:val="000000"/>
          <w:sz w:val="28"/>
          <w:szCs w:val="28"/>
        </w:rPr>
        <w:t>7</w:t>
      </w:r>
      <w:r>
        <w:rPr>
          <w:rFonts w:hint="eastAsia" w:ascii="Times New Roman" w:hAnsi="Times New Roman"/>
          <w:color w:val="000000"/>
          <w:sz w:val="28"/>
          <w:szCs w:val="28"/>
        </w:rPr>
        <w:t>月和</w:t>
      </w:r>
      <w:r>
        <w:rPr>
          <w:rFonts w:ascii="Times New Roman" w:hAnsi="Times New Roman"/>
          <w:color w:val="000000"/>
          <w:sz w:val="28"/>
          <w:szCs w:val="28"/>
        </w:rPr>
        <w:t>8</w:t>
      </w:r>
      <w:r>
        <w:rPr>
          <w:rFonts w:hint="eastAsia" w:ascii="Times New Roman" w:hAnsi="Times New Roman"/>
          <w:color w:val="000000"/>
          <w:sz w:val="28"/>
          <w:szCs w:val="28"/>
        </w:rPr>
        <w:t>月，由于雨量分配不均，常有伏旱发生。</w:t>
      </w:r>
    </w:p>
    <w:p>
      <w:pPr>
        <w:keepNext/>
        <w:keepLines/>
        <w:spacing w:before="260" w:after="260" w:line="413" w:lineRule="auto"/>
        <w:ind w:firstLine="560" w:firstLineChars="200"/>
        <w:outlineLvl w:val="2"/>
        <w:rPr>
          <w:rFonts w:ascii="Times New Roman" w:hAnsi="Times New Roman" w:eastAsia="黑体"/>
          <w:color w:val="000000"/>
          <w:sz w:val="28"/>
          <w:szCs w:val="24"/>
        </w:rPr>
      </w:pPr>
      <w:bookmarkStart w:id="12" w:name="_Toc32196"/>
      <w:bookmarkStart w:id="13" w:name="_Toc19525"/>
      <w:bookmarkStart w:id="14" w:name="_Toc90482751"/>
      <w:r>
        <w:rPr>
          <w:rFonts w:ascii="Times New Roman" w:hAnsi="Times New Roman" w:eastAsia="黑体"/>
          <w:color w:val="000000"/>
          <w:sz w:val="28"/>
          <w:szCs w:val="24"/>
        </w:rPr>
        <w:t xml:space="preserve">1.1.4 </w:t>
      </w:r>
      <w:r>
        <w:rPr>
          <w:rFonts w:hint="eastAsia" w:ascii="Times New Roman" w:hAnsi="Times New Roman" w:eastAsia="黑体"/>
          <w:color w:val="000000"/>
          <w:sz w:val="28"/>
          <w:szCs w:val="24"/>
        </w:rPr>
        <w:t>河流水系</w:t>
      </w:r>
      <w:bookmarkEnd w:id="12"/>
      <w:bookmarkEnd w:id="13"/>
      <w:bookmarkEnd w:id="14"/>
    </w:p>
    <w:p>
      <w:pPr>
        <w:spacing w:line="600" w:lineRule="exact"/>
        <w:ind w:firstLine="560" w:firstLineChars="200"/>
        <w:rPr>
          <w:rFonts w:ascii="Times New Roman" w:hAnsi="Times New Roman"/>
          <w:color w:val="000000"/>
          <w:sz w:val="28"/>
          <w:szCs w:val="28"/>
        </w:rPr>
      </w:pPr>
      <w:r>
        <w:rPr>
          <w:rFonts w:hint="eastAsia" w:ascii="Times New Roman" w:hAnsi="Times New Roman"/>
          <w:color w:val="000000"/>
          <w:sz w:val="28"/>
          <w:szCs w:val="28"/>
        </w:rPr>
        <w:t>渝北区属长江水系，境内河流众多，水资源丰富，过境主要河流有长江、嘉陵江和御临河。嘉陵江沿区境西南边境流过，有后河注入；长江沿区境东南边境流过，区境中、东部有朝阳河、御临河注入长江。流经渝北区流域面积在</w:t>
      </w:r>
      <w:r>
        <w:rPr>
          <w:rFonts w:ascii="Times New Roman" w:hAnsi="Times New Roman"/>
          <w:color w:val="000000"/>
          <w:sz w:val="28"/>
          <w:szCs w:val="28"/>
        </w:rPr>
        <w:t>100km</w:t>
      </w:r>
      <w:r>
        <w:rPr>
          <w:rFonts w:ascii="Times New Roman" w:hAnsi="Times New Roman"/>
          <w:color w:val="000000"/>
          <w:sz w:val="28"/>
          <w:szCs w:val="28"/>
          <w:vertAlign w:val="superscript"/>
        </w:rPr>
        <w:t>2</w:t>
      </w:r>
      <w:r>
        <w:rPr>
          <w:rFonts w:hint="eastAsia" w:ascii="Times New Roman" w:hAnsi="Times New Roman"/>
          <w:color w:val="000000"/>
          <w:sz w:val="28"/>
          <w:szCs w:val="28"/>
        </w:rPr>
        <w:t>以上的河流共有</w:t>
      </w:r>
      <w:r>
        <w:rPr>
          <w:rFonts w:ascii="Times New Roman" w:hAnsi="Times New Roman"/>
          <w:color w:val="000000"/>
          <w:sz w:val="28"/>
          <w:szCs w:val="28"/>
        </w:rPr>
        <w:t>8</w:t>
      </w:r>
      <w:r>
        <w:rPr>
          <w:rFonts w:hint="eastAsia" w:ascii="Times New Roman" w:hAnsi="Times New Roman"/>
          <w:color w:val="000000"/>
          <w:sz w:val="28"/>
          <w:szCs w:val="28"/>
        </w:rPr>
        <w:t>条（长江、嘉陵江、御临河、后河、温塘河、平滩河、朝阳河</w:t>
      </w:r>
      <w:r>
        <w:rPr>
          <w:rFonts w:hint="eastAsia" w:ascii="Times New Roman" w:hAnsi="Times New Roman"/>
          <w:sz w:val="28"/>
          <w:szCs w:val="28"/>
        </w:rPr>
        <w:t>、大洪河）</w:t>
      </w:r>
      <w:r>
        <w:rPr>
          <w:rFonts w:hint="eastAsia" w:ascii="Times New Roman" w:hAnsi="Times New Roman"/>
          <w:color w:val="000000"/>
          <w:sz w:val="28"/>
          <w:szCs w:val="28"/>
        </w:rPr>
        <w:t>，其中流域面积</w:t>
      </w:r>
      <w:r>
        <w:rPr>
          <w:rFonts w:ascii="Times New Roman" w:hAnsi="Times New Roman"/>
          <w:color w:val="000000"/>
          <w:sz w:val="28"/>
          <w:szCs w:val="28"/>
        </w:rPr>
        <w:t>100km</w:t>
      </w:r>
      <w:r>
        <w:rPr>
          <w:rFonts w:ascii="Times New Roman" w:hAnsi="Times New Roman"/>
          <w:color w:val="000000"/>
          <w:sz w:val="28"/>
          <w:szCs w:val="28"/>
          <w:vertAlign w:val="superscript"/>
        </w:rPr>
        <w:t>2</w:t>
      </w:r>
      <w:r>
        <w:rPr>
          <w:rFonts w:hint="eastAsia" w:ascii="Times New Roman" w:hAnsi="Times New Roman"/>
          <w:color w:val="000000"/>
          <w:sz w:val="28"/>
          <w:szCs w:val="28"/>
        </w:rPr>
        <w:t>至</w:t>
      </w:r>
      <w:r>
        <w:rPr>
          <w:rFonts w:ascii="Times New Roman" w:hAnsi="Times New Roman"/>
          <w:color w:val="000000"/>
          <w:sz w:val="28"/>
          <w:szCs w:val="28"/>
        </w:rPr>
        <w:t>1000km</w:t>
      </w:r>
      <w:r>
        <w:rPr>
          <w:rFonts w:ascii="Times New Roman" w:hAnsi="Times New Roman"/>
          <w:color w:val="000000"/>
          <w:sz w:val="28"/>
          <w:szCs w:val="28"/>
          <w:vertAlign w:val="superscript"/>
        </w:rPr>
        <w:t>2</w:t>
      </w:r>
      <w:r>
        <w:rPr>
          <w:rFonts w:hint="eastAsia" w:ascii="Times New Roman" w:hAnsi="Times New Roman"/>
          <w:color w:val="000000"/>
          <w:sz w:val="28"/>
          <w:szCs w:val="28"/>
        </w:rPr>
        <w:t>的河流主要有后河、温塘河、平滩河和朝阳河。渝北区主要河流水系详见表</w:t>
      </w:r>
      <w:r>
        <w:rPr>
          <w:rFonts w:ascii="Times New Roman" w:hAnsi="Times New Roman"/>
          <w:color w:val="000000"/>
          <w:sz w:val="28"/>
          <w:szCs w:val="28"/>
        </w:rPr>
        <w:t>1-1</w:t>
      </w:r>
      <w:r>
        <w:rPr>
          <w:rFonts w:hint="eastAsia" w:ascii="Times New Roman" w:hAnsi="Times New Roman"/>
          <w:color w:val="000000"/>
          <w:sz w:val="28"/>
          <w:szCs w:val="28"/>
        </w:rPr>
        <w:t>。</w:t>
      </w:r>
    </w:p>
    <w:p>
      <w:pPr>
        <w:spacing w:line="600" w:lineRule="exact"/>
        <w:ind w:firstLine="560" w:firstLineChars="200"/>
        <w:rPr>
          <w:rFonts w:ascii="Times New Roman" w:hAnsi="Times New Roman"/>
          <w:color w:val="000000"/>
          <w:sz w:val="28"/>
          <w:szCs w:val="28"/>
        </w:rPr>
      </w:pPr>
    </w:p>
    <w:p>
      <w:pPr>
        <w:spacing w:line="600" w:lineRule="exact"/>
        <w:ind w:firstLine="560" w:firstLineChars="200"/>
        <w:rPr>
          <w:rFonts w:ascii="Times New Roman" w:hAnsi="Times New Roman"/>
          <w:color w:val="000000"/>
          <w:sz w:val="28"/>
          <w:szCs w:val="28"/>
        </w:rPr>
      </w:pPr>
    </w:p>
    <w:p>
      <w:pPr>
        <w:adjustRightInd w:val="0"/>
        <w:snapToGrid w:val="0"/>
        <w:spacing w:line="594" w:lineRule="exact"/>
        <w:ind w:firstLine="482" w:firstLineChars="200"/>
        <w:jc w:val="center"/>
        <w:rPr>
          <w:rFonts w:ascii="宋体"/>
          <w:b/>
          <w:sz w:val="24"/>
          <w:szCs w:val="24"/>
        </w:rPr>
      </w:pPr>
      <w:r>
        <w:rPr>
          <w:rFonts w:hint="eastAsia" w:ascii="宋体" w:hAnsi="宋体"/>
          <w:b/>
          <w:sz w:val="24"/>
          <w:szCs w:val="24"/>
        </w:rPr>
        <w:t>表</w:t>
      </w:r>
      <w:r>
        <w:rPr>
          <w:rFonts w:ascii="宋体" w:hAnsi="宋体"/>
          <w:b/>
          <w:sz w:val="24"/>
          <w:szCs w:val="24"/>
        </w:rPr>
        <w:t xml:space="preserve">1-1 </w:t>
      </w:r>
      <w:r>
        <w:rPr>
          <w:rFonts w:hint="eastAsia" w:ascii="宋体" w:hAnsi="宋体"/>
          <w:b/>
          <w:sz w:val="24"/>
          <w:szCs w:val="24"/>
        </w:rPr>
        <w:t>渝北区主要水系情况</w:t>
      </w:r>
    </w:p>
    <w:tbl>
      <w:tblPr>
        <w:tblStyle w:val="21"/>
        <w:tblW w:w="4871"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029"/>
        <w:gridCol w:w="1174"/>
        <w:gridCol w:w="1167"/>
        <w:gridCol w:w="1021"/>
        <w:gridCol w:w="1192"/>
        <w:gridCol w:w="1360"/>
        <w:gridCol w:w="1359"/>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63" w:hRule="atLeast"/>
          <w:tblHeader/>
          <w:jc w:val="center"/>
        </w:trPr>
        <w:tc>
          <w:tcPr>
            <w:tcW w:w="620" w:type="pct"/>
            <w:vAlign w:val="center"/>
          </w:tcPr>
          <w:p>
            <w:pPr>
              <w:spacing w:line="240" w:lineRule="atLeast"/>
              <w:jc w:val="center"/>
              <w:rPr>
                <w:rFonts w:ascii="宋体"/>
                <w:b/>
                <w:color w:val="000000"/>
                <w:kern w:val="0"/>
                <w:szCs w:val="21"/>
              </w:rPr>
            </w:pPr>
            <w:r>
              <w:rPr>
                <w:rFonts w:hint="eastAsia" w:ascii="宋体" w:hAnsi="宋体"/>
                <w:b/>
                <w:color w:val="000000"/>
                <w:kern w:val="0"/>
                <w:szCs w:val="21"/>
              </w:rPr>
              <w:t>河流</w:t>
            </w:r>
          </w:p>
          <w:p>
            <w:pPr>
              <w:spacing w:line="240" w:lineRule="atLeast"/>
              <w:jc w:val="center"/>
              <w:rPr>
                <w:rFonts w:ascii="宋体"/>
                <w:b/>
                <w:color w:val="000000"/>
                <w:kern w:val="0"/>
                <w:szCs w:val="21"/>
              </w:rPr>
            </w:pPr>
            <w:r>
              <w:rPr>
                <w:rFonts w:hint="eastAsia" w:ascii="宋体" w:hAnsi="宋体"/>
                <w:b/>
                <w:color w:val="000000"/>
                <w:kern w:val="0"/>
                <w:szCs w:val="21"/>
              </w:rPr>
              <w:t>名称</w:t>
            </w:r>
          </w:p>
        </w:tc>
        <w:tc>
          <w:tcPr>
            <w:tcW w:w="707" w:type="pct"/>
            <w:vAlign w:val="center"/>
          </w:tcPr>
          <w:p>
            <w:pPr>
              <w:spacing w:line="240" w:lineRule="atLeast"/>
              <w:jc w:val="center"/>
              <w:rPr>
                <w:rFonts w:ascii="宋体"/>
                <w:b/>
                <w:color w:val="000000"/>
                <w:kern w:val="0"/>
                <w:szCs w:val="21"/>
              </w:rPr>
            </w:pPr>
            <w:r>
              <w:rPr>
                <w:rFonts w:hint="eastAsia" w:ascii="宋体" w:hAnsi="宋体"/>
                <w:b/>
                <w:color w:val="000000"/>
                <w:kern w:val="0"/>
                <w:szCs w:val="21"/>
              </w:rPr>
              <w:t>全流域</w:t>
            </w:r>
          </w:p>
          <w:p>
            <w:pPr>
              <w:spacing w:line="240" w:lineRule="atLeast"/>
              <w:jc w:val="center"/>
              <w:rPr>
                <w:rFonts w:ascii="宋体"/>
                <w:b/>
                <w:color w:val="000000"/>
                <w:kern w:val="0"/>
                <w:szCs w:val="21"/>
              </w:rPr>
            </w:pPr>
            <w:r>
              <w:rPr>
                <w:rFonts w:hint="eastAsia" w:ascii="宋体" w:hAnsi="宋体"/>
                <w:b/>
                <w:color w:val="000000"/>
                <w:kern w:val="0"/>
                <w:szCs w:val="21"/>
              </w:rPr>
              <w:t>面积</w:t>
            </w:r>
          </w:p>
          <w:p>
            <w:pPr>
              <w:spacing w:line="240" w:lineRule="atLeast"/>
              <w:jc w:val="center"/>
              <w:rPr>
                <w:rFonts w:ascii="宋体"/>
                <w:b/>
                <w:color w:val="000000"/>
                <w:kern w:val="0"/>
                <w:szCs w:val="21"/>
              </w:rPr>
            </w:pPr>
            <w:r>
              <w:rPr>
                <w:rFonts w:hint="eastAsia" w:ascii="宋体" w:hAnsi="宋体"/>
                <w:b/>
                <w:color w:val="000000"/>
                <w:kern w:val="0"/>
                <w:szCs w:val="21"/>
              </w:rPr>
              <w:t>（</w:t>
            </w:r>
            <w:r>
              <w:rPr>
                <w:rFonts w:ascii="宋体" w:hAnsi="宋体"/>
                <w:b/>
                <w:color w:val="000000"/>
                <w:kern w:val="0"/>
                <w:szCs w:val="21"/>
              </w:rPr>
              <w:t>km</w:t>
            </w:r>
            <w:r>
              <w:rPr>
                <w:rFonts w:ascii="宋体" w:hAnsi="宋体"/>
                <w:b/>
                <w:color w:val="000000"/>
                <w:kern w:val="0"/>
                <w:szCs w:val="21"/>
                <w:vertAlign w:val="superscript"/>
              </w:rPr>
              <w:t>2</w:t>
            </w:r>
            <w:r>
              <w:rPr>
                <w:rFonts w:hint="eastAsia" w:ascii="宋体" w:hAnsi="宋体"/>
                <w:b/>
                <w:color w:val="000000"/>
                <w:kern w:val="0"/>
                <w:szCs w:val="21"/>
              </w:rPr>
              <w:t>）</w:t>
            </w:r>
          </w:p>
        </w:tc>
        <w:tc>
          <w:tcPr>
            <w:tcW w:w="703" w:type="pct"/>
            <w:vAlign w:val="center"/>
          </w:tcPr>
          <w:p>
            <w:pPr>
              <w:spacing w:line="240" w:lineRule="atLeast"/>
              <w:jc w:val="center"/>
              <w:rPr>
                <w:rFonts w:ascii="宋体"/>
                <w:b/>
                <w:color w:val="000000"/>
                <w:kern w:val="0"/>
                <w:szCs w:val="21"/>
              </w:rPr>
            </w:pPr>
            <w:r>
              <w:rPr>
                <w:rFonts w:hint="eastAsia" w:ascii="宋体" w:hAnsi="宋体"/>
                <w:b/>
                <w:color w:val="000000"/>
                <w:kern w:val="0"/>
                <w:szCs w:val="21"/>
              </w:rPr>
              <w:t>境内流域面积（</w:t>
            </w:r>
            <w:r>
              <w:rPr>
                <w:rFonts w:ascii="宋体" w:hAnsi="宋体"/>
                <w:b/>
                <w:color w:val="000000"/>
                <w:kern w:val="0"/>
                <w:szCs w:val="21"/>
              </w:rPr>
              <w:t>km</w:t>
            </w:r>
            <w:r>
              <w:rPr>
                <w:rFonts w:ascii="宋体" w:hAnsi="宋体"/>
                <w:b/>
                <w:color w:val="000000"/>
                <w:kern w:val="0"/>
                <w:szCs w:val="21"/>
                <w:vertAlign w:val="superscript"/>
              </w:rPr>
              <w:t>2</w:t>
            </w:r>
            <w:r>
              <w:rPr>
                <w:rFonts w:hint="eastAsia" w:ascii="宋体" w:hAnsi="宋体"/>
                <w:b/>
                <w:color w:val="000000"/>
                <w:kern w:val="0"/>
                <w:szCs w:val="21"/>
              </w:rPr>
              <w:t>）</w:t>
            </w:r>
          </w:p>
        </w:tc>
        <w:tc>
          <w:tcPr>
            <w:tcW w:w="615" w:type="pct"/>
            <w:vAlign w:val="center"/>
          </w:tcPr>
          <w:p>
            <w:pPr>
              <w:spacing w:line="240" w:lineRule="atLeast"/>
              <w:jc w:val="center"/>
              <w:rPr>
                <w:rFonts w:ascii="宋体"/>
                <w:b/>
                <w:color w:val="000000"/>
                <w:kern w:val="0"/>
                <w:szCs w:val="21"/>
              </w:rPr>
            </w:pPr>
            <w:r>
              <w:rPr>
                <w:rFonts w:hint="eastAsia" w:ascii="宋体" w:hAnsi="宋体"/>
                <w:b/>
                <w:color w:val="000000"/>
                <w:kern w:val="0"/>
                <w:szCs w:val="21"/>
              </w:rPr>
              <w:t>主河道长（</w:t>
            </w:r>
            <w:r>
              <w:rPr>
                <w:rFonts w:ascii="宋体" w:hAnsi="宋体"/>
                <w:b/>
                <w:color w:val="000000"/>
                <w:kern w:val="0"/>
                <w:szCs w:val="21"/>
              </w:rPr>
              <w:t>km</w:t>
            </w:r>
            <w:r>
              <w:rPr>
                <w:rFonts w:hint="eastAsia" w:ascii="宋体" w:hAnsi="宋体"/>
                <w:b/>
                <w:color w:val="000000"/>
                <w:kern w:val="0"/>
                <w:szCs w:val="21"/>
              </w:rPr>
              <w:t>）</w:t>
            </w:r>
          </w:p>
        </w:tc>
        <w:tc>
          <w:tcPr>
            <w:tcW w:w="718" w:type="pct"/>
            <w:vAlign w:val="center"/>
          </w:tcPr>
          <w:p>
            <w:pPr>
              <w:spacing w:line="240" w:lineRule="atLeast"/>
              <w:jc w:val="center"/>
              <w:rPr>
                <w:rFonts w:ascii="宋体"/>
                <w:b/>
                <w:color w:val="000000"/>
                <w:kern w:val="0"/>
                <w:szCs w:val="21"/>
              </w:rPr>
            </w:pPr>
            <w:r>
              <w:rPr>
                <w:rFonts w:hint="eastAsia" w:ascii="宋体" w:hAnsi="宋体"/>
                <w:b/>
                <w:color w:val="000000"/>
                <w:kern w:val="0"/>
                <w:szCs w:val="21"/>
              </w:rPr>
              <w:t>境内主河道长（</w:t>
            </w:r>
            <w:r>
              <w:rPr>
                <w:rFonts w:ascii="宋体" w:hAnsi="宋体"/>
                <w:b/>
                <w:color w:val="000000"/>
                <w:kern w:val="0"/>
                <w:szCs w:val="21"/>
              </w:rPr>
              <w:t>km</w:t>
            </w:r>
            <w:r>
              <w:rPr>
                <w:rFonts w:hint="eastAsia" w:ascii="宋体" w:hAnsi="宋体"/>
                <w:b/>
                <w:color w:val="000000"/>
                <w:kern w:val="0"/>
                <w:szCs w:val="21"/>
              </w:rPr>
              <w:t>）</w:t>
            </w:r>
          </w:p>
        </w:tc>
        <w:tc>
          <w:tcPr>
            <w:tcW w:w="819" w:type="pct"/>
            <w:vAlign w:val="center"/>
          </w:tcPr>
          <w:p>
            <w:pPr>
              <w:spacing w:line="240" w:lineRule="atLeast"/>
              <w:jc w:val="center"/>
              <w:rPr>
                <w:rFonts w:ascii="宋体"/>
                <w:b/>
                <w:color w:val="000000"/>
                <w:kern w:val="0"/>
                <w:szCs w:val="21"/>
              </w:rPr>
            </w:pPr>
            <w:r>
              <w:rPr>
                <w:rFonts w:hint="eastAsia" w:ascii="宋体" w:hAnsi="宋体"/>
                <w:b/>
                <w:color w:val="000000"/>
                <w:kern w:val="0"/>
                <w:szCs w:val="21"/>
              </w:rPr>
              <w:t>河道平均</w:t>
            </w:r>
          </w:p>
          <w:p>
            <w:pPr>
              <w:spacing w:line="240" w:lineRule="atLeast"/>
              <w:jc w:val="center"/>
              <w:rPr>
                <w:rFonts w:ascii="宋体"/>
                <w:b/>
                <w:color w:val="000000"/>
                <w:kern w:val="0"/>
                <w:szCs w:val="21"/>
              </w:rPr>
            </w:pPr>
            <w:r>
              <w:rPr>
                <w:rFonts w:hint="eastAsia" w:ascii="宋体" w:hAnsi="宋体"/>
                <w:b/>
                <w:color w:val="000000"/>
                <w:kern w:val="0"/>
                <w:szCs w:val="21"/>
              </w:rPr>
              <w:t>比降</w:t>
            </w:r>
          </w:p>
          <w:p>
            <w:pPr>
              <w:spacing w:line="240" w:lineRule="atLeast"/>
              <w:jc w:val="center"/>
              <w:rPr>
                <w:rFonts w:ascii="宋体"/>
                <w:b/>
                <w:color w:val="000000"/>
                <w:kern w:val="0"/>
                <w:szCs w:val="21"/>
              </w:rPr>
            </w:pPr>
            <w:r>
              <w:rPr>
                <w:rFonts w:hint="eastAsia" w:ascii="宋体" w:hAnsi="宋体"/>
                <w:b/>
                <w:color w:val="000000"/>
                <w:kern w:val="0"/>
                <w:szCs w:val="21"/>
              </w:rPr>
              <w:t>（</w:t>
            </w:r>
            <w:r>
              <w:rPr>
                <w:rFonts w:hint="eastAsia" w:ascii="宋体" w:hAnsi="宋体"/>
                <w:b/>
                <w:szCs w:val="21"/>
              </w:rPr>
              <w:t>‰）</w:t>
            </w:r>
          </w:p>
        </w:tc>
        <w:tc>
          <w:tcPr>
            <w:tcW w:w="818" w:type="pct"/>
            <w:vAlign w:val="center"/>
          </w:tcPr>
          <w:p>
            <w:pPr>
              <w:spacing w:line="240" w:lineRule="atLeast"/>
              <w:jc w:val="center"/>
              <w:rPr>
                <w:rFonts w:ascii="宋体"/>
                <w:b/>
                <w:color w:val="000000"/>
                <w:kern w:val="0"/>
                <w:szCs w:val="21"/>
              </w:rPr>
            </w:pPr>
            <w:r>
              <w:rPr>
                <w:rFonts w:hint="eastAsia" w:ascii="宋体" w:hAnsi="宋体"/>
                <w:b/>
                <w:color w:val="000000"/>
                <w:kern w:val="0"/>
                <w:szCs w:val="21"/>
              </w:rPr>
              <w:t>多年平均</w:t>
            </w:r>
          </w:p>
          <w:p>
            <w:pPr>
              <w:spacing w:line="240" w:lineRule="atLeast"/>
              <w:jc w:val="center"/>
              <w:rPr>
                <w:rFonts w:ascii="宋体"/>
                <w:b/>
                <w:color w:val="000000"/>
                <w:kern w:val="0"/>
                <w:szCs w:val="21"/>
              </w:rPr>
            </w:pPr>
            <w:r>
              <w:rPr>
                <w:rFonts w:hint="eastAsia" w:ascii="宋体" w:hAnsi="宋体"/>
                <w:b/>
                <w:color w:val="000000"/>
                <w:kern w:val="0"/>
                <w:szCs w:val="21"/>
              </w:rPr>
              <w:t>径流量</w:t>
            </w:r>
          </w:p>
          <w:p>
            <w:pPr>
              <w:spacing w:line="240" w:lineRule="atLeast"/>
              <w:jc w:val="center"/>
              <w:rPr>
                <w:rFonts w:ascii="宋体"/>
                <w:b/>
                <w:color w:val="000000"/>
                <w:kern w:val="0"/>
                <w:szCs w:val="21"/>
              </w:rPr>
            </w:pPr>
            <w:r>
              <w:rPr>
                <w:rFonts w:hint="eastAsia" w:ascii="宋体" w:hAnsi="宋体"/>
                <w:b/>
                <w:color w:val="000000"/>
                <w:kern w:val="0"/>
                <w:szCs w:val="21"/>
              </w:rPr>
              <w:t>（亿</w:t>
            </w:r>
            <w:r>
              <w:rPr>
                <w:rFonts w:ascii="宋体" w:hAnsi="宋体"/>
                <w:b/>
                <w:color w:val="000000"/>
                <w:kern w:val="0"/>
                <w:szCs w:val="21"/>
              </w:rPr>
              <w:t>m</w:t>
            </w:r>
            <w:r>
              <w:rPr>
                <w:rFonts w:ascii="宋体" w:hAnsi="宋体"/>
                <w:b/>
                <w:color w:val="000000"/>
                <w:kern w:val="0"/>
                <w:szCs w:val="21"/>
                <w:vertAlign w:val="superscript"/>
              </w:rPr>
              <w:t>3</w:t>
            </w:r>
            <w:r>
              <w:rPr>
                <w:rFonts w:hint="eastAsia" w:ascii="宋体" w:hAnsi="宋体"/>
                <w:b/>
                <w:color w:val="000000"/>
                <w:kern w:val="0"/>
                <w:szCs w:val="21"/>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exact"/>
          <w:jc w:val="center"/>
        </w:trPr>
        <w:tc>
          <w:tcPr>
            <w:tcW w:w="620" w:type="pct"/>
            <w:vAlign w:val="center"/>
          </w:tcPr>
          <w:p>
            <w:pPr>
              <w:spacing w:line="240" w:lineRule="atLeast"/>
              <w:jc w:val="center"/>
              <w:rPr>
                <w:rFonts w:ascii="宋体"/>
                <w:color w:val="000000"/>
                <w:kern w:val="0"/>
                <w:szCs w:val="21"/>
              </w:rPr>
            </w:pPr>
            <w:r>
              <w:rPr>
                <w:rFonts w:hint="eastAsia" w:ascii="宋体" w:hAnsi="宋体"/>
                <w:color w:val="000000"/>
                <w:kern w:val="0"/>
                <w:szCs w:val="21"/>
              </w:rPr>
              <w:t>长江</w:t>
            </w:r>
          </w:p>
        </w:tc>
        <w:tc>
          <w:tcPr>
            <w:tcW w:w="707" w:type="pct"/>
            <w:vAlign w:val="center"/>
          </w:tcPr>
          <w:p>
            <w:pPr>
              <w:spacing w:line="240" w:lineRule="atLeast"/>
              <w:jc w:val="center"/>
              <w:rPr>
                <w:rFonts w:ascii="宋体" w:hAnsi="宋体"/>
                <w:color w:val="000000"/>
                <w:kern w:val="0"/>
                <w:szCs w:val="21"/>
              </w:rPr>
            </w:pPr>
            <w:r>
              <w:rPr>
                <w:rFonts w:ascii="宋体" w:hAnsi="宋体"/>
                <w:color w:val="000000"/>
                <w:kern w:val="0"/>
                <w:szCs w:val="21"/>
              </w:rPr>
              <w:t>1800000</w:t>
            </w:r>
          </w:p>
        </w:tc>
        <w:tc>
          <w:tcPr>
            <w:tcW w:w="703" w:type="pct"/>
            <w:vAlign w:val="center"/>
          </w:tcPr>
          <w:p>
            <w:pPr>
              <w:spacing w:line="240" w:lineRule="atLeast"/>
              <w:jc w:val="center"/>
              <w:rPr>
                <w:rFonts w:ascii="宋体" w:hAnsi="宋体"/>
                <w:color w:val="000000"/>
                <w:kern w:val="0"/>
                <w:szCs w:val="21"/>
              </w:rPr>
            </w:pPr>
            <w:r>
              <w:rPr>
                <w:rFonts w:ascii="宋体" w:hAnsi="宋体"/>
                <w:color w:val="000000"/>
                <w:kern w:val="0"/>
                <w:szCs w:val="21"/>
              </w:rPr>
              <w:t>1452.03</w:t>
            </w:r>
          </w:p>
        </w:tc>
        <w:tc>
          <w:tcPr>
            <w:tcW w:w="615" w:type="pct"/>
            <w:vAlign w:val="center"/>
          </w:tcPr>
          <w:p>
            <w:pPr>
              <w:spacing w:line="240" w:lineRule="atLeast"/>
              <w:jc w:val="center"/>
              <w:rPr>
                <w:rFonts w:ascii="宋体" w:hAnsi="宋体"/>
                <w:color w:val="000000"/>
                <w:kern w:val="0"/>
                <w:szCs w:val="21"/>
              </w:rPr>
            </w:pPr>
            <w:r>
              <w:rPr>
                <w:rFonts w:ascii="宋体" w:hAnsi="宋体"/>
                <w:color w:val="000000"/>
                <w:kern w:val="0"/>
                <w:szCs w:val="21"/>
              </w:rPr>
              <w:t>6380</w:t>
            </w:r>
          </w:p>
        </w:tc>
        <w:tc>
          <w:tcPr>
            <w:tcW w:w="718" w:type="pct"/>
            <w:vAlign w:val="center"/>
          </w:tcPr>
          <w:p>
            <w:pPr>
              <w:spacing w:line="240" w:lineRule="atLeast"/>
              <w:jc w:val="center"/>
              <w:rPr>
                <w:rFonts w:ascii="宋体" w:hAnsi="宋体"/>
                <w:color w:val="000000"/>
                <w:kern w:val="0"/>
                <w:szCs w:val="21"/>
              </w:rPr>
            </w:pPr>
            <w:r>
              <w:rPr>
                <w:rFonts w:ascii="宋体" w:hAnsi="宋体"/>
                <w:color w:val="000000"/>
                <w:kern w:val="0"/>
                <w:szCs w:val="21"/>
              </w:rPr>
              <w:t>15.3</w:t>
            </w:r>
          </w:p>
        </w:tc>
        <w:tc>
          <w:tcPr>
            <w:tcW w:w="819" w:type="pct"/>
            <w:vAlign w:val="center"/>
          </w:tcPr>
          <w:p>
            <w:pPr>
              <w:spacing w:line="240" w:lineRule="atLeast"/>
              <w:jc w:val="center"/>
              <w:rPr>
                <w:rFonts w:ascii="宋体" w:hAnsi="宋体"/>
                <w:color w:val="000000"/>
                <w:kern w:val="0"/>
                <w:szCs w:val="21"/>
              </w:rPr>
            </w:pPr>
            <w:r>
              <w:rPr>
                <w:rFonts w:ascii="宋体" w:hAnsi="宋体"/>
                <w:color w:val="000000"/>
                <w:kern w:val="0"/>
                <w:szCs w:val="21"/>
              </w:rPr>
              <w:t>/</w:t>
            </w:r>
          </w:p>
        </w:tc>
        <w:tc>
          <w:tcPr>
            <w:tcW w:w="818" w:type="pct"/>
            <w:vAlign w:val="center"/>
          </w:tcPr>
          <w:p>
            <w:pPr>
              <w:spacing w:line="240" w:lineRule="atLeast"/>
              <w:jc w:val="center"/>
              <w:rPr>
                <w:rFonts w:ascii="宋体" w:hAnsi="宋体"/>
                <w:color w:val="000000"/>
                <w:kern w:val="0"/>
                <w:szCs w:val="21"/>
              </w:rPr>
            </w:pPr>
            <w:r>
              <w:rPr>
                <w:rFonts w:ascii="宋体" w:hAnsi="宋体"/>
                <w:color w:val="000000"/>
                <w:kern w:val="0"/>
                <w:szCs w:val="21"/>
              </w:rPr>
              <w:t>3626.64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exact"/>
          <w:jc w:val="center"/>
        </w:trPr>
        <w:tc>
          <w:tcPr>
            <w:tcW w:w="620" w:type="pct"/>
            <w:vAlign w:val="center"/>
          </w:tcPr>
          <w:p>
            <w:pPr>
              <w:spacing w:line="240" w:lineRule="atLeast"/>
              <w:jc w:val="center"/>
              <w:rPr>
                <w:rFonts w:ascii="宋体"/>
                <w:color w:val="000000"/>
                <w:kern w:val="0"/>
                <w:szCs w:val="21"/>
              </w:rPr>
            </w:pPr>
            <w:r>
              <w:rPr>
                <w:rFonts w:hint="eastAsia" w:ascii="宋体" w:hAnsi="宋体"/>
                <w:color w:val="000000"/>
                <w:kern w:val="0"/>
                <w:szCs w:val="21"/>
              </w:rPr>
              <w:t>嘉陵江</w:t>
            </w:r>
          </w:p>
        </w:tc>
        <w:tc>
          <w:tcPr>
            <w:tcW w:w="707" w:type="pct"/>
            <w:vAlign w:val="center"/>
          </w:tcPr>
          <w:p>
            <w:pPr>
              <w:spacing w:line="240" w:lineRule="atLeast"/>
              <w:jc w:val="center"/>
              <w:rPr>
                <w:rFonts w:ascii="宋体" w:hAnsi="宋体"/>
                <w:color w:val="000000"/>
                <w:kern w:val="0"/>
                <w:szCs w:val="21"/>
              </w:rPr>
            </w:pPr>
            <w:r>
              <w:rPr>
                <w:rFonts w:ascii="宋体" w:hAnsi="宋体"/>
                <w:color w:val="000000"/>
                <w:kern w:val="0"/>
                <w:szCs w:val="21"/>
              </w:rPr>
              <w:t>157939</w:t>
            </w:r>
          </w:p>
        </w:tc>
        <w:tc>
          <w:tcPr>
            <w:tcW w:w="703" w:type="pct"/>
            <w:vAlign w:val="center"/>
          </w:tcPr>
          <w:p>
            <w:pPr>
              <w:spacing w:line="240" w:lineRule="atLeast"/>
              <w:jc w:val="center"/>
              <w:rPr>
                <w:rFonts w:ascii="宋体" w:hAnsi="宋体"/>
                <w:color w:val="000000"/>
                <w:kern w:val="0"/>
                <w:szCs w:val="21"/>
              </w:rPr>
            </w:pPr>
            <w:r>
              <w:rPr>
                <w:rFonts w:ascii="宋体" w:hAnsi="宋体"/>
                <w:color w:val="000000"/>
                <w:kern w:val="0"/>
                <w:szCs w:val="21"/>
              </w:rPr>
              <w:t>483.3</w:t>
            </w:r>
          </w:p>
        </w:tc>
        <w:tc>
          <w:tcPr>
            <w:tcW w:w="615" w:type="pct"/>
            <w:vAlign w:val="center"/>
          </w:tcPr>
          <w:p>
            <w:pPr>
              <w:spacing w:line="240" w:lineRule="atLeast"/>
              <w:jc w:val="center"/>
              <w:rPr>
                <w:rFonts w:ascii="宋体" w:hAnsi="宋体"/>
                <w:color w:val="000000"/>
                <w:kern w:val="0"/>
                <w:szCs w:val="21"/>
              </w:rPr>
            </w:pPr>
            <w:r>
              <w:rPr>
                <w:rFonts w:ascii="宋体" w:hAnsi="宋体"/>
                <w:color w:val="000000"/>
                <w:kern w:val="0"/>
                <w:szCs w:val="21"/>
              </w:rPr>
              <w:t>1345</w:t>
            </w:r>
          </w:p>
        </w:tc>
        <w:tc>
          <w:tcPr>
            <w:tcW w:w="718" w:type="pct"/>
            <w:vAlign w:val="center"/>
          </w:tcPr>
          <w:p>
            <w:pPr>
              <w:spacing w:line="240" w:lineRule="atLeast"/>
              <w:jc w:val="center"/>
              <w:rPr>
                <w:rFonts w:ascii="宋体" w:hAnsi="宋体"/>
                <w:color w:val="000000"/>
                <w:kern w:val="0"/>
                <w:szCs w:val="21"/>
              </w:rPr>
            </w:pPr>
            <w:r>
              <w:rPr>
                <w:rFonts w:ascii="宋体" w:hAnsi="宋体"/>
                <w:color w:val="000000"/>
                <w:kern w:val="0"/>
                <w:szCs w:val="21"/>
              </w:rPr>
              <w:t>26.3</w:t>
            </w:r>
          </w:p>
        </w:tc>
        <w:tc>
          <w:tcPr>
            <w:tcW w:w="819" w:type="pct"/>
            <w:vAlign w:val="center"/>
          </w:tcPr>
          <w:p>
            <w:pPr>
              <w:spacing w:line="240" w:lineRule="atLeast"/>
              <w:jc w:val="center"/>
              <w:rPr>
                <w:rFonts w:ascii="宋体" w:hAnsi="宋体"/>
                <w:color w:val="000000"/>
                <w:kern w:val="0"/>
                <w:szCs w:val="21"/>
              </w:rPr>
            </w:pPr>
            <w:r>
              <w:rPr>
                <w:rFonts w:ascii="宋体" w:hAnsi="宋体"/>
                <w:color w:val="000000"/>
                <w:kern w:val="0"/>
                <w:szCs w:val="21"/>
              </w:rPr>
              <w:t>/</w:t>
            </w:r>
          </w:p>
        </w:tc>
        <w:tc>
          <w:tcPr>
            <w:tcW w:w="818" w:type="pct"/>
            <w:vAlign w:val="center"/>
          </w:tcPr>
          <w:p>
            <w:pPr>
              <w:spacing w:line="240" w:lineRule="atLeast"/>
              <w:jc w:val="center"/>
              <w:rPr>
                <w:rFonts w:ascii="宋体" w:hAnsi="宋体"/>
                <w:color w:val="000000"/>
                <w:kern w:val="0"/>
                <w:szCs w:val="21"/>
              </w:rPr>
            </w:pPr>
            <w:r>
              <w:rPr>
                <w:rFonts w:ascii="宋体" w:hAnsi="宋体"/>
                <w:color w:val="000000"/>
                <w:kern w:val="0"/>
                <w:szCs w:val="21"/>
              </w:rPr>
              <w:t>668.56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exact"/>
          <w:jc w:val="center"/>
        </w:trPr>
        <w:tc>
          <w:tcPr>
            <w:tcW w:w="620" w:type="pct"/>
            <w:vAlign w:val="center"/>
          </w:tcPr>
          <w:p>
            <w:pPr>
              <w:spacing w:line="240" w:lineRule="atLeast"/>
              <w:jc w:val="center"/>
              <w:rPr>
                <w:rFonts w:ascii="宋体"/>
                <w:color w:val="000000"/>
                <w:kern w:val="0"/>
                <w:szCs w:val="21"/>
              </w:rPr>
            </w:pPr>
            <w:r>
              <w:rPr>
                <w:rFonts w:hint="eastAsia" w:ascii="宋体" w:hAnsi="宋体"/>
                <w:color w:val="000000"/>
                <w:kern w:val="0"/>
                <w:szCs w:val="21"/>
              </w:rPr>
              <w:t>御临河</w:t>
            </w:r>
          </w:p>
        </w:tc>
        <w:tc>
          <w:tcPr>
            <w:tcW w:w="707" w:type="pct"/>
            <w:vAlign w:val="center"/>
          </w:tcPr>
          <w:p>
            <w:pPr>
              <w:spacing w:line="240" w:lineRule="atLeast"/>
              <w:jc w:val="center"/>
              <w:rPr>
                <w:rFonts w:ascii="宋体" w:hAnsi="宋体"/>
                <w:color w:val="000000"/>
                <w:kern w:val="0"/>
                <w:szCs w:val="21"/>
              </w:rPr>
            </w:pPr>
            <w:r>
              <w:rPr>
                <w:rFonts w:ascii="宋体" w:hAnsi="宋体"/>
                <w:color w:val="000000"/>
                <w:kern w:val="0"/>
                <w:szCs w:val="21"/>
              </w:rPr>
              <w:t>3896</w:t>
            </w:r>
          </w:p>
        </w:tc>
        <w:tc>
          <w:tcPr>
            <w:tcW w:w="703" w:type="pct"/>
            <w:vAlign w:val="center"/>
          </w:tcPr>
          <w:p>
            <w:pPr>
              <w:spacing w:line="240" w:lineRule="atLeast"/>
              <w:jc w:val="center"/>
              <w:rPr>
                <w:rFonts w:ascii="宋体" w:hAnsi="宋体"/>
                <w:color w:val="000000"/>
                <w:kern w:val="0"/>
                <w:szCs w:val="21"/>
              </w:rPr>
            </w:pPr>
            <w:r>
              <w:rPr>
                <w:rFonts w:ascii="宋体" w:hAnsi="宋体"/>
                <w:color w:val="000000"/>
                <w:kern w:val="0"/>
                <w:szCs w:val="21"/>
              </w:rPr>
              <w:t>591</w:t>
            </w:r>
          </w:p>
        </w:tc>
        <w:tc>
          <w:tcPr>
            <w:tcW w:w="615" w:type="pct"/>
            <w:vAlign w:val="center"/>
          </w:tcPr>
          <w:p>
            <w:pPr>
              <w:spacing w:line="240" w:lineRule="atLeast"/>
              <w:jc w:val="center"/>
              <w:rPr>
                <w:rFonts w:ascii="宋体" w:hAnsi="宋体"/>
                <w:color w:val="000000"/>
                <w:kern w:val="0"/>
                <w:szCs w:val="21"/>
              </w:rPr>
            </w:pPr>
            <w:r>
              <w:rPr>
                <w:rFonts w:ascii="宋体" w:hAnsi="宋体"/>
                <w:color w:val="000000"/>
                <w:kern w:val="0"/>
                <w:szCs w:val="21"/>
              </w:rPr>
              <w:t>226</w:t>
            </w:r>
          </w:p>
        </w:tc>
        <w:tc>
          <w:tcPr>
            <w:tcW w:w="718" w:type="pct"/>
            <w:vAlign w:val="center"/>
          </w:tcPr>
          <w:p>
            <w:pPr>
              <w:spacing w:line="240" w:lineRule="atLeast"/>
              <w:jc w:val="center"/>
              <w:rPr>
                <w:rFonts w:ascii="宋体" w:hAnsi="宋体"/>
                <w:color w:val="000000"/>
                <w:kern w:val="0"/>
                <w:szCs w:val="21"/>
              </w:rPr>
            </w:pPr>
            <w:r>
              <w:rPr>
                <w:rFonts w:ascii="宋体" w:hAnsi="宋体"/>
                <w:color w:val="000000"/>
                <w:kern w:val="0"/>
                <w:szCs w:val="21"/>
              </w:rPr>
              <w:t>77.5</w:t>
            </w:r>
          </w:p>
        </w:tc>
        <w:tc>
          <w:tcPr>
            <w:tcW w:w="819" w:type="pct"/>
            <w:vAlign w:val="center"/>
          </w:tcPr>
          <w:p>
            <w:pPr>
              <w:spacing w:line="240" w:lineRule="atLeast"/>
              <w:jc w:val="center"/>
              <w:rPr>
                <w:rFonts w:ascii="宋体" w:hAnsi="宋体"/>
                <w:color w:val="000000"/>
                <w:kern w:val="0"/>
                <w:szCs w:val="21"/>
              </w:rPr>
            </w:pPr>
            <w:r>
              <w:rPr>
                <w:rFonts w:ascii="宋体" w:hAnsi="宋体"/>
                <w:color w:val="000000"/>
                <w:kern w:val="0"/>
                <w:szCs w:val="21"/>
              </w:rPr>
              <w:t>2.47</w:t>
            </w:r>
          </w:p>
        </w:tc>
        <w:tc>
          <w:tcPr>
            <w:tcW w:w="818" w:type="pct"/>
            <w:vAlign w:val="center"/>
          </w:tcPr>
          <w:p>
            <w:pPr>
              <w:spacing w:line="240" w:lineRule="atLeast"/>
              <w:jc w:val="center"/>
              <w:rPr>
                <w:rFonts w:ascii="宋体" w:hAnsi="宋体"/>
                <w:color w:val="000000"/>
                <w:kern w:val="0"/>
                <w:szCs w:val="21"/>
              </w:rPr>
            </w:pPr>
            <w:r>
              <w:rPr>
                <w:rFonts w:ascii="宋体" w:hAnsi="宋体"/>
                <w:color w:val="000000"/>
                <w:kern w:val="0"/>
                <w:szCs w:val="21"/>
              </w:rPr>
              <w:t>20.85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exact"/>
          <w:jc w:val="center"/>
        </w:trPr>
        <w:tc>
          <w:tcPr>
            <w:tcW w:w="620" w:type="pct"/>
            <w:vAlign w:val="center"/>
          </w:tcPr>
          <w:p>
            <w:pPr>
              <w:spacing w:line="240" w:lineRule="atLeast"/>
              <w:jc w:val="center"/>
              <w:rPr>
                <w:rFonts w:ascii="宋体"/>
                <w:color w:val="000000"/>
                <w:kern w:val="0"/>
                <w:szCs w:val="21"/>
              </w:rPr>
            </w:pPr>
            <w:r>
              <w:rPr>
                <w:rFonts w:hint="eastAsia" w:ascii="宋体" w:hAnsi="宋体"/>
                <w:color w:val="000000"/>
                <w:kern w:val="0"/>
                <w:szCs w:val="21"/>
              </w:rPr>
              <w:t>后河</w:t>
            </w:r>
          </w:p>
        </w:tc>
        <w:tc>
          <w:tcPr>
            <w:tcW w:w="707" w:type="pct"/>
            <w:vAlign w:val="center"/>
          </w:tcPr>
          <w:p>
            <w:pPr>
              <w:spacing w:line="240" w:lineRule="atLeast"/>
              <w:jc w:val="center"/>
              <w:rPr>
                <w:rFonts w:ascii="宋体" w:hAnsi="宋体"/>
                <w:color w:val="000000"/>
                <w:kern w:val="0"/>
                <w:szCs w:val="21"/>
              </w:rPr>
            </w:pPr>
            <w:r>
              <w:rPr>
                <w:rFonts w:ascii="宋体" w:hAnsi="宋体"/>
                <w:color w:val="000000"/>
                <w:kern w:val="0"/>
                <w:szCs w:val="21"/>
              </w:rPr>
              <w:t>342.2</w:t>
            </w:r>
          </w:p>
        </w:tc>
        <w:tc>
          <w:tcPr>
            <w:tcW w:w="703" w:type="pct"/>
            <w:vAlign w:val="center"/>
          </w:tcPr>
          <w:p>
            <w:pPr>
              <w:spacing w:line="240" w:lineRule="atLeast"/>
              <w:jc w:val="center"/>
              <w:rPr>
                <w:rFonts w:ascii="宋体" w:hAnsi="宋体"/>
                <w:color w:val="000000"/>
                <w:kern w:val="0"/>
                <w:szCs w:val="21"/>
              </w:rPr>
            </w:pPr>
            <w:r>
              <w:rPr>
                <w:rFonts w:ascii="宋体" w:hAnsi="宋体"/>
                <w:color w:val="000000"/>
                <w:kern w:val="0"/>
                <w:szCs w:val="21"/>
              </w:rPr>
              <w:t>342.2</w:t>
            </w:r>
          </w:p>
        </w:tc>
        <w:tc>
          <w:tcPr>
            <w:tcW w:w="615" w:type="pct"/>
            <w:vAlign w:val="center"/>
          </w:tcPr>
          <w:p>
            <w:pPr>
              <w:spacing w:line="240" w:lineRule="atLeast"/>
              <w:jc w:val="center"/>
              <w:rPr>
                <w:rFonts w:ascii="宋体" w:hAnsi="宋体"/>
                <w:color w:val="000000"/>
                <w:kern w:val="0"/>
                <w:szCs w:val="21"/>
              </w:rPr>
            </w:pPr>
            <w:r>
              <w:rPr>
                <w:rFonts w:ascii="宋体" w:hAnsi="宋体"/>
                <w:color w:val="000000"/>
                <w:kern w:val="0"/>
                <w:szCs w:val="21"/>
              </w:rPr>
              <w:t>50.5</w:t>
            </w:r>
          </w:p>
        </w:tc>
        <w:tc>
          <w:tcPr>
            <w:tcW w:w="718" w:type="pct"/>
            <w:vAlign w:val="center"/>
          </w:tcPr>
          <w:p>
            <w:pPr>
              <w:spacing w:line="240" w:lineRule="atLeast"/>
              <w:jc w:val="center"/>
              <w:rPr>
                <w:rFonts w:ascii="宋体" w:hAnsi="宋体"/>
                <w:color w:val="000000"/>
                <w:kern w:val="0"/>
                <w:szCs w:val="21"/>
              </w:rPr>
            </w:pPr>
            <w:r>
              <w:rPr>
                <w:rFonts w:ascii="宋体" w:hAnsi="宋体"/>
                <w:color w:val="000000"/>
                <w:kern w:val="0"/>
                <w:szCs w:val="21"/>
              </w:rPr>
              <w:t>50.5</w:t>
            </w:r>
          </w:p>
        </w:tc>
        <w:tc>
          <w:tcPr>
            <w:tcW w:w="819" w:type="pct"/>
            <w:vAlign w:val="center"/>
          </w:tcPr>
          <w:p>
            <w:pPr>
              <w:spacing w:line="240" w:lineRule="atLeast"/>
              <w:jc w:val="center"/>
              <w:rPr>
                <w:rFonts w:ascii="宋体" w:hAnsi="宋体"/>
                <w:color w:val="000000"/>
                <w:kern w:val="0"/>
                <w:szCs w:val="21"/>
              </w:rPr>
            </w:pPr>
            <w:r>
              <w:rPr>
                <w:rFonts w:ascii="宋体" w:hAnsi="宋体"/>
                <w:color w:val="000000"/>
                <w:kern w:val="0"/>
                <w:szCs w:val="21"/>
              </w:rPr>
              <w:t>6.65</w:t>
            </w:r>
          </w:p>
        </w:tc>
        <w:tc>
          <w:tcPr>
            <w:tcW w:w="818" w:type="pct"/>
            <w:vAlign w:val="center"/>
          </w:tcPr>
          <w:p>
            <w:pPr>
              <w:spacing w:line="240" w:lineRule="atLeast"/>
              <w:jc w:val="center"/>
              <w:rPr>
                <w:rFonts w:ascii="宋体" w:hAnsi="宋体"/>
                <w:color w:val="000000"/>
                <w:kern w:val="0"/>
                <w:szCs w:val="21"/>
              </w:rPr>
            </w:pPr>
            <w:r>
              <w:rPr>
                <w:rFonts w:ascii="宋体" w:hAnsi="宋体"/>
                <w:color w:val="000000"/>
                <w:kern w:val="0"/>
                <w:szCs w:val="21"/>
              </w:rPr>
              <w:t>1.70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exact"/>
          <w:jc w:val="center"/>
        </w:trPr>
        <w:tc>
          <w:tcPr>
            <w:tcW w:w="620" w:type="pct"/>
            <w:vAlign w:val="center"/>
          </w:tcPr>
          <w:p>
            <w:pPr>
              <w:spacing w:line="240" w:lineRule="atLeast"/>
              <w:jc w:val="center"/>
              <w:rPr>
                <w:rFonts w:ascii="宋体"/>
                <w:color w:val="000000"/>
                <w:kern w:val="0"/>
                <w:szCs w:val="21"/>
              </w:rPr>
            </w:pPr>
            <w:r>
              <w:rPr>
                <w:rFonts w:hint="eastAsia" w:ascii="宋体" w:hAnsi="宋体"/>
                <w:color w:val="000000"/>
                <w:kern w:val="0"/>
                <w:szCs w:val="21"/>
              </w:rPr>
              <w:t>温塘河</w:t>
            </w:r>
          </w:p>
        </w:tc>
        <w:tc>
          <w:tcPr>
            <w:tcW w:w="707" w:type="pct"/>
            <w:vAlign w:val="center"/>
          </w:tcPr>
          <w:p>
            <w:pPr>
              <w:spacing w:line="240" w:lineRule="atLeast"/>
              <w:jc w:val="center"/>
              <w:rPr>
                <w:rFonts w:ascii="宋体" w:hAnsi="宋体"/>
                <w:color w:val="000000"/>
                <w:kern w:val="0"/>
                <w:szCs w:val="21"/>
              </w:rPr>
            </w:pPr>
            <w:r>
              <w:rPr>
                <w:rFonts w:ascii="宋体" w:hAnsi="宋体"/>
                <w:color w:val="000000"/>
                <w:kern w:val="0"/>
                <w:szCs w:val="21"/>
              </w:rPr>
              <w:t>216</w:t>
            </w:r>
          </w:p>
        </w:tc>
        <w:tc>
          <w:tcPr>
            <w:tcW w:w="703" w:type="pct"/>
            <w:vAlign w:val="center"/>
          </w:tcPr>
          <w:p>
            <w:pPr>
              <w:spacing w:line="240" w:lineRule="atLeast"/>
              <w:jc w:val="center"/>
              <w:rPr>
                <w:rFonts w:ascii="宋体" w:hAnsi="宋体"/>
                <w:color w:val="000000"/>
                <w:kern w:val="0"/>
                <w:szCs w:val="21"/>
              </w:rPr>
            </w:pPr>
            <w:r>
              <w:rPr>
                <w:rFonts w:ascii="宋体" w:hAnsi="宋体"/>
                <w:color w:val="000000"/>
                <w:kern w:val="0"/>
                <w:szCs w:val="21"/>
              </w:rPr>
              <w:t>216</w:t>
            </w:r>
          </w:p>
        </w:tc>
        <w:tc>
          <w:tcPr>
            <w:tcW w:w="615" w:type="pct"/>
            <w:vAlign w:val="center"/>
          </w:tcPr>
          <w:p>
            <w:pPr>
              <w:spacing w:line="240" w:lineRule="atLeast"/>
              <w:jc w:val="center"/>
              <w:rPr>
                <w:rFonts w:ascii="宋体" w:hAnsi="宋体"/>
                <w:color w:val="000000"/>
                <w:kern w:val="0"/>
                <w:szCs w:val="21"/>
              </w:rPr>
            </w:pPr>
            <w:r>
              <w:rPr>
                <w:rFonts w:ascii="宋体" w:hAnsi="宋体"/>
                <w:color w:val="000000"/>
                <w:kern w:val="0"/>
                <w:szCs w:val="21"/>
              </w:rPr>
              <w:t>30</w:t>
            </w:r>
          </w:p>
        </w:tc>
        <w:tc>
          <w:tcPr>
            <w:tcW w:w="718" w:type="pct"/>
            <w:vAlign w:val="center"/>
          </w:tcPr>
          <w:p>
            <w:pPr>
              <w:spacing w:line="240" w:lineRule="atLeast"/>
              <w:jc w:val="center"/>
              <w:rPr>
                <w:rFonts w:ascii="宋体" w:hAnsi="宋体"/>
                <w:color w:val="000000"/>
                <w:kern w:val="0"/>
                <w:szCs w:val="21"/>
              </w:rPr>
            </w:pPr>
            <w:r>
              <w:rPr>
                <w:rFonts w:ascii="宋体" w:hAnsi="宋体"/>
                <w:color w:val="000000"/>
                <w:kern w:val="0"/>
                <w:szCs w:val="21"/>
              </w:rPr>
              <w:t>30</w:t>
            </w:r>
          </w:p>
        </w:tc>
        <w:tc>
          <w:tcPr>
            <w:tcW w:w="819" w:type="pct"/>
            <w:vAlign w:val="center"/>
          </w:tcPr>
          <w:p>
            <w:pPr>
              <w:spacing w:line="240" w:lineRule="atLeast"/>
              <w:jc w:val="center"/>
              <w:rPr>
                <w:rFonts w:ascii="宋体" w:hAnsi="宋体"/>
                <w:color w:val="000000"/>
                <w:kern w:val="0"/>
                <w:szCs w:val="21"/>
              </w:rPr>
            </w:pPr>
            <w:r>
              <w:rPr>
                <w:rFonts w:ascii="宋体" w:hAnsi="宋体"/>
                <w:color w:val="000000"/>
                <w:kern w:val="0"/>
                <w:szCs w:val="21"/>
              </w:rPr>
              <w:t>9.91</w:t>
            </w:r>
          </w:p>
        </w:tc>
        <w:tc>
          <w:tcPr>
            <w:tcW w:w="818" w:type="pct"/>
            <w:vAlign w:val="center"/>
          </w:tcPr>
          <w:p>
            <w:pPr>
              <w:spacing w:line="240" w:lineRule="atLeast"/>
              <w:jc w:val="center"/>
              <w:rPr>
                <w:rFonts w:ascii="宋体" w:hAnsi="宋体"/>
                <w:color w:val="000000"/>
                <w:kern w:val="0"/>
                <w:szCs w:val="21"/>
              </w:rPr>
            </w:pPr>
            <w:r>
              <w:rPr>
                <w:rFonts w:ascii="宋体" w:hAnsi="宋体"/>
                <w:color w:val="000000"/>
                <w:kern w:val="0"/>
                <w:szCs w:val="21"/>
              </w:rPr>
              <w:t>1.13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exact"/>
          <w:jc w:val="center"/>
        </w:trPr>
        <w:tc>
          <w:tcPr>
            <w:tcW w:w="620" w:type="pct"/>
            <w:vAlign w:val="center"/>
          </w:tcPr>
          <w:p>
            <w:pPr>
              <w:spacing w:line="240" w:lineRule="atLeast"/>
              <w:jc w:val="center"/>
              <w:rPr>
                <w:rFonts w:ascii="宋体"/>
                <w:color w:val="000000"/>
                <w:kern w:val="0"/>
                <w:szCs w:val="21"/>
              </w:rPr>
            </w:pPr>
            <w:r>
              <w:rPr>
                <w:rFonts w:hint="eastAsia" w:ascii="宋体" w:hAnsi="宋体"/>
                <w:color w:val="000000"/>
                <w:kern w:val="0"/>
                <w:szCs w:val="21"/>
              </w:rPr>
              <w:t>平滩河</w:t>
            </w:r>
          </w:p>
        </w:tc>
        <w:tc>
          <w:tcPr>
            <w:tcW w:w="707" w:type="pct"/>
            <w:vAlign w:val="center"/>
          </w:tcPr>
          <w:p>
            <w:pPr>
              <w:spacing w:line="240" w:lineRule="atLeast"/>
              <w:jc w:val="center"/>
              <w:rPr>
                <w:rFonts w:ascii="宋体" w:hAnsi="宋体"/>
                <w:color w:val="000000"/>
                <w:kern w:val="0"/>
                <w:szCs w:val="21"/>
              </w:rPr>
            </w:pPr>
            <w:r>
              <w:rPr>
                <w:rFonts w:ascii="宋体" w:hAnsi="宋体"/>
                <w:color w:val="000000"/>
                <w:kern w:val="0"/>
                <w:szCs w:val="21"/>
              </w:rPr>
              <w:t>121</w:t>
            </w:r>
          </w:p>
        </w:tc>
        <w:tc>
          <w:tcPr>
            <w:tcW w:w="703" w:type="pct"/>
            <w:vAlign w:val="center"/>
          </w:tcPr>
          <w:p>
            <w:pPr>
              <w:spacing w:line="240" w:lineRule="atLeast"/>
              <w:jc w:val="center"/>
              <w:rPr>
                <w:rFonts w:ascii="宋体" w:hAnsi="宋体"/>
                <w:color w:val="000000"/>
                <w:kern w:val="0"/>
                <w:szCs w:val="21"/>
              </w:rPr>
            </w:pPr>
            <w:r>
              <w:rPr>
                <w:rFonts w:ascii="宋体" w:hAnsi="宋体"/>
                <w:color w:val="000000"/>
                <w:kern w:val="0"/>
                <w:szCs w:val="21"/>
              </w:rPr>
              <w:t>121</w:t>
            </w:r>
          </w:p>
        </w:tc>
        <w:tc>
          <w:tcPr>
            <w:tcW w:w="615" w:type="pct"/>
            <w:vAlign w:val="center"/>
          </w:tcPr>
          <w:p>
            <w:pPr>
              <w:spacing w:line="240" w:lineRule="atLeast"/>
              <w:jc w:val="center"/>
              <w:rPr>
                <w:rFonts w:ascii="宋体" w:hAnsi="宋体"/>
                <w:color w:val="000000"/>
                <w:kern w:val="0"/>
                <w:szCs w:val="21"/>
              </w:rPr>
            </w:pPr>
            <w:r>
              <w:rPr>
                <w:rFonts w:ascii="宋体" w:hAnsi="宋体"/>
                <w:color w:val="000000"/>
                <w:kern w:val="0"/>
                <w:szCs w:val="21"/>
              </w:rPr>
              <w:t>27</w:t>
            </w:r>
          </w:p>
        </w:tc>
        <w:tc>
          <w:tcPr>
            <w:tcW w:w="718" w:type="pct"/>
            <w:vAlign w:val="center"/>
          </w:tcPr>
          <w:p>
            <w:pPr>
              <w:spacing w:line="240" w:lineRule="atLeast"/>
              <w:jc w:val="center"/>
              <w:rPr>
                <w:rFonts w:ascii="宋体" w:hAnsi="宋体"/>
                <w:color w:val="000000"/>
                <w:kern w:val="0"/>
                <w:szCs w:val="21"/>
              </w:rPr>
            </w:pPr>
            <w:r>
              <w:rPr>
                <w:rFonts w:ascii="宋体" w:hAnsi="宋体"/>
                <w:color w:val="000000"/>
                <w:kern w:val="0"/>
                <w:szCs w:val="21"/>
              </w:rPr>
              <w:t>27</w:t>
            </w:r>
          </w:p>
        </w:tc>
        <w:tc>
          <w:tcPr>
            <w:tcW w:w="819" w:type="pct"/>
            <w:vAlign w:val="center"/>
          </w:tcPr>
          <w:p>
            <w:pPr>
              <w:spacing w:line="240" w:lineRule="atLeast"/>
              <w:jc w:val="center"/>
              <w:rPr>
                <w:rFonts w:ascii="宋体" w:hAnsi="宋体"/>
                <w:color w:val="000000"/>
                <w:kern w:val="0"/>
                <w:szCs w:val="21"/>
              </w:rPr>
            </w:pPr>
            <w:r>
              <w:rPr>
                <w:rFonts w:ascii="宋体" w:hAnsi="宋体"/>
                <w:color w:val="000000"/>
                <w:kern w:val="0"/>
                <w:szCs w:val="21"/>
              </w:rPr>
              <w:t>7.50</w:t>
            </w:r>
          </w:p>
        </w:tc>
        <w:tc>
          <w:tcPr>
            <w:tcW w:w="818" w:type="pct"/>
            <w:vAlign w:val="center"/>
          </w:tcPr>
          <w:p>
            <w:pPr>
              <w:spacing w:line="240" w:lineRule="atLeast"/>
              <w:jc w:val="center"/>
              <w:rPr>
                <w:rFonts w:ascii="宋体" w:hAnsi="宋体"/>
                <w:color w:val="000000"/>
                <w:kern w:val="0"/>
                <w:szCs w:val="21"/>
              </w:rPr>
            </w:pPr>
            <w:r>
              <w:rPr>
                <w:rFonts w:ascii="宋体" w:hAnsi="宋体"/>
                <w:color w:val="000000"/>
                <w:kern w:val="0"/>
                <w:szCs w:val="21"/>
              </w:rPr>
              <w:t>0.397</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exact"/>
          <w:jc w:val="center"/>
        </w:trPr>
        <w:tc>
          <w:tcPr>
            <w:tcW w:w="620" w:type="pct"/>
            <w:vAlign w:val="center"/>
          </w:tcPr>
          <w:p>
            <w:pPr>
              <w:spacing w:line="240" w:lineRule="atLeast"/>
              <w:jc w:val="center"/>
              <w:rPr>
                <w:rFonts w:ascii="宋体"/>
                <w:color w:val="000000"/>
                <w:kern w:val="0"/>
                <w:szCs w:val="21"/>
              </w:rPr>
            </w:pPr>
            <w:r>
              <w:rPr>
                <w:rFonts w:hint="eastAsia" w:ascii="宋体" w:hAnsi="宋体"/>
                <w:color w:val="000000"/>
                <w:kern w:val="0"/>
                <w:szCs w:val="21"/>
              </w:rPr>
              <w:t>朝阳河</w:t>
            </w:r>
          </w:p>
        </w:tc>
        <w:tc>
          <w:tcPr>
            <w:tcW w:w="707" w:type="pct"/>
            <w:vAlign w:val="center"/>
          </w:tcPr>
          <w:p>
            <w:pPr>
              <w:spacing w:line="240" w:lineRule="atLeast"/>
              <w:jc w:val="center"/>
              <w:rPr>
                <w:rFonts w:ascii="宋体" w:hAnsi="宋体"/>
                <w:color w:val="000000"/>
                <w:kern w:val="0"/>
                <w:szCs w:val="21"/>
              </w:rPr>
            </w:pPr>
            <w:r>
              <w:rPr>
                <w:rFonts w:ascii="宋体" w:hAnsi="宋体"/>
                <w:color w:val="000000"/>
                <w:kern w:val="0"/>
                <w:szCs w:val="21"/>
              </w:rPr>
              <w:t>136</w:t>
            </w:r>
          </w:p>
        </w:tc>
        <w:tc>
          <w:tcPr>
            <w:tcW w:w="703" w:type="pct"/>
            <w:vAlign w:val="center"/>
          </w:tcPr>
          <w:p>
            <w:pPr>
              <w:spacing w:line="240" w:lineRule="atLeast"/>
              <w:jc w:val="center"/>
              <w:rPr>
                <w:rFonts w:ascii="宋体" w:hAnsi="宋体"/>
                <w:color w:val="000000"/>
                <w:kern w:val="0"/>
                <w:szCs w:val="21"/>
              </w:rPr>
            </w:pPr>
            <w:r>
              <w:rPr>
                <w:rFonts w:ascii="宋体" w:hAnsi="宋体"/>
                <w:color w:val="000000"/>
                <w:kern w:val="0"/>
                <w:szCs w:val="21"/>
              </w:rPr>
              <w:t>124.5</w:t>
            </w:r>
          </w:p>
        </w:tc>
        <w:tc>
          <w:tcPr>
            <w:tcW w:w="615" w:type="pct"/>
            <w:vAlign w:val="center"/>
          </w:tcPr>
          <w:p>
            <w:pPr>
              <w:spacing w:line="240" w:lineRule="atLeast"/>
              <w:jc w:val="center"/>
              <w:rPr>
                <w:rFonts w:ascii="宋体" w:hAnsi="宋体"/>
                <w:color w:val="000000"/>
                <w:kern w:val="0"/>
                <w:szCs w:val="21"/>
              </w:rPr>
            </w:pPr>
            <w:r>
              <w:rPr>
                <w:rFonts w:ascii="宋体" w:hAnsi="宋体"/>
                <w:color w:val="000000"/>
                <w:kern w:val="0"/>
                <w:szCs w:val="21"/>
              </w:rPr>
              <w:t>34</w:t>
            </w:r>
          </w:p>
        </w:tc>
        <w:tc>
          <w:tcPr>
            <w:tcW w:w="718" w:type="pct"/>
            <w:vAlign w:val="center"/>
          </w:tcPr>
          <w:p>
            <w:pPr>
              <w:spacing w:line="240" w:lineRule="atLeast"/>
              <w:jc w:val="center"/>
              <w:rPr>
                <w:rFonts w:ascii="宋体" w:hAnsi="宋体"/>
                <w:color w:val="000000"/>
                <w:kern w:val="0"/>
                <w:szCs w:val="21"/>
              </w:rPr>
            </w:pPr>
            <w:r>
              <w:rPr>
                <w:rFonts w:ascii="宋体" w:hAnsi="宋体"/>
                <w:color w:val="000000"/>
                <w:kern w:val="0"/>
                <w:szCs w:val="21"/>
              </w:rPr>
              <w:t>30.7</w:t>
            </w:r>
          </w:p>
        </w:tc>
        <w:tc>
          <w:tcPr>
            <w:tcW w:w="819" w:type="pct"/>
            <w:vAlign w:val="center"/>
          </w:tcPr>
          <w:p>
            <w:pPr>
              <w:spacing w:line="240" w:lineRule="atLeast"/>
              <w:jc w:val="center"/>
              <w:rPr>
                <w:rFonts w:ascii="宋体" w:hAnsi="宋体"/>
                <w:color w:val="000000"/>
                <w:kern w:val="0"/>
                <w:szCs w:val="21"/>
              </w:rPr>
            </w:pPr>
            <w:r>
              <w:rPr>
                <w:rFonts w:ascii="宋体" w:hAnsi="宋体"/>
                <w:color w:val="000000"/>
                <w:kern w:val="0"/>
                <w:szCs w:val="21"/>
              </w:rPr>
              <w:t>5.01</w:t>
            </w:r>
          </w:p>
        </w:tc>
        <w:tc>
          <w:tcPr>
            <w:tcW w:w="818" w:type="pct"/>
            <w:vAlign w:val="center"/>
          </w:tcPr>
          <w:p>
            <w:pPr>
              <w:spacing w:line="240" w:lineRule="atLeast"/>
              <w:jc w:val="center"/>
              <w:rPr>
                <w:rFonts w:ascii="宋体" w:hAnsi="宋体"/>
                <w:color w:val="000000"/>
                <w:kern w:val="0"/>
                <w:szCs w:val="21"/>
              </w:rPr>
            </w:pPr>
            <w:r>
              <w:rPr>
                <w:rFonts w:ascii="宋体" w:hAnsi="宋体"/>
                <w:color w:val="000000"/>
                <w:kern w:val="0"/>
                <w:szCs w:val="21"/>
              </w:rPr>
              <w:t>0.687</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exact"/>
          <w:jc w:val="center"/>
        </w:trPr>
        <w:tc>
          <w:tcPr>
            <w:tcW w:w="620" w:type="pct"/>
            <w:vAlign w:val="center"/>
          </w:tcPr>
          <w:p>
            <w:pPr>
              <w:spacing w:line="240" w:lineRule="atLeast"/>
              <w:jc w:val="center"/>
              <w:rPr>
                <w:rFonts w:ascii="宋体"/>
                <w:color w:val="000000"/>
                <w:kern w:val="0"/>
                <w:szCs w:val="21"/>
              </w:rPr>
            </w:pPr>
            <w:r>
              <w:rPr>
                <w:rFonts w:hint="eastAsia" w:ascii="宋体" w:hAnsi="宋体"/>
                <w:color w:val="000000"/>
                <w:kern w:val="0"/>
                <w:szCs w:val="21"/>
              </w:rPr>
              <w:t>大洪河</w:t>
            </w:r>
          </w:p>
        </w:tc>
        <w:tc>
          <w:tcPr>
            <w:tcW w:w="707" w:type="pct"/>
            <w:vAlign w:val="center"/>
          </w:tcPr>
          <w:p>
            <w:pPr>
              <w:spacing w:line="240" w:lineRule="atLeast"/>
              <w:jc w:val="center"/>
              <w:rPr>
                <w:rFonts w:ascii="宋体" w:hAnsi="宋体"/>
                <w:color w:val="000000"/>
                <w:kern w:val="0"/>
                <w:szCs w:val="21"/>
              </w:rPr>
            </w:pPr>
            <w:r>
              <w:rPr>
                <w:rFonts w:ascii="宋体" w:hAnsi="宋体"/>
                <w:color w:val="000000"/>
                <w:kern w:val="0"/>
                <w:szCs w:val="21"/>
              </w:rPr>
              <w:t>1427</w:t>
            </w:r>
          </w:p>
        </w:tc>
        <w:tc>
          <w:tcPr>
            <w:tcW w:w="703" w:type="pct"/>
            <w:vAlign w:val="center"/>
          </w:tcPr>
          <w:p>
            <w:pPr>
              <w:spacing w:line="240" w:lineRule="atLeast"/>
              <w:jc w:val="center"/>
              <w:rPr>
                <w:rFonts w:ascii="宋体" w:hAnsi="宋体"/>
                <w:color w:val="000000"/>
                <w:kern w:val="0"/>
                <w:szCs w:val="21"/>
              </w:rPr>
            </w:pPr>
            <w:r>
              <w:rPr>
                <w:rFonts w:ascii="宋体" w:hAnsi="宋体"/>
                <w:color w:val="000000"/>
                <w:kern w:val="0"/>
                <w:szCs w:val="21"/>
              </w:rPr>
              <w:t>106</w:t>
            </w:r>
          </w:p>
        </w:tc>
        <w:tc>
          <w:tcPr>
            <w:tcW w:w="615" w:type="pct"/>
            <w:vAlign w:val="center"/>
          </w:tcPr>
          <w:p>
            <w:pPr>
              <w:spacing w:line="240" w:lineRule="atLeast"/>
              <w:jc w:val="center"/>
              <w:rPr>
                <w:rFonts w:ascii="宋体" w:hAnsi="宋体"/>
                <w:color w:val="000000"/>
                <w:kern w:val="0"/>
                <w:szCs w:val="21"/>
              </w:rPr>
            </w:pPr>
            <w:r>
              <w:rPr>
                <w:rFonts w:ascii="宋体" w:hAnsi="宋体"/>
                <w:color w:val="000000"/>
                <w:kern w:val="0"/>
                <w:szCs w:val="21"/>
              </w:rPr>
              <w:t>152</w:t>
            </w:r>
          </w:p>
        </w:tc>
        <w:tc>
          <w:tcPr>
            <w:tcW w:w="718" w:type="pct"/>
            <w:vAlign w:val="center"/>
          </w:tcPr>
          <w:p>
            <w:pPr>
              <w:spacing w:line="240" w:lineRule="atLeast"/>
              <w:jc w:val="center"/>
              <w:rPr>
                <w:rFonts w:ascii="宋体" w:hAnsi="宋体"/>
                <w:color w:val="000000"/>
                <w:kern w:val="0"/>
                <w:szCs w:val="21"/>
              </w:rPr>
            </w:pPr>
            <w:r>
              <w:rPr>
                <w:rFonts w:ascii="宋体" w:hAnsi="宋体"/>
                <w:color w:val="000000"/>
                <w:kern w:val="0"/>
                <w:szCs w:val="21"/>
              </w:rPr>
              <w:t>20.5</w:t>
            </w:r>
          </w:p>
        </w:tc>
        <w:tc>
          <w:tcPr>
            <w:tcW w:w="819" w:type="pct"/>
            <w:vAlign w:val="center"/>
          </w:tcPr>
          <w:p>
            <w:pPr>
              <w:spacing w:line="240" w:lineRule="atLeast"/>
              <w:jc w:val="center"/>
              <w:rPr>
                <w:rFonts w:ascii="宋体" w:hAnsi="宋体"/>
                <w:color w:val="000000"/>
                <w:kern w:val="0"/>
                <w:szCs w:val="21"/>
              </w:rPr>
            </w:pPr>
            <w:r>
              <w:rPr>
                <w:rFonts w:ascii="宋体" w:hAnsi="宋体"/>
                <w:color w:val="000000"/>
                <w:kern w:val="0"/>
                <w:szCs w:val="21"/>
              </w:rPr>
              <w:t>1.70</w:t>
            </w:r>
          </w:p>
        </w:tc>
        <w:tc>
          <w:tcPr>
            <w:tcW w:w="818" w:type="pct"/>
            <w:vAlign w:val="center"/>
          </w:tcPr>
          <w:p>
            <w:pPr>
              <w:spacing w:line="240" w:lineRule="atLeast"/>
              <w:jc w:val="center"/>
              <w:rPr>
                <w:rFonts w:ascii="宋体" w:hAnsi="宋体"/>
                <w:color w:val="000000"/>
                <w:kern w:val="0"/>
                <w:szCs w:val="21"/>
              </w:rPr>
            </w:pPr>
            <w:r>
              <w:rPr>
                <w:rFonts w:ascii="宋体" w:hAnsi="宋体"/>
                <w:color w:val="000000"/>
                <w:kern w:val="0"/>
                <w:szCs w:val="21"/>
              </w:rPr>
              <w:t>7.13</w:t>
            </w:r>
          </w:p>
        </w:tc>
      </w:tr>
    </w:tbl>
    <w:p>
      <w:pPr>
        <w:keepNext/>
        <w:keepLines/>
        <w:tabs>
          <w:tab w:val="left" w:pos="7230"/>
        </w:tabs>
        <w:spacing w:before="260" w:after="260" w:line="413" w:lineRule="auto"/>
        <w:ind w:firstLine="281" w:firstLineChars="100"/>
        <w:outlineLvl w:val="1"/>
        <w:rPr>
          <w:rFonts w:ascii="Times New Roman" w:hAnsi="Times New Roman"/>
          <w:b/>
          <w:bCs/>
          <w:color w:val="0070C0"/>
          <w:kern w:val="44"/>
          <w:sz w:val="28"/>
          <w:szCs w:val="28"/>
        </w:rPr>
      </w:pPr>
      <w:bookmarkStart w:id="15" w:name="_Toc90482752"/>
      <w:r>
        <w:rPr>
          <w:rFonts w:ascii="Times New Roman" w:hAnsi="Times New Roman"/>
          <w:b/>
          <w:bCs/>
          <w:kern w:val="44"/>
          <w:sz w:val="28"/>
          <w:szCs w:val="28"/>
        </w:rPr>
        <w:t xml:space="preserve">1.2 </w:t>
      </w:r>
      <w:r>
        <w:rPr>
          <w:rFonts w:hint="eastAsia" w:ascii="Times New Roman" w:hAnsi="Times New Roman"/>
          <w:b/>
          <w:bCs/>
          <w:kern w:val="44"/>
          <w:sz w:val="28"/>
          <w:szCs w:val="28"/>
        </w:rPr>
        <w:t>社会经济概况</w:t>
      </w:r>
      <w:bookmarkEnd w:id="15"/>
    </w:p>
    <w:p>
      <w:pPr>
        <w:keepNext/>
        <w:keepLines/>
        <w:spacing w:before="260" w:after="260" w:line="413" w:lineRule="auto"/>
        <w:ind w:firstLine="560" w:firstLineChars="200"/>
        <w:outlineLvl w:val="2"/>
        <w:rPr>
          <w:rFonts w:ascii="Times New Roman" w:hAnsi="Times New Roman" w:eastAsia="黑体"/>
          <w:sz w:val="28"/>
          <w:szCs w:val="24"/>
        </w:rPr>
      </w:pPr>
      <w:bookmarkStart w:id="16" w:name="_Toc3632"/>
      <w:bookmarkStart w:id="17" w:name="_Toc90482753"/>
      <w:bookmarkStart w:id="18" w:name="_Toc26261"/>
      <w:r>
        <w:rPr>
          <w:rFonts w:ascii="Times New Roman" w:hAnsi="Times New Roman" w:eastAsia="黑体"/>
          <w:sz w:val="28"/>
          <w:szCs w:val="24"/>
        </w:rPr>
        <w:t xml:space="preserve">1.2.1 </w:t>
      </w:r>
      <w:r>
        <w:rPr>
          <w:rFonts w:hint="eastAsia" w:ascii="Times New Roman" w:hAnsi="Times New Roman" w:eastAsia="黑体"/>
          <w:sz w:val="28"/>
          <w:szCs w:val="24"/>
        </w:rPr>
        <w:t>综合</w:t>
      </w:r>
      <w:bookmarkEnd w:id="16"/>
      <w:bookmarkEnd w:id="17"/>
      <w:bookmarkEnd w:id="18"/>
    </w:p>
    <w:p>
      <w:pPr>
        <w:spacing w:line="600" w:lineRule="exact"/>
        <w:ind w:firstLine="560" w:firstLineChars="200"/>
        <w:rPr>
          <w:rFonts w:ascii="Times New Roman" w:hAnsi="Times New Roman"/>
          <w:sz w:val="28"/>
          <w:szCs w:val="28"/>
        </w:rPr>
      </w:pPr>
      <w:r>
        <w:rPr>
          <w:rFonts w:hint="eastAsia" w:ascii="Times New Roman" w:hAnsi="Times New Roman"/>
          <w:sz w:val="28"/>
          <w:szCs w:val="28"/>
        </w:rPr>
        <w:t>渝北区“十三五”期间总体经济稳步增长，</w:t>
      </w:r>
      <w:r>
        <w:rPr>
          <w:rFonts w:ascii="Times New Roman" w:hAnsi="Times New Roman"/>
          <w:sz w:val="28"/>
          <w:szCs w:val="28"/>
        </w:rPr>
        <w:t>2020</w:t>
      </w:r>
      <w:r>
        <w:rPr>
          <w:rFonts w:hint="eastAsia" w:ascii="Times New Roman" w:hAnsi="Times New Roman"/>
          <w:sz w:val="28"/>
          <w:szCs w:val="28"/>
        </w:rPr>
        <w:t>年实现地区生产总值</w:t>
      </w:r>
      <w:r>
        <w:rPr>
          <w:rFonts w:ascii="Times New Roman" w:hAnsi="Times New Roman"/>
          <w:sz w:val="28"/>
          <w:szCs w:val="28"/>
        </w:rPr>
        <w:t>2009.52</w:t>
      </w:r>
      <w:r>
        <w:rPr>
          <w:rFonts w:hint="eastAsia" w:ascii="Times New Roman" w:hAnsi="Times New Roman"/>
          <w:sz w:val="28"/>
          <w:szCs w:val="28"/>
        </w:rPr>
        <w:t>亿元，按可比价格计算比上年增长</w:t>
      </w:r>
      <w:r>
        <w:rPr>
          <w:rFonts w:ascii="Times New Roman" w:hAnsi="Times New Roman"/>
          <w:sz w:val="28"/>
          <w:szCs w:val="28"/>
        </w:rPr>
        <w:t>3.6%</w:t>
      </w:r>
      <w:r>
        <w:rPr>
          <w:rFonts w:hint="eastAsia" w:ascii="Times New Roman" w:hAnsi="Times New Roman"/>
          <w:sz w:val="28"/>
          <w:szCs w:val="28"/>
        </w:rPr>
        <w:t>。其中，第一产业增加值</w:t>
      </w:r>
      <w:r>
        <w:rPr>
          <w:rFonts w:ascii="Times New Roman" w:hAnsi="Times New Roman"/>
          <w:sz w:val="28"/>
          <w:szCs w:val="28"/>
        </w:rPr>
        <w:t>27.77</w:t>
      </w:r>
      <w:r>
        <w:rPr>
          <w:rFonts w:hint="eastAsia" w:ascii="Times New Roman" w:hAnsi="Times New Roman"/>
          <w:sz w:val="28"/>
          <w:szCs w:val="28"/>
        </w:rPr>
        <w:t>亿元，增长</w:t>
      </w:r>
      <w:r>
        <w:rPr>
          <w:rFonts w:ascii="Times New Roman" w:hAnsi="Times New Roman"/>
          <w:sz w:val="28"/>
          <w:szCs w:val="28"/>
        </w:rPr>
        <w:t>2.9%</w:t>
      </w:r>
      <w:r>
        <w:rPr>
          <w:rFonts w:hint="eastAsia" w:ascii="Times New Roman" w:hAnsi="Times New Roman"/>
          <w:sz w:val="28"/>
          <w:szCs w:val="28"/>
        </w:rPr>
        <w:t>；第二产业增加值</w:t>
      </w:r>
      <w:r>
        <w:rPr>
          <w:rFonts w:ascii="Times New Roman" w:hAnsi="Times New Roman"/>
          <w:sz w:val="28"/>
          <w:szCs w:val="28"/>
        </w:rPr>
        <w:t>655.68</w:t>
      </w:r>
      <w:r>
        <w:rPr>
          <w:rFonts w:hint="eastAsia" w:ascii="Times New Roman" w:hAnsi="Times New Roman"/>
          <w:sz w:val="28"/>
          <w:szCs w:val="28"/>
        </w:rPr>
        <w:t>亿元，增长</w:t>
      </w:r>
      <w:r>
        <w:rPr>
          <w:rFonts w:ascii="Times New Roman" w:hAnsi="Times New Roman"/>
          <w:sz w:val="28"/>
          <w:szCs w:val="28"/>
        </w:rPr>
        <w:t>9.7%</w:t>
      </w:r>
      <w:r>
        <w:rPr>
          <w:rFonts w:hint="eastAsia" w:ascii="Times New Roman" w:hAnsi="Times New Roman"/>
          <w:sz w:val="28"/>
          <w:szCs w:val="28"/>
        </w:rPr>
        <w:t>；第三产业增加值</w:t>
      </w:r>
      <w:r>
        <w:rPr>
          <w:rFonts w:ascii="Times New Roman" w:hAnsi="Times New Roman"/>
          <w:sz w:val="28"/>
          <w:szCs w:val="28"/>
        </w:rPr>
        <w:t>1326.08</w:t>
      </w:r>
      <w:r>
        <w:rPr>
          <w:rFonts w:hint="eastAsia" w:ascii="Times New Roman" w:hAnsi="Times New Roman"/>
          <w:sz w:val="28"/>
          <w:szCs w:val="28"/>
        </w:rPr>
        <w:t>亿元，增长</w:t>
      </w:r>
      <w:r>
        <w:rPr>
          <w:rFonts w:ascii="Times New Roman" w:hAnsi="Times New Roman"/>
          <w:sz w:val="28"/>
          <w:szCs w:val="28"/>
        </w:rPr>
        <w:t>0.5%</w:t>
      </w:r>
      <w:r>
        <w:rPr>
          <w:rFonts w:hint="eastAsia" w:ascii="Times New Roman" w:hAnsi="Times New Roman"/>
          <w:sz w:val="28"/>
          <w:szCs w:val="28"/>
        </w:rPr>
        <w:t>。三次产业结构比为</w:t>
      </w:r>
      <w:r>
        <w:rPr>
          <w:rFonts w:ascii="Times New Roman" w:hAnsi="Times New Roman"/>
          <w:sz w:val="28"/>
          <w:szCs w:val="28"/>
        </w:rPr>
        <w:t>1.4:32.6:66.0</w:t>
      </w:r>
      <w:r>
        <w:rPr>
          <w:rFonts w:hint="eastAsia" w:ascii="Times New Roman" w:hAnsi="Times New Roman"/>
          <w:sz w:val="28"/>
          <w:szCs w:val="28"/>
        </w:rPr>
        <w:t>。民营经济增加值</w:t>
      </w:r>
      <w:r>
        <w:rPr>
          <w:rFonts w:ascii="Times New Roman" w:hAnsi="Times New Roman"/>
          <w:sz w:val="28"/>
          <w:szCs w:val="28"/>
        </w:rPr>
        <w:t>852.03</w:t>
      </w:r>
      <w:r>
        <w:rPr>
          <w:rFonts w:hint="eastAsia" w:ascii="Times New Roman" w:hAnsi="Times New Roman"/>
          <w:sz w:val="28"/>
          <w:szCs w:val="28"/>
        </w:rPr>
        <w:t>亿元，增长</w:t>
      </w:r>
      <w:r>
        <w:rPr>
          <w:rFonts w:ascii="Times New Roman" w:hAnsi="Times New Roman"/>
          <w:sz w:val="28"/>
          <w:szCs w:val="28"/>
        </w:rPr>
        <w:t>8.0%</w:t>
      </w:r>
      <w:r>
        <w:rPr>
          <w:rFonts w:hint="eastAsia" w:ascii="Times New Roman" w:hAnsi="Times New Roman"/>
          <w:sz w:val="28"/>
          <w:szCs w:val="28"/>
        </w:rPr>
        <w:t>，占全区经济总量的</w:t>
      </w:r>
      <w:r>
        <w:rPr>
          <w:rFonts w:ascii="Times New Roman" w:hAnsi="Times New Roman"/>
          <w:sz w:val="28"/>
          <w:szCs w:val="28"/>
        </w:rPr>
        <w:t>42.4%</w:t>
      </w:r>
      <w:r>
        <w:rPr>
          <w:rFonts w:hint="eastAsia" w:ascii="Times New Roman" w:hAnsi="Times New Roman"/>
          <w:sz w:val="28"/>
          <w:szCs w:val="28"/>
        </w:rPr>
        <w:t>。</w:t>
      </w:r>
    </w:p>
    <w:p>
      <w:pPr>
        <w:keepNext/>
        <w:keepLines/>
        <w:spacing w:before="260" w:after="260" w:line="413" w:lineRule="auto"/>
        <w:ind w:firstLine="560" w:firstLineChars="200"/>
        <w:outlineLvl w:val="2"/>
        <w:rPr>
          <w:rFonts w:ascii="Times New Roman" w:hAnsi="Times New Roman" w:eastAsia="黑体"/>
          <w:sz w:val="28"/>
          <w:szCs w:val="24"/>
        </w:rPr>
      </w:pPr>
      <w:bookmarkStart w:id="19" w:name="_Toc90482754"/>
      <w:bookmarkStart w:id="20" w:name="_Toc23634"/>
      <w:bookmarkStart w:id="21" w:name="_Toc24581"/>
      <w:r>
        <w:rPr>
          <w:rFonts w:ascii="Times New Roman" w:hAnsi="Times New Roman" w:eastAsia="黑体"/>
          <w:sz w:val="28"/>
          <w:szCs w:val="24"/>
        </w:rPr>
        <w:t xml:space="preserve">1.2.2 </w:t>
      </w:r>
      <w:r>
        <w:rPr>
          <w:rFonts w:hint="eastAsia" w:ascii="Times New Roman" w:hAnsi="Times New Roman" w:eastAsia="黑体"/>
          <w:sz w:val="28"/>
          <w:szCs w:val="24"/>
        </w:rPr>
        <w:t>农业</w:t>
      </w:r>
      <w:bookmarkEnd w:id="19"/>
      <w:bookmarkEnd w:id="20"/>
      <w:bookmarkEnd w:id="21"/>
    </w:p>
    <w:p>
      <w:pPr>
        <w:spacing w:line="600" w:lineRule="exact"/>
        <w:ind w:firstLine="560" w:firstLineChars="200"/>
        <w:rPr>
          <w:rFonts w:ascii="Times New Roman" w:hAnsi="Times New Roman"/>
          <w:sz w:val="28"/>
          <w:szCs w:val="28"/>
        </w:rPr>
      </w:pPr>
      <w:r>
        <w:rPr>
          <w:rFonts w:ascii="Times New Roman" w:hAnsi="Times New Roman"/>
          <w:sz w:val="28"/>
          <w:szCs w:val="28"/>
        </w:rPr>
        <w:t>2020</w:t>
      </w:r>
      <w:r>
        <w:rPr>
          <w:rFonts w:hint="eastAsia" w:ascii="Times New Roman" w:hAnsi="Times New Roman"/>
          <w:sz w:val="28"/>
          <w:szCs w:val="28"/>
        </w:rPr>
        <w:t>年实现农业总产值</w:t>
      </w:r>
      <w:r>
        <w:rPr>
          <w:rFonts w:ascii="Times New Roman" w:hAnsi="Times New Roman"/>
          <w:sz w:val="28"/>
          <w:szCs w:val="28"/>
        </w:rPr>
        <w:t>38.90</w:t>
      </w:r>
      <w:r>
        <w:rPr>
          <w:rFonts w:hint="eastAsia" w:ascii="Times New Roman" w:hAnsi="Times New Roman"/>
          <w:sz w:val="28"/>
          <w:szCs w:val="28"/>
        </w:rPr>
        <w:t>亿元，比上年增长</w:t>
      </w:r>
      <w:r>
        <w:rPr>
          <w:rFonts w:ascii="Times New Roman" w:hAnsi="Times New Roman"/>
          <w:sz w:val="28"/>
          <w:szCs w:val="28"/>
        </w:rPr>
        <w:t>3.0%</w:t>
      </w:r>
      <w:r>
        <w:rPr>
          <w:rFonts w:hint="eastAsia" w:ascii="Times New Roman" w:hAnsi="Times New Roman"/>
          <w:sz w:val="28"/>
          <w:szCs w:val="28"/>
        </w:rPr>
        <w:t>。粮食播种面积</w:t>
      </w:r>
      <w:r>
        <w:rPr>
          <w:rFonts w:ascii="Times New Roman" w:hAnsi="Times New Roman"/>
          <w:sz w:val="28"/>
          <w:szCs w:val="28"/>
        </w:rPr>
        <w:t>31.13</w:t>
      </w:r>
      <w:r>
        <w:rPr>
          <w:rFonts w:hint="eastAsia" w:ascii="Times New Roman" w:hAnsi="Times New Roman"/>
          <w:sz w:val="28"/>
          <w:szCs w:val="28"/>
        </w:rPr>
        <w:t>万亩，总产量</w:t>
      </w:r>
      <w:r>
        <w:rPr>
          <w:rFonts w:ascii="Times New Roman" w:hAnsi="Times New Roman"/>
          <w:sz w:val="28"/>
          <w:szCs w:val="28"/>
        </w:rPr>
        <w:t>11.07</w:t>
      </w:r>
      <w:r>
        <w:rPr>
          <w:rFonts w:hint="eastAsia" w:ascii="Times New Roman" w:hAnsi="Times New Roman"/>
          <w:sz w:val="28"/>
          <w:szCs w:val="28"/>
        </w:rPr>
        <w:t>万吨，亩产</w:t>
      </w:r>
      <w:r>
        <w:rPr>
          <w:rFonts w:ascii="Times New Roman" w:hAnsi="Times New Roman"/>
          <w:sz w:val="28"/>
          <w:szCs w:val="28"/>
        </w:rPr>
        <w:t>355.6</w:t>
      </w:r>
      <w:r>
        <w:rPr>
          <w:rFonts w:hint="eastAsia" w:ascii="Times New Roman" w:hAnsi="Times New Roman"/>
          <w:sz w:val="28"/>
          <w:szCs w:val="28"/>
        </w:rPr>
        <w:t>公斤，与上年基本持平。蔬菜总产量</w:t>
      </w:r>
      <w:r>
        <w:rPr>
          <w:rFonts w:ascii="Times New Roman" w:hAnsi="Times New Roman"/>
          <w:sz w:val="28"/>
          <w:szCs w:val="28"/>
        </w:rPr>
        <w:t>30.05</w:t>
      </w:r>
      <w:r>
        <w:rPr>
          <w:rFonts w:hint="eastAsia" w:ascii="Times New Roman" w:hAnsi="Times New Roman"/>
          <w:sz w:val="28"/>
          <w:szCs w:val="28"/>
        </w:rPr>
        <w:t>万吨，比上年增长</w:t>
      </w:r>
      <w:r>
        <w:rPr>
          <w:rFonts w:ascii="Times New Roman" w:hAnsi="Times New Roman"/>
          <w:sz w:val="28"/>
          <w:szCs w:val="28"/>
        </w:rPr>
        <w:t>1.8%</w:t>
      </w:r>
      <w:r>
        <w:rPr>
          <w:rFonts w:hint="eastAsia" w:ascii="Times New Roman" w:hAnsi="Times New Roman"/>
          <w:sz w:val="28"/>
          <w:szCs w:val="28"/>
        </w:rPr>
        <w:t>。全年生猪出栏</w:t>
      </w:r>
      <w:r>
        <w:rPr>
          <w:rFonts w:ascii="Times New Roman" w:hAnsi="Times New Roman"/>
          <w:sz w:val="28"/>
          <w:szCs w:val="28"/>
        </w:rPr>
        <w:t>6.26</w:t>
      </w:r>
      <w:r>
        <w:rPr>
          <w:rFonts w:hint="eastAsia" w:ascii="Times New Roman" w:hAnsi="Times New Roman"/>
          <w:sz w:val="28"/>
          <w:szCs w:val="28"/>
        </w:rPr>
        <w:t>万头，羊出栏</w:t>
      </w:r>
      <w:r>
        <w:rPr>
          <w:rFonts w:ascii="Times New Roman" w:hAnsi="Times New Roman"/>
          <w:sz w:val="28"/>
          <w:szCs w:val="28"/>
        </w:rPr>
        <w:t>10569</w:t>
      </w:r>
      <w:r>
        <w:rPr>
          <w:rFonts w:hint="eastAsia" w:ascii="Times New Roman" w:hAnsi="Times New Roman"/>
          <w:sz w:val="28"/>
          <w:szCs w:val="28"/>
        </w:rPr>
        <w:t>头，家禽出栏</w:t>
      </w:r>
      <w:r>
        <w:rPr>
          <w:rFonts w:ascii="Times New Roman" w:hAnsi="Times New Roman"/>
          <w:sz w:val="28"/>
          <w:szCs w:val="28"/>
        </w:rPr>
        <w:t>188.55</w:t>
      </w:r>
      <w:r>
        <w:rPr>
          <w:rFonts w:hint="eastAsia" w:ascii="Times New Roman" w:hAnsi="Times New Roman"/>
          <w:sz w:val="28"/>
          <w:szCs w:val="28"/>
        </w:rPr>
        <w:t>万只。高效产业取得新成就。“双十万工程”大力推进，建成经果林</w:t>
      </w:r>
      <w:r>
        <w:rPr>
          <w:rFonts w:ascii="Times New Roman" w:hAnsi="Times New Roman"/>
          <w:sz w:val="28"/>
          <w:szCs w:val="28"/>
        </w:rPr>
        <w:t>7</w:t>
      </w:r>
      <w:r>
        <w:rPr>
          <w:rFonts w:hint="eastAsia" w:ascii="Times New Roman" w:hAnsi="Times New Roman"/>
          <w:sz w:val="28"/>
          <w:szCs w:val="28"/>
        </w:rPr>
        <w:t>万亩，统大路、南北大道等现代农业产业示范基地初步建成，新认证“两品一标”和全国名特优新农产品</w:t>
      </w:r>
      <w:r>
        <w:rPr>
          <w:rFonts w:ascii="Times New Roman" w:hAnsi="Times New Roman"/>
          <w:sz w:val="28"/>
          <w:szCs w:val="28"/>
        </w:rPr>
        <w:t>32</w:t>
      </w:r>
      <w:r>
        <w:rPr>
          <w:rFonts w:hint="eastAsia" w:ascii="Times New Roman" w:hAnsi="Times New Roman"/>
          <w:sz w:val="28"/>
          <w:szCs w:val="28"/>
        </w:rPr>
        <w:t>个，新发展农民专业合作社</w:t>
      </w:r>
      <w:r>
        <w:rPr>
          <w:rFonts w:ascii="Times New Roman" w:hAnsi="Times New Roman"/>
          <w:sz w:val="28"/>
          <w:szCs w:val="28"/>
        </w:rPr>
        <w:t>41</w:t>
      </w:r>
      <w:r>
        <w:rPr>
          <w:rFonts w:hint="eastAsia" w:ascii="Times New Roman" w:hAnsi="Times New Roman"/>
          <w:sz w:val="28"/>
          <w:szCs w:val="28"/>
        </w:rPr>
        <w:t>家、家庭农场</w:t>
      </w:r>
      <w:r>
        <w:rPr>
          <w:rFonts w:ascii="Times New Roman" w:hAnsi="Times New Roman"/>
          <w:sz w:val="28"/>
          <w:szCs w:val="28"/>
        </w:rPr>
        <w:t>10</w:t>
      </w:r>
      <w:r>
        <w:rPr>
          <w:rFonts w:hint="eastAsia" w:ascii="Times New Roman" w:hAnsi="Times New Roman"/>
          <w:sz w:val="28"/>
          <w:szCs w:val="28"/>
        </w:rPr>
        <w:t>家，新培育高素质农民</w:t>
      </w:r>
      <w:r>
        <w:rPr>
          <w:rFonts w:ascii="Times New Roman" w:hAnsi="Times New Roman"/>
          <w:sz w:val="28"/>
          <w:szCs w:val="28"/>
        </w:rPr>
        <w:t>370</w:t>
      </w:r>
      <w:r>
        <w:rPr>
          <w:rFonts w:hint="eastAsia" w:ascii="Times New Roman" w:hAnsi="Times New Roman"/>
          <w:sz w:val="28"/>
          <w:szCs w:val="28"/>
        </w:rPr>
        <w:t>人。</w:t>
      </w:r>
      <w:bookmarkStart w:id="22" w:name="_Toc8630"/>
      <w:bookmarkStart w:id="23" w:name="_Toc5291"/>
    </w:p>
    <w:p>
      <w:pPr>
        <w:keepNext/>
        <w:keepLines/>
        <w:spacing w:before="260" w:after="260" w:line="413" w:lineRule="auto"/>
        <w:ind w:firstLine="560" w:firstLineChars="200"/>
        <w:outlineLvl w:val="2"/>
        <w:rPr>
          <w:rFonts w:ascii="Times New Roman" w:hAnsi="Times New Roman" w:eastAsia="黑体"/>
          <w:sz w:val="28"/>
          <w:szCs w:val="24"/>
        </w:rPr>
      </w:pPr>
      <w:bookmarkStart w:id="24" w:name="_Toc90482755"/>
      <w:r>
        <w:rPr>
          <w:rFonts w:ascii="Times New Roman" w:hAnsi="Times New Roman" w:eastAsia="黑体"/>
          <w:sz w:val="28"/>
          <w:szCs w:val="24"/>
        </w:rPr>
        <w:t xml:space="preserve">1.2.3 </w:t>
      </w:r>
      <w:r>
        <w:rPr>
          <w:rFonts w:hint="eastAsia" w:ascii="Times New Roman" w:hAnsi="Times New Roman" w:eastAsia="黑体"/>
          <w:sz w:val="28"/>
          <w:szCs w:val="24"/>
        </w:rPr>
        <w:t>工业和建筑业</w:t>
      </w:r>
      <w:bookmarkEnd w:id="22"/>
      <w:bookmarkEnd w:id="23"/>
      <w:bookmarkEnd w:id="24"/>
    </w:p>
    <w:p>
      <w:pPr>
        <w:spacing w:line="360" w:lineRule="auto"/>
        <w:ind w:firstLine="560" w:firstLineChars="200"/>
        <w:rPr>
          <w:rFonts w:ascii="Times New Roman" w:hAnsi="Times New Roman"/>
          <w:sz w:val="28"/>
          <w:szCs w:val="28"/>
        </w:rPr>
      </w:pPr>
      <w:r>
        <w:rPr>
          <w:rFonts w:ascii="Times New Roman" w:hAnsi="Times New Roman"/>
          <w:sz w:val="28"/>
          <w:szCs w:val="28"/>
        </w:rPr>
        <w:t>2020</w:t>
      </w:r>
      <w:r>
        <w:rPr>
          <w:rFonts w:hint="eastAsia" w:ascii="Times New Roman" w:hAnsi="Times New Roman"/>
          <w:sz w:val="28"/>
          <w:szCs w:val="28"/>
        </w:rPr>
        <w:t>年实现工业增加值</w:t>
      </w:r>
      <w:r>
        <w:rPr>
          <w:rFonts w:ascii="Times New Roman" w:hAnsi="Times New Roman"/>
          <w:sz w:val="28"/>
          <w:szCs w:val="28"/>
        </w:rPr>
        <w:t>538.42</w:t>
      </w:r>
      <w:r>
        <w:rPr>
          <w:rFonts w:hint="eastAsia" w:ascii="Times New Roman" w:hAnsi="Times New Roman"/>
          <w:sz w:val="28"/>
          <w:szCs w:val="28"/>
        </w:rPr>
        <w:t>亿元，比上年增长</w:t>
      </w:r>
      <w:r>
        <w:rPr>
          <w:rFonts w:ascii="Times New Roman" w:hAnsi="Times New Roman"/>
          <w:sz w:val="28"/>
          <w:szCs w:val="28"/>
        </w:rPr>
        <w:t>11.1%</w:t>
      </w:r>
      <w:r>
        <w:rPr>
          <w:rFonts w:hint="eastAsia" w:ascii="Times New Roman" w:hAnsi="Times New Roman"/>
          <w:sz w:val="28"/>
          <w:szCs w:val="28"/>
        </w:rPr>
        <w:t>。规模以上工业总产值比上年增长</w:t>
      </w:r>
      <w:r>
        <w:rPr>
          <w:rFonts w:ascii="Times New Roman" w:hAnsi="Times New Roman"/>
          <w:sz w:val="28"/>
          <w:szCs w:val="28"/>
        </w:rPr>
        <w:t>14.5%</w:t>
      </w:r>
      <w:r>
        <w:rPr>
          <w:rFonts w:hint="eastAsia" w:ascii="Times New Roman" w:hAnsi="Times New Roman"/>
          <w:sz w:val="28"/>
          <w:szCs w:val="28"/>
        </w:rPr>
        <w:t>，分经济类型看，国有企业总产值比上年下降</w:t>
      </w:r>
      <w:r>
        <w:rPr>
          <w:rFonts w:ascii="Times New Roman" w:hAnsi="Times New Roman"/>
          <w:sz w:val="28"/>
          <w:szCs w:val="28"/>
        </w:rPr>
        <w:t>37.2%</w:t>
      </w:r>
      <w:r>
        <w:rPr>
          <w:rFonts w:hint="eastAsia" w:ascii="Times New Roman" w:hAnsi="Times New Roman"/>
          <w:sz w:val="28"/>
          <w:szCs w:val="28"/>
        </w:rPr>
        <w:t>，股份合作制企业总产值增长</w:t>
      </w:r>
      <w:r>
        <w:rPr>
          <w:rFonts w:ascii="Times New Roman" w:hAnsi="Times New Roman"/>
          <w:sz w:val="28"/>
          <w:szCs w:val="28"/>
        </w:rPr>
        <w:t>37.6%</w:t>
      </w:r>
      <w:r>
        <w:rPr>
          <w:rFonts w:hint="eastAsia" w:ascii="Times New Roman" w:hAnsi="Times New Roman"/>
          <w:sz w:val="28"/>
          <w:szCs w:val="28"/>
        </w:rPr>
        <w:t>，股份制企业总产值增长</w:t>
      </w:r>
      <w:r>
        <w:rPr>
          <w:rFonts w:ascii="Times New Roman" w:hAnsi="Times New Roman"/>
          <w:sz w:val="28"/>
          <w:szCs w:val="28"/>
        </w:rPr>
        <w:t>20.2%</w:t>
      </w:r>
      <w:r>
        <w:rPr>
          <w:rFonts w:hint="eastAsia" w:ascii="Times New Roman" w:hAnsi="Times New Roman"/>
          <w:sz w:val="28"/>
          <w:szCs w:val="28"/>
        </w:rPr>
        <w:t>，外商及港澳台商投资企业总产值增长</w:t>
      </w:r>
      <w:r>
        <w:rPr>
          <w:rFonts w:ascii="Times New Roman" w:hAnsi="Times New Roman"/>
          <w:sz w:val="28"/>
          <w:szCs w:val="28"/>
        </w:rPr>
        <w:t>8.8%</w:t>
      </w:r>
      <w:r>
        <w:rPr>
          <w:rFonts w:hint="eastAsia" w:ascii="Times New Roman" w:hAnsi="Times New Roman"/>
          <w:sz w:val="28"/>
          <w:szCs w:val="28"/>
        </w:rPr>
        <w:t>。分支撑行业看，总产值排名前五的行业呈现较好增长态势，汽车制造业总产值增长</w:t>
      </w:r>
      <w:r>
        <w:rPr>
          <w:rFonts w:ascii="Times New Roman" w:hAnsi="Times New Roman"/>
          <w:sz w:val="28"/>
          <w:szCs w:val="28"/>
        </w:rPr>
        <w:t>26.0%</w:t>
      </w:r>
      <w:r>
        <w:rPr>
          <w:rFonts w:hint="eastAsia" w:ascii="Times New Roman" w:hAnsi="Times New Roman"/>
          <w:sz w:val="28"/>
          <w:szCs w:val="28"/>
        </w:rPr>
        <w:t>；计算机、通信和及其他电子设备制造业总产值增长</w:t>
      </w:r>
      <w:r>
        <w:rPr>
          <w:rFonts w:ascii="Times New Roman" w:hAnsi="Times New Roman"/>
          <w:sz w:val="28"/>
          <w:szCs w:val="28"/>
        </w:rPr>
        <w:t>10.4%</w:t>
      </w:r>
      <w:r>
        <w:rPr>
          <w:rFonts w:hint="eastAsia" w:ascii="Times New Roman" w:hAnsi="Times New Roman"/>
          <w:sz w:val="28"/>
          <w:szCs w:val="28"/>
        </w:rPr>
        <w:t>；通用设备制造业总产值增长</w:t>
      </w:r>
      <w:r>
        <w:rPr>
          <w:rFonts w:ascii="Times New Roman" w:hAnsi="Times New Roman"/>
          <w:sz w:val="28"/>
          <w:szCs w:val="28"/>
        </w:rPr>
        <w:t>5.7%</w:t>
      </w:r>
      <w:r>
        <w:rPr>
          <w:rFonts w:hint="eastAsia" w:ascii="Times New Roman" w:hAnsi="Times New Roman"/>
          <w:sz w:val="28"/>
          <w:szCs w:val="28"/>
        </w:rPr>
        <w:t>；铁路、船舶、航空航天和其他运输设备制造业总产值增长</w:t>
      </w:r>
      <w:r>
        <w:rPr>
          <w:rFonts w:ascii="Times New Roman" w:hAnsi="Times New Roman"/>
          <w:sz w:val="28"/>
          <w:szCs w:val="28"/>
        </w:rPr>
        <w:t>8.9%</w:t>
      </w:r>
      <w:r>
        <w:rPr>
          <w:rFonts w:hint="eastAsia" w:ascii="Times New Roman" w:hAnsi="Times New Roman"/>
          <w:sz w:val="28"/>
          <w:szCs w:val="28"/>
        </w:rPr>
        <w:t>；电气机械及器材制造业总产值增长</w:t>
      </w:r>
      <w:r>
        <w:rPr>
          <w:rFonts w:ascii="Times New Roman" w:hAnsi="Times New Roman"/>
          <w:sz w:val="28"/>
          <w:szCs w:val="28"/>
        </w:rPr>
        <w:t>7.3%</w:t>
      </w:r>
      <w:r>
        <w:rPr>
          <w:rFonts w:hint="eastAsia" w:ascii="Times New Roman" w:hAnsi="Times New Roman"/>
          <w:sz w:val="28"/>
          <w:szCs w:val="28"/>
        </w:rPr>
        <w:t>。</w:t>
      </w:r>
    </w:p>
    <w:p>
      <w:pPr>
        <w:spacing w:line="360" w:lineRule="auto"/>
        <w:ind w:firstLine="560" w:firstLineChars="200"/>
        <w:rPr>
          <w:rFonts w:ascii="Times New Roman" w:hAnsi="Times New Roman"/>
          <w:sz w:val="28"/>
          <w:szCs w:val="28"/>
        </w:rPr>
      </w:pPr>
      <w:r>
        <w:rPr>
          <w:rFonts w:hint="eastAsia" w:ascii="Times New Roman" w:hAnsi="Times New Roman"/>
          <w:sz w:val="28"/>
          <w:szCs w:val="28"/>
        </w:rPr>
        <w:t>规模以上工业企业盈利能力增强，全年超</w:t>
      </w:r>
      <w:r>
        <w:rPr>
          <w:rFonts w:ascii="Times New Roman" w:hAnsi="Times New Roman"/>
          <w:sz w:val="28"/>
          <w:szCs w:val="28"/>
        </w:rPr>
        <w:t>70%</w:t>
      </w:r>
      <w:r>
        <w:rPr>
          <w:rFonts w:hint="eastAsia" w:ascii="Times New Roman" w:hAnsi="Times New Roman"/>
          <w:sz w:val="28"/>
          <w:szCs w:val="28"/>
        </w:rPr>
        <w:t>规模以上企业实现盈利，合计实现利润总额</w:t>
      </w:r>
      <w:r>
        <w:rPr>
          <w:rFonts w:ascii="Times New Roman" w:hAnsi="Times New Roman"/>
          <w:sz w:val="28"/>
          <w:szCs w:val="28"/>
        </w:rPr>
        <w:t>107.21</w:t>
      </w:r>
      <w:r>
        <w:rPr>
          <w:rFonts w:hint="eastAsia" w:ascii="Times New Roman" w:hAnsi="Times New Roman"/>
          <w:sz w:val="28"/>
          <w:szCs w:val="28"/>
        </w:rPr>
        <w:t>亿元；营业收入</w:t>
      </w:r>
      <w:r>
        <w:rPr>
          <w:rFonts w:ascii="Times New Roman" w:hAnsi="Times New Roman"/>
          <w:sz w:val="28"/>
          <w:szCs w:val="28"/>
        </w:rPr>
        <w:t>3593.16</w:t>
      </w:r>
      <w:r>
        <w:rPr>
          <w:rFonts w:hint="eastAsia" w:ascii="Times New Roman" w:hAnsi="Times New Roman"/>
          <w:sz w:val="28"/>
          <w:szCs w:val="28"/>
        </w:rPr>
        <w:t>亿元，比上年增长</w:t>
      </w:r>
      <w:r>
        <w:rPr>
          <w:rFonts w:ascii="Times New Roman" w:hAnsi="Times New Roman"/>
          <w:sz w:val="28"/>
          <w:szCs w:val="28"/>
        </w:rPr>
        <w:t>19.5%</w:t>
      </w:r>
      <w:r>
        <w:rPr>
          <w:rFonts w:hint="eastAsia" w:ascii="Times New Roman" w:hAnsi="Times New Roman"/>
          <w:sz w:val="28"/>
          <w:szCs w:val="28"/>
        </w:rPr>
        <w:t>；营业收入利润率为</w:t>
      </w:r>
      <w:r>
        <w:rPr>
          <w:rFonts w:ascii="Times New Roman" w:hAnsi="Times New Roman"/>
          <w:sz w:val="28"/>
          <w:szCs w:val="28"/>
        </w:rPr>
        <w:t>3.0%</w:t>
      </w:r>
      <w:r>
        <w:rPr>
          <w:rFonts w:hint="eastAsia" w:ascii="Times New Roman" w:hAnsi="Times New Roman"/>
          <w:sz w:val="28"/>
          <w:szCs w:val="28"/>
        </w:rPr>
        <w:t>，提高</w:t>
      </w:r>
      <w:r>
        <w:rPr>
          <w:rFonts w:ascii="Times New Roman" w:hAnsi="Times New Roman"/>
          <w:sz w:val="28"/>
          <w:szCs w:val="28"/>
        </w:rPr>
        <w:t>3.87</w:t>
      </w:r>
      <w:r>
        <w:rPr>
          <w:rFonts w:hint="eastAsia" w:ascii="Times New Roman" w:hAnsi="Times New Roman"/>
          <w:sz w:val="28"/>
          <w:szCs w:val="28"/>
        </w:rPr>
        <w:t>个百分点。年末资产负债率为</w:t>
      </w:r>
      <w:r>
        <w:rPr>
          <w:rFonts w:ascii="Times New Roman" w:hAnsi="Times New Roman"/>
          <w:sz w:val="28"/>
          <w:szCs w:val="28"/>
        </w:rPr>
        <w:t>68.4%</w:t>
      </w:r>
      <w:r>
        <w:rPr>
          <w:rFonts w:hint="eastAsia" w:ascii="Times New Roman" w:hAnsi="Times New Roman"/>
          <w:sz w:val="28"/>
          <w:szCs w:val="28"/>
        </w:rPr>
        <w:t>，比上年末下降</w:t>
      </w:r>
      <w:r>
        <w:rPr>
          <w:rFonts w:ascii="Times New Roman" w:hAnsi="Times New Roman"/>
          <w:sz w:val="28"/>
          <w:szCs w:val="28"/>
        </w:rPr>
        <w:t>1.5</w:t>
      </w:r>
      <w:r>
        <w:rPr>
          <w:rFonts w:hint="eastAsia" w:ascii="Times New Roman" w:hAnsi="Times New Roman"/>
          <w:sz w:val="28"/>
          <w:szCs w:val="28"/>
        </w:rPr>
        <w:t>个百分点。</w:t>
      </w:r>
    </w:p>
    <w:p>
      <w:pPr>
        <w:spacing w:line="360" w:lineRule="auto"/>
        <w:ind w:firstLine="560" w:firstLineChars="200"/>
        <w:rPr>
          <w:rFonts w:ascii="Times New Roman" w:hAnsi="Times New Roman"/>
          <w:sz w:val="28"/>
          <w:szCs w:val="28"/>
        </w:rPr>
      </w:pPr>
      <w:r>
        <w:rPr>
          <w:rFonts w:hint="eastAsia" w:ascii="Times New Roman" w:hAnsi="Times New Roman"/>
          <w:sz w:val="28"/>
          <w:szCs w:val="28"/>
        </w:rPr>
        <w:t>全年实现建筑业增加值</w:t>
      </w:r>
      <w:r>
        <w:rPr>
          <w:rFonts w:ascii="Times New Roman" w:hAnsi="Times New Roman"/>
          <w:sz w:val="28"/>
          <w:szCs w:val="28"/>
        </w:rPr>
        <w:t>117.26</w:t>
      </w:r>
      <w:r>
        <w:rPr>
          <w:rFonts w:hint="eastAsia" w:ascii="Times New Roman" w:hAnsi="Times New Roman"/>
          <w:sz w:val="28"/>
          <w:szCs w:val="28"/>
        </w:rPr>
        <w:t>亿元，比上年增长</w:t>
      </w:r>
      <w:r>
        <w:rPr>
          <w:rFonts w:ascii="Times New Roman" w:hAnsi="Times New Roman"/>
          <w:sz w:val="28"/>
          <w:szCs w:val="28"/>
        </w:rPr>
        <w:t>2.4%</w:t>
      </w:r>
      <w:r>
        <w:rPr>
          <w:rFonts w:hint="eastAsia" w:ascii="Times New Roman" w:hAnsi="Times New Roman"/>
          <w:sz w:val="28"/>
          <w:szCs w:val="28"/>
        </w:rPr>
        <w:t>。注册地建筑业实现总产值</w:t>
      </w:r>
      <w:r>
        <w:rPr>
          <w:rFonts w:ascii="Times New Roman" w:hAnsi="Times New Roman"/>
          <w:sz w:val="28"/>
          <w:szCs w:val="28"/>
        </w:rPr>
        <w:t>946.88</w:t>
      </w:r>
      <w:r>
        <w:rPr>
          <w:rFonts w:hint="eastAsia" w:ascii="Times New Roman" w:hAnsi="Times New Roman"/>
          <w:sz w:val="28"/>
          <w:szCs w:val="28"/>
        </w:rPr>
        <w:t>亿元，增长</w:t>
      </w:r>
      <w:r>
        <w:rPr>
          <w:rFonts w:ascii="Times New Roman" w:hAnsi="Times New Roman"/>
          <w:sz w:val="28"/>
          <w:szCs w:val="28"/>
        </w:rPr>
        <w:t>9.0%</w:t>
      </w:r>
      <w:r>
        <w:rPr>
          <w:rFonts w:hint="eastAsia" w:ascii="Times New Roman" w:hAnsi="Times New Roman"/>
          <w:sz w:val="28"/>
          <w:szCs w:val="28"/>
        </w:rPr>
        <w:t>。</w:t>
      </w:r>
      <w:bookmarkStart w:id="25" w:name="_Toc15135"/>
      <w:bookmarkStart w:id="26" w:name="_Toc14861"/>
    </w:p>
    <w:p>
      <w:pPr>
        <w:keepNext/>
        <w:keepLines/>
        <w:spacing w:before="260" w:after="260" w:line="413" w:lineRule="auto"/>
        <w:ind w:firstLine="560" w:firstLineChars="200"/>
        <w:outlineLvl w:val="2"/>
        <w:rPr>
          <w:rFonts w:ascii="Times New Roman" w:hAnsi="Times New Roman" w:eastAsia="黑体"/>
          <w:sz w:val="28"/>
          <w:szCs w:val="24"/>
        </w:rPr>
      </w:pPr>
      <w:bookmarkStart w:id="27" w:name="_Toc90482756"/>
      <w:r>
        <w:rPr>
          <w:rFonts w:ascii="Times New Roman" w:hAnsi="Times New Roman" w:eastAsia="黑体"/>
          <w:sz w:val="28"/>
          <w:szCs w:val="24"/>
        </w:rPr>
        <w:t>1.2.4</w:t>
      </w:r>
      <w:bookmarkEnd w:id="25"/>
      <w:bookmarkEnd w:id="26"/>
      <w:r>
        <w:rPr>
          <w:rFonts w:hint="eastAsia" w:ascii="Times New Roman" w:hAnsi="Times New Roman" w:eastAsia="黑体"/>
          <w:sz w:val="28"/>
          <w:szCs w:val="24"/>
        </w:rPr>
        <w:t>国内贸易和对外经济</w:t>
      </w:r>
      <w:bookmarkEnd w:id="27"/>
    </w:p>
    <w:p>
      <w:pPr>
        <w:spacing w:line="600" w:lineRule="exact"/>
        <w:ind w:firstLine="560" w:firstLineChars="200"/>
        <w:rPr>
          <w:rFonts w:ascii="Times New Roman" w:hAnsi="Times New Roman"/>
          <w:sz w:val="28"/>
          <w:szCs w:val="28"/>
        </w:rPr>
      </w:pPr>
      <w:r>
        <w:rPr>
          <w:rFonts w:ascii="Times New Roman" w:hAnsi="Times New Roman"/>
          <w:sz w:val="28"/>
          <w:szCs w:val="28"/>
        </w:rPr>
        <w:t>2020</w:t>
      </w:r>
      <w:r>
        <w:rPr>
          <w:rFonts w:hint="eastAsia" w:ascii="Times New Roman" w:hAnsi="Times New Roman"/>
          <w:sz w:val="28"/>
          <w:szCs w:val="28"/>
        </w:rPr>
        <w:t>年社会消费品零售总额</w:t>
      </w:r>
      <w:r>
        <w:rPr>
          <w:rFonts w:ascii="Times New Roman" w:hAnsi="Times New Roman"/>
          <w:sz w:val="28"/>
          <w:szCs w:val="28"/>
        </w:rPr>
        <w:t>947.01</w:t>
      </w:r>
      <w:r>
        <w:rPr>
          <w:rFonts w:hint="eastAsia" w:ascii="Times New Roman" w:hAnsi="Times New Roman"/>
          <w:sz w:val="28"/>
          <w:szCs w:val="28"/>
        </w:rPr>
        <w:t>亿元，比上年增长</w:t>
      </w:r>
      <w:r>
        <w:rPr>
          <w:rFonts w:ascii="Times New Roman" w:hAnsi="Times New Roman"/>
          <w:sz w:val="28"/>
          <w:szCs w:val="28"/>
        </w:rPr>
        <w:t>0.4%</w:t>
      </w:r>
      <w:r>
        <w:rPr>
          <w:rFonts w:hint="eastAsia" w:ascii="Times New Roman" w:hAnsi="Times New Roman"/>
          <w:sz w:val="28"/>
          <w:szCs w:val="28"/>
        </w:rPr>
        <w:t>。批发和零售业商品销售额</w:t>
      </w:r>
      <w:r>
        <w:rPr>
          <w:rFonts w:ascii="Times New Roman" w:hAnsi="Times New Roman"/>
          <w:sz w:val="28"/>
          <w:szCs w:val="28"/>
        </w:rPr>
        <w:t>2917.61</w:t>
      </w:r>
      <w:r>
        <w:rPr>
          <w:rFonts w:hint="eastAsia" w:ascii="Times New Roman" w:hAnsi="Times New Roman"/>
          <w:sz w:val="28"/>
          <w:szCs w:val="28"/>
        </w:rPr>
        <w:t>亿元，下降</w:t>
      </w:r>
      <w:r>
        <w:rPr>
          <w:rFonts w:ascii="Times New Roman" w:hAnsi="Times New Roman"/>
          <w:sz w:val="28"/>
          <w:szCs w:val="28"/>
        </w:rPr>
        <w:t>2.9%</w:t>
      </w:r>
      <w:r>
        <w:rPr>
          <w:rFonts w:hint="eastAsia" w:ascii="Times New Roman" w:hAnsi="Times New Roman"/>
          <w:sz w:val="28"/>
          <w:szCs w:val="28"/>
        </w:rPr>
        <w:t>；住宿和餐饮业营业额</w:t>
      </w:r>
      <w:r>
        <w:rPr>
          <w:rFonts w:ascii="Times New Roman" w:hAnsi="Times New Roman"/>
          <w:sz w:val="28"/>
          <w:szCs w:val="28"/>
        </w:rPr>
        <w:t>119.73</w:t>
      </w:r>
      <w:r>
        <w:rPr>
          <w:rFonts w:hint="eastAsia" w:ascii="Times New Roman" w:hAnsi="Times New Roman"/>
          <w:sz w:val="28"/>
          <w:szCs w:val="28"/>
        </w:rPr>
        <w:t>亿元，下降</w:t>
      </w:r>
      <w:r>
        <w:rPr>
          <w:rFonts w:ascii="Times New Roman" w:hAnsi="Times New Roman"/>
          <w:sz w:val="28"/>
          <w:szCs w:val="28"/>
        </w:rPr>
        <w:t>5.7%</w:t>
      </w:r>
      <w:r>
        <w:rPr>
          <w:rFonts w:hint="eastAsia" w:ascii="Times New Roman" w:hAnsi="Times New Roman"/>
          <w:sz w:val="28"/>
          <w:szCs w:val="28"/>
        </w:rPr>
        <w:t>。</w:t>
      </w:r>
    </w:p>
    <w:p>
      <w:pPr>
        <w:spacing w:line="600" w:lineRule="exact"/>
        <w:ind w:firstLine="560" w:firstLineChars="200"/>
        <w:rPr>
          <w:rFonts w:ascii="Times New Roman" w:hAnsi="Times New Roman"/>
          <w:sz w:val="28"/>
          <w:szCs w:val="28"/>
        </w:rPr>
      </w:pPr>
      <w:r>
        <w:rPr>
          <w:rFonts w:hint="eastAsia" w:ascii="Times New Roman" w:hAnsi="Times New Roman"/>
          <w:sz w:val="28"/>
          <w:szCs w:val="28"/>
        </w:rPr>
        <w:t>全年限额以上法人企业大类商品零售中，粮油、食品、饮料、烟酒类零售额比上年增长</w:t>
      </w:r>
      <w:r>
        <w:rPr>
          <w:rFonts w:ascii="Times New Roman" w:hAnsi="Times New Roman"/>
          <w:sz w:val="28"/>
          <w:szCs w:val="28"/>
        </w:rPr>
        <w:t>3.1%</w:t>
      </w:r>
      <w:r>
        <w:rPr>
          <w:rFonts w:hint="eastAsia" w:ascii="Times New Roman" w:hAnsi="Times New Roman"/>
          <w:sz w:val="28"/>
          <w:szCs w:val="28"/>
        </w:rPr>
        <w:t>，服装、鞋帽、针纺织品类下降</w:t>
      </w:r>
      <w:r>
        <w:rPr>
          <w:rFonts w:ascii="Times New Roman" w:hAnsi="Times New Roman"/>
          <w:sz w:val="28"/>
          <w:szCs w:val="28"/>
        </w:rPr>
        <w:t>3.4%</w:t>
      </w:r>
      <w:r>
        <w:rPr>
          <w:rFonts w:hint="eastAsia" w:ascii="Times New Roman" w:hAnsi="Times New Roman"/>
          <w:sz w:val="28"/>
          <w:szCs w:val="28"/>
        </w:rPr>
        <w:t>，化妆品类下降</w:t>
      </w:r>
      <w:r>
        <w:rPr>
          <w:rFonts w:ascii="Times New Roman" w:hAnsi="Times New Roman"/>
          <w:sz w:val="28"/>
          <w:szCs w:val="28"/>
        </w:rPr>
        <w:t>28.4%</w:t>
      </w:r>
      <w:r>
        <w:rPr>
          <w:rFonts w:hint="eastAsia" w:ascii="Times New Roman" w:hAnsi="Times New Roman"/>
          <w:sz w:val="28"/>
          <w:szCs w:val="28"/>
        </w:rPr>
        <w:t>，日用品类下降</w:t>
      </w:r>
      <w:r>
        <w:rPr>
          <w:rFonts w:ascii="Times New Roman" w:hAnsi="Times New Roman"/>
          <w:sz w:val="28"/>
          <w:szCs w:val="28"/>
        </w:rPr>
        <w:t>16.6%</w:t>
      </w:r>
      <w:r>
        <w:rPr>
          <w:rFonts w:hint="eastAsia" w:ascii="Times New Roman" w:hAnsi="Times New Roman"/>
          <w:sz w:val="28"/>
          <w:szCs w:val="28"/>
        </w:rPr>
        <w:t>，家用电器和音像器材类下降</w:t>
      </w:r>
      <w:r>
        <w:rPr>
          <w:rFonts w:ascii="Times New Roman" w:hAnsi="Times New Roman"/>
          <w:sz w:val="28"/>
          <w:szCs w:val="28"/>
        </w:rPr>
        <w:t>12.7%</w:t>
      </w:r>
      <w:r>
        <w:rPr>
          <w:rFonts w:hint="eastAsia" w:ascii="Times New Roman" w:hAnsi="Times New Roman"/>
          <w:sz w:val="28"/>
          <w:szCs w:val="28"/>
        </w:rPr>
        <w:t>，中西药品类增长</w:t>
      </w:r>
      <w:r>
        <w:rPr>
          <w:rFonts w:ascii="Times New Roman" w:hAnsi="Times New Roman"/>
          <w:sz w:val="28"/>
          <w:szCs w:val="28"/>
        </w:rPr>
        <w:t>20.5%</w:t>
      </w:r>
      <w:r>
        <w:rPr>
          <w:rFonts w:hint="eastAsia" w:ascii="Times New Roman" w:hAnsi="Times New Roman"/>
          <w:sz w:val="28"/>
          <w:szCs w:val="28"/>
        </w:rPr>
        <w:t>，家具类下降</w:t>
      </w:r>
      <w:r>
        <w:rPr>
          <w:rFonts w:ascii="Times New Roman" w:hAnsi="Times New Roman"/>
          <w:sz w:val="28"/>
          <w:szCs w:val="28"/>
        </w:rPr>
        <w:t>29.7%</w:t>
      </w:r>
      <w:r>
        <w:rPr>
          <w:rFonts w:hint="eastAsia" w:ascii="Times New Roman" w:hAnsi="Times New Roman"/>
          <w:sz w:val="28"/>
          <w:szCs w:val="28"/>
        </w:rPr>
        <w:t>，通讯器材类增长</w:t>
      </w:r>
      <w:r>
        <w:rPr>
          <w:rFonts w:ascii="Times New Roman" w:hAnsi="Times New Roman"/>
          <w:sz w:val="28"/>
          <w:szCs w:val="28"/>
        </w:rPr>
        <w:t>1.6%</w:t>
      </w:r>
      <w:r>
        <w:rPr>
          <w:rFonts w:hint="eastAsia" w:ascii="Times New Roman" w:hAnsi="Times New Roman"/>
          <w:sz w:val="28"/>
          <w:szCs w:val="28"/>
        </w:rPr>
        <w:t>，石油及制品类下降</w:t>
      </w:r>
      <w:r>
        <w:rPr>
          <w:rFonts w:ascii="Times New Roman" w:hAnsi="Times New Roman"/>
          <w:sz w:val="28"/>
          <w:szCs w:val="28"/>
        </w:rPr>
        <w:t>7.9%</w:t>
      </w:r>
      <w:r>
        <w:rPr>
          <w:rFonts w:hint="eastAsia" w:ascii="Times New Roman" w:hAnsi="Times New Roman"/>
          <w:sz w:val="28"/>
          <w:szCs w:val="28"/>
        </w:rPr>
        <w:t>，汽车类下降</w:t>
      </w:r>
      <w:r>
        <w:rPr>
          <w:rFonts w:ascii="Times New Roman" w:hAnsi="Times New Roman"/>
          <w:sz w:val="28"/>
          <w:szCs w:val="28"/>
        </w:rPr>
        <w:t>0.3%</w:t>
      </w:r>
      <w:r>
        <w:rPr>
          <w:rFonts w:hint="eastAsia" w:ascii="Times New Roman" w:hAnsi="Times New Roman"/>
          <w:sz w:val="28"/>
          <w:szCs w:val="28"/>
        </w:rPr>
        <w:t>。</w:t>
      </w:r>
    </w:p>
    <w:p>
      <w:pPr>
        <w:spacing w:line="600" w:lineRule="exact"/>
        <w:ind w:firstLine="560" w:firstLineChars="200"/>
        <w:rPr>
          <w:rFonts w:ascii="Times New Roman" w:hAnsi="Times New Roman"/>
          <w:sz w:val="28"/>
          <w:szCs w:val="28"/>
        </w:rPr>
      </w:pPr>
      <w:r>
        <w:rPr>
          <w:rFonts w:hint="eastAsia" w:ascii="Times New Roman" w:hAnsi="Times New Roman"/>
          <w:sz w:val="28"/>
          <w:szCs w:val="28"/>
        </w:rPr>
        <w:t>全年实现进出口总额</w:t>
      </w:r>
      <w:r>
        <w:rPr>
          <w:rFonts w:ascii="Times New Roman" w:hAnsi="Times New Roman"/>
          <w:sz w:val="28"/>
          <w:szCs w:val="28"/>
        </w:rPr>
        <w:t>1676.24</w:t>
      </w:r>
      <w:r>
        <w:rPr>
          <w:rFonts w:hint="eastAsia" w:ascii="Times New Roman" w:hAnsi="Times New Roman"/>
          <w:sz w:val="28"/>
          <w:szCs w:val="28"/>
        </w:rPr>
        <w:t>亿元，比上年增长</w:t>
      </w:r>
      <w:r>
        <w:rPr>
          <w:rFonts w:ascii="Times New Roman" w:hAnsi="Times New Roman"/>
          <w:sz w:val="28"/>
          <w:szCs w:val="28"/>
        </w:rPr>
        <w:t>11.5%</w:t>
      </w:r>
      <w:r>
        <w:rPr>
          <w:rFonts w:hint="eastAsia" w:ascii="Times New Roman" w:hAnsi="Times New Roman"/>
          <w:sz w:val="28"/>
          <w:szCs w:val="28"/>
        </w:rPr>
        <w:t>，其中出口</w:t>
      </w:r>
      <w:r>
        <w:rPr>
          <w:rFonts w:ascii="Times New Roman" w:hAnsi="Times New Roman"/>
          <w:sz w:val="28"/>
          <w:szCs w:val="28"/>
        </w:rPr>
        <w:t>1130.74</w:t>
      </w:r>
      <w:r>
        <w:rPr>
          <w:rFonts w:hint="eastAsia" w:ascii="Times New Roman" w:hAnsi="Times New Roman"/>
          <w:sz w:val="28"/>
          <w:szCs w:val="28"/>
        </w:rPr>
        <w:t>亿元、增长</w:t>
      </w:r>
      <w:r>
        <w:rPr>
          <w:rFonts w:ascii="Times New Roman" w:hAnsi="Times New Roman"/>
          <w:sz w:val="28"/>
          <w:szCs w:val="28"/>
        </w:rPr>
        <w:t>7.7%</w:t>
      </w:r>
      <w:r>
        <w:rPr>
          <w:rFonts w:hint="eastAsia" w:ascii="Times New Roman" w:hAnsi="Times New Roman"/>
          <w:sz w:val="28"/>
          <w:szCs w:val="28"/>
        </w:rPr>
        <w:t>，进口</w:t>
      </w:r>
      <w:r>
        <w:rPr>
          <w:rFonts w:ascii="Times New Roman" w:hAnsi="Times New Roman"/>
          <w:sz w:val="28"/>
          <w:szCs w:val="28"/>
        </w:rPr>
        <w:t>545.49</w:t>
      </w:r>
      <w:r>
        <w:rPr>
          <w:rFonts w:hint="eastAsia" w:ascii="Times New Roman" w:hAnsi="Times New Roman"/>
          <w:sz w:val="28"/>
          <w:szCs w:val="28"/>
        </w:rPr>
        <w:t>亿元、增长</w:t>
      </w:r>
      <w:r>
        <w:rPr>
          <w:rFonts w:ascii="Times New Roman" w:hAnsi="Times New Roman"/>
          <w:sz w:val="28"/>
          <w:szCs w:val="28"/>
        </w:rPr>
        <w:t>20.5%</w:t>
      </w:r>
      <w:r>
        <w:rPr>
          <w:rFonts w:hint="eastAsia" w:ascii="Times New Roman" w:hAnsi="Times New Roman"/>
          <w:sz w:val="28"/>
          <w:szCs w:val="28"/>
        </w:rPr>
        <w:t>。全区实际利用外资</w:t>
      </w:r>
      <w:r>
        <w:rPr>
          <w:rFonts w:ascii="Times New Roman" w:hAnsi="Times New Roman"/>
          <w:sz w:val="28"/>
          <w:szCs w:val="28"/>
        </w:rPr>
        <w:t>24.5</w:t>
      </w:r>
      <w:r>
        <w:rPr>
          <w:rFonts w:hint="eastAsia" w:ascii="Times New Roman" w:hAnsi="Times New Roman"/>
          <w:sz w:val="28"/>
          <w:szCs w:val="28"/>
        </w:rPr>
        <w:t>亿美元，增长</w:t>
      </w:r>
      <w:r>
        <w:rPr>
          <w:rFonts w:ascii="Times New Roman" w:hAnsi="Times New Roman"/>
          <w:sz w:val="28"/>
          <w:szCs w:val="28"/>
        </w:rPr>
        <w:t>9.9%</w:t>
      </w:r>
      <w:r>
        <w:rPr>
          <w:rFonts w:hint="eastAsia" w:ascii="Times New Roman" w:hAnsi="Times New Roman"/>
          <w:sz w:val="28"/>
          <w:szCs w:val="28"/>
        </w:rPr>
        <w:t>。</w:t>
      </w:r>
    </w:p>
    <w:p>
      <w:pPr>
        <w:keepNext/>
        <w:keepLines/>
        <w:spacing w:before="260" w:after="260" w:line="413" w:lineRule="auto"/>
        <w:ind w:firstLine="560" w:firstLineChars="200"/>
        <w:outlineLvl w:val="2"/>
        <w:rPr>
          <w:rFonts w:ascii="Times New Roman" w:hAnsi="Times New Roman" w:eastAsia="黑体"/>
          <w:sz w:val="28"/>
          <w:szCs w:val="24"/>
        </w:rPr>
      </w:pPr>
      <w:bookmarkStart w:id="28" w:name="_Toc90482757"/>
      <w:r>
        <w:rPr>
          <w:rFonts w:ascii="Times New Roman" w:hAnsi="Times New Roman" w:eastAsia="黑体"/>
          <w:sz w:val="28"/>
          <w:szCs w:val="24"/>
        </w:rPr>
        <w:t xml:space="preserve">1.2.5 </w:t>
      </w:r>
      <w:r>
        <w:rPr>
          <w:rFonts w:hint="eastAsia" w:ascii="Times New Roman" w:hAnsi="Times New Roman" w:eastAsia="黑体"/>
          <w:sz w:val="28"/>
          <w:szCs w:val="24"/>
        </w:rPr>
        <w:t>交通运输、邮电和旅游</w:t>
      </w:r>
      <w:bookmarkEnd w:id="28"/>
    </w:p>
    <w:p>
      <w:pPr>
        <w:spacing w:line="600" w:lineRule="exact"/>
        <w:ind w:firstLine="560" w:firstLineChars="200"/>
        <w:rPr>
          <w:rFonts w:ascii="Times New Roman" w:hAnsi="Times New Roman"/>
          <w:sz w:val="28"/>
          <w:szCs w:val="28"/>
        </w:rPr>
      </w:pPr>
      <w:r>
        <w:rPr>
          <w:rFonts w:ascii="Times New Roman" w:hAnsi="Times New Roman"/>
          <w:sz w:val="28"/>
          <w:szCs w:val="28"/>
        </w:rPr>
        <w:t>2020</w:t>
      </w:r>
      <w:r>
        <w:rPr>
          <w:rFonts w:hint="eastAsia" w:ascii="Times New Roman" w:hAnsi="Times New Roman"/>
          <w:sz w:val="28"/>
          <w:szCs w:val="28"/>
        </w:rPr>
        <w:t>年完成旅客运输量</w:t>
      </w:r>
      <w:r>
        <w:rPr>
          <w:rFonts w:ascii="Times New Roman" w:hAnsi="Times New Roman"/>
          <w:sz w:val="28"/>
          <w:szCs w:val="28"/>
        </w:rPr>
        <w:t>2581.45</w:t>
      </w:r>
      <w:r>
        <w:rPr>
          <w:rFonts w:hint="eastAsia" w:ascii="Times New Roman" w:hAnsi="Times New Roman"/>
          <w:sz w:val="28"/>
          <w:szCs w:val="28"/>
        </w:rPr>
        <w:t>万人次，比上年下降</w:t>
      </w:r>
      <w:r>
        <w:rPr>
          <w:rFonts w:ascii="Times New Roman" w:hAnsi="Times New Roman"/>
          <w:sz w:val="28"/>
          <w:szCs w:val="28"/>
        </w:rPr>
        <w:t>31.2%</w:t>
      </w:r>
      <w:r>
        <w:rPr>
          <w:rFonts w:hint="eastAsia" w:ascii="Times New Roman" w:hAnsi="Times New Roman"/>
          <w:sz w:val="28"/>
          <w:szCs w:val="28"/>
        </w:rPr>
        <w:t>；货物运输量</w:t>
      </w:r>
      <w:r>
        <w:rPr>
          <w:rFonts w:ascii="Times New Roman" w:hAnsi="Times New Roman"/>
          <w:sz w:val="28"/>
          <w:szCs w:val="28"/>
        </w:rPr>
        <w:t>2659.26</w:t>
      </w:r>
      <w:r>
        <w:rPr>
          <w:rFonts w:hint="eastAsia" w:ascii="Times New Roman" w:hAnsi="Times New Roman"/>
          <w:sz w:val="28"/>
          <w:szCs w:val="28"/>
        </w:rPr>
        <w:t>万吨，比上年增长</w:t>
      </w:r>
      <w:r>
        <w:rPr>
          <w:rFonts w:ascii="Times New Roman" w:hAnsi="Times New Roman"/>
          <w:sz w:val="28"/>
          <w:szCs w:val="28"/>
        </w:rPr>
        <w:t>7.6%</w:t>
      </w:r>
      <w:r>
        <w:rPr>
          <w:rFonts w:hint="eastAsia" w:ascii="Times New Roman" w:hAnsi="Times New Roman"/>
          <w:sz w:val="28"/>
          <w:szCs w:val="28"/>
        </w:rPr>
        <w:t>。其中公路客运</w:t>
      </w:r>
      <w:r>
        <w:rPr>
          <w:rFonts w:ascii="Times New Roman" w:hAnsi="Times New Roman"/>
          <w:sz w:val="28"/>
          <w:szCs w:val="28"/>
        </w:rPr>
        <w:t>722</w:t>
      </w:r>
      <w:r>
        <w:rPr>
          <w:rFonts w:hint="eastAsia" w:ascii="Times New Roman" w:hAnsi="Times New Roman"/>
          <w:sz w:val="28"/>
          <w:szCs w:val="28"/>
        </w:rPr>
        <w:t>万人次，下降</w:t>
      </w:r>
      <w:r>
        <w:rPr>
          <w:rFonts w:ascii="Times New Roman" w:hAnsi="Times New Roman"/>
          <w:sz w:val="28"/>
          <w:szCs w:val="28"/>
        </w:rPr>
        <w:t>35.5%</w:t>
      </w:r>
      <w:r>
        <w:rPr>
          <w:rFonts w:hint="eastAsia" w:ascii="Times New Roman" w:hAnsi="Times New Roman"/>
          <w:sz w:val="28"/>
          <w:szCs w:val="28"/>
        </w:rPr>
        <w:t>；公路货运</w:t>
      </w:r>
      <w:r>
        <w:rPr>
          <w:rFonts w:ascii="Times New Roman" w:hAnsi="Times New Roman"/>
          <w:sz w:val="28"/>
          <w:szCs w:val="28"/>
        </w:rPr>
        <w:t>1769</w:t>
      </w:r>
      <w:r>
        <w:rPr>
          <w:rFonts w:hint="eastAsia" w:ascii="Times New Roman" w:hAnsi="Times New Roman"/>
          <w:sz w:val="28"/>
          <w:szCs w:val="28"/>
        </w:rPr>
        <w:t>万吨，增长</w:t>
      </w:r>
      <w:r>
        <w:rPr>
          <w:rFonts w:ascii="Times New Roman" w:hAnsi="Times New Roman"/>
          <w:sz w:val="28"/>
          <w:szCs w:val="28"/>
        </w:rPr>
        <w:t>11.8%</w:t>
      </w:r>
      <w:r>
        <w:rPr>
          <w:rFonts w:hint="eastAsia" w:ascii="Times New Roman" w:hAnsi="Times New Roman"/>
          <w:sz w:val="28"/>
          <w:szCs w:val="28"/>
        </w:rPr>
        <w:t>。机场旅客吞吐量</w:t>
      </w:r>
      <w:r>
        <w:rPr>
          <w:rFonts w:ascii="Times New Roman" w:hAnsi="Times New Roman"/>
          <w:sz w:val="28"/>
          <w:szCs w:val="28"/>
        </w:rPr>
        <w:t>3493.78</w:t>
      </w:r>
      <w:r>
        <w:rPr>
          <w:rFonts w:hint="eastAsia" w:ascii="Times New Roman" w:hAnsi="Times New Roman"/>
          <w:sz w:val="28"/>
          <w:szCs w:val="28"/>
        </w:rPr>
        <w:t>万人次，下降</w:t>
      </w:r>
      <w:r>
        <w:rPr>
          <w:rFonts w:ascii="Times New Roman" w:hAnsi="Times New Roman"/>
          <w:sz w:val="28"/>
          <w:szCs w:val="28"/>
        </w:rPr>
        <w:t>22.0%</w:t>
      </w:r>
      <w:r>
        <w:rPr>
          <w:rFonts w:hint="eastAsia" w:ascii="Times New Roman" w:hAnsi="Times New Roman"/>
          <w:sz w:val="28"/>
          <w:szCs w:val="28"/>
        </w:rPr>
        <w:t>；货物吞吐量</w:t>
      </w:r>
      <w:r>
        <w:rPr>
          <w:rFonts w:ascii="Times New Roman" w:hAnsi="Times New Roman"/>
          <w:sz w:val="28"/>
          <w:szCs w:val="28"/>
        </w:rPr>
        <w:t>41.12</w:t>
      </w:r>
      <w:r>
        <w:rPr>
          <w:rFonts w:hint="eastAsia" w:ascii="Times New Roman" w:hAnsi="Times New Roman"/>
          <w:sz w:val="28"/>
          <w:szCs w:val="28"/>
        </w:rPr>
        <w:t>万吨，增长</w:t>
      </w:r>
      <w:r>
        <w:rPr>
          <w:rFonts w:ascii="Times New Roman" w:hAnsi="Times New Roman"/>
          <w:sz w:val="28"/>
          <w:szCs w:val="28"/>
        </w:rPr>
        <w:t>0.1%</w:t>
      </w:r>
      <w:r>
        <w:rPr>
          <w:rFonts w:hint="eastAsia" w:ascii="Times New Roman" w:hAnsi="Times New Roman"/>
          <w:sz w:val="28"/>
          <w:szCs w:val="28"/>
        </w:rPr>
        <w:t>。</w:t>
      </w:r>
    </w:p>
    <w:p>
      <w:pPr>
        <w:spacing w:line="600" w:lineRule="exact"/>
        <w:ind w:firstLine="560" w:firstLineChars="200"/>
        <w:rPr>
          <w:rFonts w:ascii="Times New Roman" w:hAnsi="Times New Roman"/>
          <w:sz w:val="28"/>
          <w:szCs w:val="28"/>
        </w:rPr>
      </w:pPr>
      <w:r>
        <w:rPr>
          <w:rFonts w:hint="eastAsia" w:ascii="Times New Roman" w:hAnsi="Times New Roman"/>
          <w:sz w:val="28"/>
          <w:szCs w:val="28"/>
        </w:rPr>
        <w:t>邮电业务发展平稳。全年实现邮电业务收入</w:t>
      </w:r>
      <w:r>
        <w:rPr>
          <w:rFonts w:ascii="Times New Roman" w:hAnsi="Times New Roman"/>
          <w:sz w:val="28"/>
          <w:szCs w:val="28"/>
        </w:rPr>
        <w:t>16.35</w:t>
      </w:r>
      <w:r>
        <w:rPr>
          <w:rFonts w:hint="eastAsia" w:ascii="Times New Roman" w:hAnsi="Times New Roman"/>
          <w:sz w:val="28"/>
          <w:szCs w:val="28"/>
        </w:rPr>
        <w:t>亿元，比上年增长</w:t>
      </w:r>
      <w:r>
        <w:rPr>
          <w:rFonts w:ascii="Times New Roman" w:hAnsi="Times New Roman"/>
          <w:sz w:val="28"/>
          <w:szCs w:val="28"/>
        </w:rPr>
        <w:t>5.1%</w:t>
      </w:r>
      <w:r>
        <w:rPr>
          <w:rFonts w:hint="eastAsia" w:ascii="Times New Roman" w:hAnsi="Times New Roman"/>
          <w:sz w:val="28"/>
          <w:szCs w:val="28"/>
        </w:rPr>
        <w:t>。年末全区电话用户总数</w:t>
      </w:r>
      <w:r>
        <w:rPr>
          <w:rFonts w:ascii="Times New Roman" w:hAnsi="Times New Roman"/>
          <w:sz w:val="28"/>
          <w:szCs w:val="28"/>
        </w:rPr>
        <w:t>199.33</w:t>
      </w:r>
      <w:r>
        <w:rPr>
          <w:rFonts w:hint="eastAsia" w:ascii="Times New Roman" w:hAnsi="Times New Roman"/>
          <w:sz w:val="28"/>
          <w:szCs w:val="28"/>
        </w:rPr>
        <w:t>万户，其中移动电话用户</w:t>
      </w:r>
      <w:r>
        <w:rPr>
          <w:rFonts w:ascii="Times New Roman" w:hAnsi="Times New Roman"/>
          <w:sz w:val="28"/>
          <w:szCs w:val="28"/>
        </w:rPr>
        <w:t>170.60</w:t>
      </w:r>
      <w:r>
        <w:rPr>
          <w:rFonts w:hint="eastAsia" w:ascii="Times New Roman" w:hAnsi="Times New Roman"/>
          <w:sz w:val="28"/>
          <w:szCs w:val="28"/>
        </w:rPr>
        <w:t>万户。</w:t>
      </w:r>
    </w:p>
    <w:p>
      <w:pPr>
        <w:spacing w:line="600" w:lineRule="exact"/>
        <w:ind w:firstLine="560" w:firstLineChars="200"/>
        <w:rPr>
          <w:rFonts w:ascii="Times New Roman" w:hAnsi="Times New Roman"/>
          <w:sz w:val="28"/>
          <w:szCs w:val="28"/>
        </w:rPr>
      </w:pPr>
      <w:r>
        <w:rPr>
          <w:rFonts w:hint="eastAsia" w:ascii="Times New Roman" w:hAnsi="Times New Roman"/>
          <w:sz w:val="28"/>
          <w:szCs w:val="28"/>
        </w:rPr>
        <w:t>旅游基础设施不断完善，全域旅游纵深推进。两江影视城、重庆际华园成功创建</w:t>
      </w:r>
      <w:r>
        <w:rPr>
          <w:rFonts w:ascii="Times New Roman" w:hAnsi="Times New Roman"/>
          <w:sz w:val="28"/>
          <w:szCs w:val="28"/>
        </w:rPr>
        <w:t>4A</w:t>
      </w:r>
      <w:r>
        <w:rPr>
          <w:rFonts w:hint="eastAsia" w:ascii="Times New Roman" w:hAnsi="Times New Roman"/>
          <w:sz w:val="28"/>
          <w:szCs w:val="28"/>
        </w:rPr>
        <w:t>级旅游景区，巴渝乡愁博物馆、兴隆礼朝屋基等乡村旅游景点建成开放，统景印盒、兴隆牛皇等</w:t>
      </w:r>
      <w:r>
        <w:rPr>
          <w:rFonts w:ascii="Times New Roman" w:hAnsi="Times New Roman"/>
          <w:sz w:val="28"/>
          <w:szCs w:val="28"/>
        </w:rPr>
        <w:t>6</w:t>
      </w:r>
      <w:r>
        <w:rPr>
          <w:rFonts w:hint="eastAsia" w:ascii="Times New Roman" w:hAnsi="Times New Roman"/>
          <w:sz w:val="28"/>
          <w:szCs w:val="28"/>
        </w:rPr>
        <w:t>个村被评为休闲农业和乡村旅游市级示范村。推出渝北文旅专版</w:t>
      </w:r>
      <w:r>
        <w:rPr>
          <w:rFonts w:ascii="Times New Roman" w:hAnsi="Times New Roman"/>
          <w:sz w:val="28"/>
          <w:szCs w:val="28"/>
        </w:rPr>
        <w:t>10</w:t>
      </w:r>
      <w:r>
        <w:rPr>
          <w:rFonts w:hint="eastAsia" w:ascii="Times New Roman" w:hAnsi="Times New Roman"/>
          <w:sz w:val="28"/>
          <w:szCs w:val="28"/>
        </w:rPr>
        <w:t>期，旅游攻略</w:t>
      </w:r>
      <w:r>
        <w:rPr>
          <w:rFonts w:ascii="Times New Roman" w:hAnsi="Times New Roman"/>
          <w:sz w:val="28"/>
          <w:szCs w:val="28"/>
        </w:rPr>
        <w:t>30</w:t>
      </w:r>
      <w:r>
        <w:rPr>
          <w:rFonts w:hint="eastAsia" w:ascii="Times New Roman" w:hAnsi="Times New Roman"/>
          <w:sz w:val="28"/>
          <w:szCs w:val="28"/>
        </w:rPr>
        <w:t>个，游记</w:t>
      </w:r>
      <w:r>
        <w:rPr>
          <w:rFonts w:ascii="Times New Roman" w:hAnsi="Times New Roman"/>
          <w:sz w:val="28"/>
          <w:szCs w:val="28"/>
        </w:rPr>
        <w:t>18</w:t>
      </w:r>
      <w:r>
        <w:rPr>
          <w:rFonts w:hint="eastAsia" w:ascii="Times New Roman" w:hAnsi="Times New Roman"/>
          <w:sz w:val="28"/>
          <w:szCs w:val="28"/>
        </w:rPr>
        <w:t>篇，宣传海报</w:t>
      </w:r>
      <w:r>
        <w:rPr>
          <w:rFonts w:ascii="Times New Roman" w:hAnsi="Times New Roman"/>
          <w:sz w:val="28"/>
          <w:szCs w:val="28"/>
        </w:rPr>
        <w:t>28</w:t>
      </w:r>
      <w:r>
        <w:rPr>
          <w:rFonts w:hint="eastAsia" w:ascii="Times New Roman" w:hAnsi="Times New Roman"/>
          <w:sz w:val="28"/>
          <w:szCs w:val="28"/>
        </w:rPr>
        <w:t>个，短视频（含音频）</w:t>
      </w:r>
      <w:r>
        <w:rPr>
          <w:rFonts w:ascii="Times New Roman" w:hAnsi="Times New Roman"/>
          <w:sz w:val="28"/>
          <w:szCs w:val="28"/>
        </w:rPr>
        <w:t xml:space="preserve"> 68</w:t>
      </w:r>
      <w:r>
        <w:rPr>
          <w:rFonts w:hint="eastAsia" w:ascii="Times New Roman" w:hAnsi="Times New Roman"/>
          <w:sz w:val="28"/>
          <w:szCs w:val="28"/>
        </w:rPr>
        <w:t>个，全面立体展现渝北吃、住、行、游、购、娱。全年共接待国内外游客</w:t>
      </w:r>
      <w:r>
        <w:rPr>
          <w:rFonts w:ascii="Times New Roman" w:hAnsi="Times New Roman"/>
          <w:sz w:val="28"/>
          <w:szCs w:val="28"/>
        </w:rPr>
        <w:t>2372.94</w:t>
      </w:r>
      <w:r>
        <w:rPr>
          <w:rFonts w:hint="eastAsia" w:ascii="Times New Roman" w:hAnsi="Times New Roman"/>
          <w:sz w:val="28"/>
          <w:szCs w:val="28"/>
        </w:rPr>
        <w:t>万人次，实现旅游收入</w:t>
      </w:r>
      <w:r>
        <w:rPr>
          <w:rFonts w:ascii="Times New Roman" w:hAnsi="Times New Roman"/>
          <w:sz w:val="28"/>
          <w:szCs w:val="28"/>
        </w:rPr>
        <w:t>96.58</w:t>
      </w:r>
      <w:r>
        <w:rPr>
          <w:rFonts w:hint="eastAsia" w:ascii="Times New Roman" w:hAnsi="Times New Roman"/>
          <w:sz w:val="28"/>
          <w:szCs w:val="28"/>
        </w:rPr>
        <w:t>亿元。</w:t>
      </w:r>
    </w:p>
    <w:p>
      <w:pPr>
        <w:keepNext/>
        <w:keepLines/>
        <w:spacing w:before="260" w:after="260" w:line="413" w:lineRule="auto"/>
        <w:ind w:firstLine="560" w:firstLineChars="200"/>
        <w:outlineLvl w:val="2"/>
        <w:rPr>
          <w:rFonts w:ascii="Times New Roman" w:hAnsi="Times New Roman" w:eastAsia="黑体"/>
          <w:sz w:val="28"/>
          <w:szCs w:val="24"/>
        </w:rPr>
      </w:pPr>
      <w:bookmarkStart w:id="29" w:name="_Toc90482758"/>
      <w:r>
        <w:rPr>
          <w:rFonts w:ascii="Times New Roman" w:hAnsi="Times New Roman" w:eastAsia="黑体"/>
          <w:sz w:val="28"/>
          <w:szCs w:val="24"/>
        </w:rPr>
        <w:t xml:space="preserve">1.2.6 </w:t>
      </w:r>
      <w:r>
        <w:rPr>
          <w:rFonts w:hint="eastAsia" w:ascii="Times New Roman" w:hAnsi="Times New Roman" w:eastAsia="黑体"/>
          <w:sz w:val="28"/>
          <w:szCs w:val="24"/>
        </w:rPr>
        <w:t>教育、科学技术和文化</w:t>
      </w:r>
      <w:bookmarkEnd w:id="29"/>
    </w:p>
    <w:p>
      <w:pPr>
        <w:spacing w:line="600" w:lineRule="exact"/>
        <w:ind w:firstLine="560" w:firstLineChars="200"/>
        <w:rPr>
          <w:rFonts w:ascii="Times New Roman" w:hAnsi="Times New Roman"/>
          <w:sz w:val="28"/>
          <w:szCs w:val="28"/>
        </w:rPr>
      </w:pPr>
      <w:r>
        <w:rPr>
          <w:rFonts w:ascii="Times New Roman" w:hAnsi="Times New Roman"/>
          <w:sz w:val="28"/>
          <w:szCs w:val="28"/>
        </w:rPr>
        <w:t>2020</w:t>
      </w:r>
      <w:r>
        <w:rPr>
          <w:rFonts w:hint="eastAsia" w:ascii="Times New Roman" w:hAnsi="Times New Roman"/>
          <w:sz w:val="28"/>
          <w:szCs w:val="28"/>
        </w:rPr>
        <w:t>年末全区拥有各级各类学校</w:t>
      </w:r>
      <w:r>
        <w:rPr>
          <w:rFonts w:ascii="Times New Roman" w:hAnsi="Times New Roman"/>
          <w:sz w:val="28"/>
          <w:szCs w:val="28"/>
        </w:rPr>
        <w:t>524</w:t>
      </w:r>
      <w:r>
        <w:rPr>
          <w:rFonts w:hint="eastAsia" w:ascii="Times New Roman" w:hAnsi="Times New Roman"/>
          <w:sz w:val="28"/>
          <w:szCs w:val="28"/>
        </w:rPr>
        <w:t>所，较上年增加</w:t>
      </w:r>
      <w:r>
        <w:rPr>
          <w:rFonts w:ascii="Times New Roman" w:hAnsi="Times New Roman"/>
          <w:sz w:val="28"/>
          <w:szCs w:val="28"/>
        </w:rPr>
        <w:t>21</w:t>
      </w:r>
      <w:r>
        <w:rPr>
          <w:rFonts w:hint="eastAsia" w:ascii="Times New Roman" w:hAnsi="Times New Roman"/>
          <w:sz w:val="28"/>
          <w:szCs w:val="28"/>
        </w:rPr>
        <w:t>所，其中普通中学</w:t>
      </w:r>
      <w:r>
        <w:rPr>
          <w:rFonts w:ascii="Times New Roman" w:hAnsi="Times New Roman"/>
          <w:sz w:val="28"/>
          <w:szCs w:val="28"/>
        </w:rPr>
        <w:t>49</w:t>
      </w:r>
      <w:r>
        <w:rPr>
          <w:rFonts w:hint="eastAsia" w:ascii="Times New Roman" w:hAnsi="Times New Roman"/>
          <w:sz w:val="28"/>
          <w:szCs w:val="28"/>
        </w:rPr>
        <w:t>所、职业学校</w:t>
      </w:r>
      <w:r>
        <w:rPr>
          <w:rFonts w:ascii="Times New Roman" w:hAnsi="Times New Roman"/>
          <w:sz w:val="28"/>
          <w:szCs w:val="28"/>
        </w:rPr>
        <w:t>6</w:t>
      </w:r>
      <w:r>
        <w:rPr>
          <w:rFonts w:hint="eastAsia" w:ascii="Times New Roman" w:hAnsi="Times New Roman"/>
          <w:sz w:val="28"/>
          <w:szCs w:val="28"/>
        </w:rPr>
        <w:t>所、小学</w:t>
      </w:r>
      <w:r>
        <w:rPr>
          <w:rFonts w:ascii="Times New Roman" w:hAnsi="Times New Roman"/>
          <w:sz w:val="28"/>
          <w:szCs w:val="28"/>
        </w:rPr>
        <w:t>83</w:t>
      </w:r>
      <w:r>
        <w:rPr>
          <w:rFonts w:hint="eastAsia" w:ascii="Times New Roman" w:hAnsi="Times New Roman"/>
          <w:sz w:val="28"/>
          <w:szCs w:val="28"/>
        </w:rPr>
        <w:t>所、幼儿园</w:t>
      </w:r>
      <w:r>
        <w:rPr>
          <w:rFonts w:ascii="Times New Roman" w:hAnsi="Times New Roman"/>
          <w:sz w:val="28"/>
          <w:szCs w:val="28"/>
        </w:rPr>
        <w:t>385</w:t>
      </w:r>
      <w:r>
        <w:rPr>
          <w:rFonts w:hint="eastAsia" w:ascii="Times New Roman" w:hAnsi="Times New Roman"/>
          <w:sz w:val="28"/>
          <w:szCs w:val="28"/>
        </w:rPr>
        <w:t>所、特殊教育学校</w:t>
      </w:r>
      <w:r>
        <w:rPr>
          <w:rFonts w:ascii="Times New Roman" w:hAnsi="Times New Roman"/>
          <w:sz w:val="28"/>
          <w:szCs w:val="28"/>
        </w:rPr>
        <w:t>1</w:t>
      </w:r>
      <w:r>
        <w:rPr>
          <w:rFonts w:hint="eastAsia" w:ascii="Times New Roman" w:hAnsi="Times New Roman"/>
          <w:sz w:val="28"/>
          <w:szCs w:val="28"/>
        </w:rPr>
        <w:t>所。全年招生人数为</w:t>
      </w:r>
      <w:r>
        <w:rPr>
          <w:rFonts w:ascii="Times New Roman" w:hAnsi="Times New Roman"/>
          <w:sz w:val="28"/>
          <w:szCs w:val="28"/>
        </w:rPr>
        <w:t>5.45</w:t>
      </w:r>
      <w:r>
        <w:rPr>
          <w:rFonts w:hint="eastAsia" w:ascii="Times New Roman" w:hAnsi="Times New Roman"/>
          <w:sz w:val="28"/>
          <w:szCs w:val="28"/>
        </w:rPr>
        <w:t>万人，其中普通中学招生</w:t>
      </w:r>
      <w:r>
        <w:rPr>
          <w:rFonts w:ascii="Times New Roman" w:hAnsi="Times New Roman"/>
          <w:sz w:val="28"/>
          <w:szCs w:val="28"/>
        </w:rPr>
        <w:t>2.57</w:t>
      </w:r>
      <w:r>
        <w:rPr>
          <w:rFonts w:hint="eastAsia" w:ascii="Times New Roman" w:hAnsi="Times New Roman"/>
          <w:sz w:val="28"/>
          <w:szCs w:val="28"/>
        </w:rPr>
        <w:t>万人、职业中学招生</w:t>
      </w:r>
      <w:r>
        <w:rPr>
          <w:rFonts w:ascii="Times New Roman" w:hAnsi="Times New Roman"/>
          <w:sz w:val="28"/>
          <w:szCs w:val="28"/>
        </w:rPr>
        <w:t>0.51</w:t>
      </w:r>
      <w:r>
        <w:rPr>
          <w:rFonts w:hint="eastAsia" w:ascii="Times New Roman" w:hAnsi="Times New Roman"/>
          <w:sz w:val="28"/>
          <w:szCs w:val="28"/>
        </w:rPr>
        <w:t>万人、小学招生</w:t>
      </w:r>
      <w:r>
        <w:rPr>
          <w:rFonts w:ascii="Times New Roman" w:hAnsi="Times New Roman"/>
          <w:sz w:val="28"/>
          <w:szCs w:val="28"/>
        </w:rPr>
        <w:t>2.37</w:t>
      </w:r>
      <w:r>
        <w:rPr>
          <w:rFonts w:hint="eastAsia" w:ascii="Times New Roman" w:hAnsi="Times New Roman"/>
          <w:sz w:val="28"/>
          <w:szCs w:val="28"/>
        </w:rPr>
        <w:t>万人，在校学生分别为</w:t>
      </w:r>
      <w:r>
        <w:rPr>
          <w:rFonts w:ascii="Times New Roman" w:hAnsi="Times New Roman"/>
          <w:sz w:val="28"/>
          <w:szCs w:val="28"/>
        </w:rPr>
        <w:t>7.24</w:t>
      </w:r>
      <w:r>
        <w:rPr>
          <w:rFonts w:hint="eastAsia" w:ascii="Times New Roman" w:hAnsi="Times New Roman"/>
          <w:sz w:val="28"/>
          <w:szCs w:val="28"/>
        </w:rPr>
        <w:t>万人、</w:t>
      </w:r>
      <w:r>
        <w:rPr>
          <w:rFonts w:ascii="Times New Roman" w:hAnsi="Times New Roman"/>
          <w:sz w:val="28"/>
          <w:szCs w:val="28"/>
        </w:rPr>
        <w:t xml:space="preserve"> 1.60</w:t>
      </w:r>
      <w:r>
        <w:rPr>
          <w:rFonts w:hint="eastAsia" w:ascii="Times New Roman" w:hAnsi="Times New Roman"/>
          <w:sz w:val="28"/>
          <w:szCs w:val="28"/>
        </w:rPr>
        <w:t>万人、</w:t>
      </w:r>
      <w:r>
        <w:rPr>
          <w:rFonts w:ascii="Times New Roman" w:hAnsi="Times New Roman"/>
          <w:sz w:val="28"/>
          <w:szCs w:val="28"/>
        </w:rPr>
        <w:t xml:space="preserve"> 12.24</w:t>
      </w:r>
      <w:r>
        <w:rPr>
          <w:rFonts w:hint="eastAsia" w:ascii="Times New Roman" w:hAnsi="Times New Roman"/>
          <w:sz w:val="28"/>
          <w:szCs w:val="28"/>
        </w:rPr>
        <w:t>万人，毕业生数分别为</w:t>
      </w:r>
      <w:r>
        <w:rPr>
          <w:rFonts w:ascii="Times New Roman" w:hAnsi="Times New Roman"/>
          <w:sz w:val="28"/>
          <w:szCs w:val="28"/>
        </w:rPr>
        <w:t>2.10</w:t>
      </w:r>
      <w:r>
        <w:rPr>
          <w:rFonts w:hint="eastAsia" w:ascii="Times New Roman" w:hAnsi="Times New Roman"/>
          <w:sz w:val="28"/>
          <w:szCs w:val="28"/>
        </w:rPr>
        <w:t>万人、</w:t>
      </w:r>
      <w:r>
        <w:rPr>
          <w:rFonts w:ascii="Times New Roman" w:hAnsi="Times New Roman"/>
          <w:sz w:val="28"/>
          <w:szCs w:val="28"/>
        </w:rPr>
        <w:t xml:space="preserve"> 0.52</w:t>
      </w:r>
      <w:r>
        <w:rPr>
          <w:rFonts w:hint="eastAsia" w:ascii="Times New Roman" w:hAnsi="Times New Roman"/>
          <w:sz w:val="28"/>
          <w:szCs w:val="28"/>
        </w:rPr>
        <w:t>万人、</w:t>
      </w:r>
      <w:r>
        <w:rPr>
          <w:rFonts w:ascii="Times New Roman" w:hAnsi="Times New Roman"/>
          <w:sz w:val="28"/>
          <w:szCs w:val="28"/>
        </w:rPr>
        <w:t xml:space="preserve"> 1.65</w:t>
      </w:r>
      <w:r>
        <w:rPr>
          <w:rFonts w:hint="eastAsia" w:ascii="Times New Roman" w:hAnsi="Times New Roman"/>
          <w:sz w:val="28"/>
          <w:szCs w:val="28"/>
        </w:rPr>
        <w:t>万人。学前教育在园幼儿</w:t>
      </w:r>
      <w:r>
        <w:rPr>
          <w:rFonts w:ascii="Times New Roman" w:hAnsi="Times New Roman"/>
          <w:sz w:val="28"/>
          <w:szCs w:val="28"/>
        </w:rPr>
        <w:t>3.10</w:t>
      </w:r>
      <w:r>
        <w:rPr>
          <w:rFonts w:hint="eastAsia" w:ascii="Times New Roman" w:hAnsi="Times New Roman"/>
          <w:sz w:val="28"/>
          <w:szCs w:val="28"/>
        </w:rPr>
        <w:t>万人。</w:t>
      </w:r>
    </w:p>
    <w:p>
      <w:pPr>
        <w:spacing w:line="600" w:lineRule="exact"/>
        <w:ind w:firstLine="560" w:firstLineChars="200"/>
        <w:rPr>
          <w:rFonts w:ascii="Times New Roman" w:hAnsi="Times New Roman"/>
          <w:sz w:val="28"/>
          <w:szCs w:val="28"/>
        </w:rPr>
      </w:pPr>
      <w:r>
        <w:rPr>
          <w:rFonts w:hint="eastAsia" w:ascii="Times New Roman" w:hAnsi="Times New Roman"/>
          <w:sz w:val="28"/>
          <w:szCs w:val="28"/>
        </w:rPr>
        <w:t>全年科技计划总支出</w:t>
      </w:r>
      <w:r>
        <w:rPr>
          <w:rFonts w:ascii="Times New Roman" w:hAnsi="Times New Roman"/>
          <w:sz w:val="28"/>
          <w:szCs w:val="28"/>
        </w:rPr>
        <w:t>2.85</w:t>
      </w:r>
      <w:r>
        <w:rPr>
          <w:rFonts w:hint="eastAsia" w:ascii="Times New Roman" w:hAnsi="Times New Roman"/>
          <w:sz w:val="28"/>
          <w:szCs w:val="28"/>
        </w:rPr>
        <w:t>亿元，实施科技计划项目</w:t>
      </w:r>
      <w:r>
        <w:rPr>
          <w:rFonts w:ascii="Times New Roman" w:hAnsi="Times New Roman"/>
          <w:sz w:val="28"/>
          <w:szCs w:val="28"/>
        </w:rPr>
        <w:t>496</w:t>
      </w:r>
      <w:r>
        <w:rPr>
          <w:rFonts w:hint="eastAsia" w:ascii="Times New Roman" w:hAnsi="Times New Roman"/>
          <w:sz w:val="28"/>
          <w:szCs w:val="28"/>
        </w:rPr>
        <w:t>个。新培育科技型企业</w:t>
      </w:r>
      <w:r>
        <w:rPr>
          <w:rFonts w:ascii="Times New Roman" w:hAnsi="Times New Roman"/>
          <w:sz w:val="28"/>
          <w:szCs w:val="28"/>
        </w:rPr>
        <w:t>1005</w:t>
      </w:r>
      <w:r>
        <w:rPr>
          <w:rFonts w:hint="eastAsia" w:ascii="Times New Roman" w:hAnsi="Times New Roman"/>
          <w:sz w:val="28"/>
          <w:szCs w:val="28"/>
        </w:rPr>
        <w:t>家，总量达</w:t>
      </w:r>
      <w:r>
        <w:rPr>
          <w:rFonts w:ascii="Times New Roman" w:hAnsi="Times New Roman"/>
          <w:sz w:val="28"/>
          <w:szCs w:val="28"/>
        </w:rPr>
        <w:t>2905</w:t>
      </w:r>
      <w:r>
        <w:rPr>
          <w:rFonts w:hint="eastAsia" w:ascii="Times New Roman" w:hAnsi="Times New Roman"/>
          <w:sz w:val="28"/>
          <w:szCs w:val="28"/>
        </w:rPr>
        <w:t>家，总量全市第一；年末高新技术企业累计达到</w:t>
      </w:r>
      <w:r>
        <w:rPr>
          <w:rFonts w:ascii="Times New Roman" w:hAnsi="Times New Roman"/>
          <w:sz w:val="28"/>
          <w:szCs w:val="28"/>
        </w:rPr>
        <w:t>690</w:t>
      </w:r>
      <w:r>
        <w:rPr>
          <w:rFonts w:hint="eastAsia" w:ascii="Times New Roman" w:hAnsi="Times New Roman"/>
          <w:sz w:val="28"/>
          <w:szCs w:val="28"/>
        </w:rPr>
        <w:t>家，较上年增加</w:t>
      </w:r>
      <w:r>
        <w:rPr>
          <w:rFonts w:ascii="Times New Roman" w:hAnsi="Times New Roman"/>
          <w:sz w:val="28"/>
          <w:szCs w:val="28"/>
        </w:rPr>
        <w:t>140</w:t>
      </w:r>
      <w:r>
        <w:rPr>
          <w:rFonts w:hint="eastAsia" w:ascii="Times New Roman" w:hAnsi="Times New Roman"/>
          <w:sz w:val="28"/>
          <w:szCs w:val="28"/>
        </w:rPr>
        <w:t>家。新增国家级众创空间</w:t>
      </w:r>
      <w:r>
        <w:rPr>
          <w:rFonts w:ascii="Times New Roman" w:hAnsi="Times New Roman"/>
          <w:sz w:val="28"/>
          <w:szCs w:val="28"/>
        </w:rPr>
        <w:t>1</w:t>
      </w:r>
      <w:r>
        <w:rPr>
          <w:rFonts w:hint="eastAsia" w:ascii="Times New Roman" w:hAnsi="Times New Roman"/>
          <w:sz w:val="28"/>
          <w:szCs w:val="28"/>
        </w:rPr>
        <w:t>家，市级众创空间</w:t>
      </w:r>
      <w:r>
        <w:rPr>
          <w:rFonts w:ascii="Times New Roman" w:hAnsi="Times New Roman"/>
          <w:sz w:val="28"/>
          <w:szCs w:val="28"/>
        </w:rPr>
        <w:t>1</w:t>
      </w:r>
      <w:r>
        <w:rPr>
          <w:rFonts w:hint="eastAsia" w:ascii="Times New Roman" w:hAnsi="Times New Roman"/>
          <w:sz w:val="28"/>
          <w:szCs w:val="28"/>
        </w:rPr>
        <w:t>家，总量达</w:t>
      </w:r>
      <w:r>
        <w:rPr>
          <w:rFonts w:ascii="Times New Roman" w:hAnsi="Times New Roman"/>
          <w:sz w:val="28"/>
          <w:szCs w:val="28"/>
        </w:rPr>
        <w:t>22</w:t>
      </w:r>
      <w:r>
        <w:rPr>
          <w:rFonts w:hint="eastAsia" w:ascii="Times New Roman" w:hAnsi="Times New Roman"/>
          <w:sz w:val="28"/>
          <w:szCs w:val="28"/>
        </w:rPr>
        <w:t>家，众创空间总建成面积达</w:t>
      </w:r>
      <w:r>
        <w:rPr>
          <w:rFonts w:ascii="Times New Roman" w:hAnsi="Times New Roman"/>
          <w:sz w:val="28"/>
          <w:szCs w:val="28"/>
        </w:rPr>
        <w:t>6.75</w:t>
      </w:r>
      <w:r>
        <w:rPr>
          <w:rFonts w:hint="eastAsia" w:ascii="Times New Roman" w:hAnsi="Times New Roman"/>
          <w:sz w:val="28"/>
          <w:szCs w:val="28"/>
        </w:rPr>
        <w:t>万平米。全年申请发明专利数</w:t>
      </w:r>
      <w:r>
        <w:rPr>
          <w:rFonts w:ascii="Times New Roman" w:hAnsi="Times New Roman"/>
          <w:sz w:val="28"/>
          <w:szCs w:val="28"/>
        </w:rPr>
        <w:t>4009</w:t>
      </w:r>
      <w:r>
        <w:rPr>
          <w:rFonts w:hint="eastAsia" w:ascii="Times New Roman" w:hAnsi="Times New Roman"/>
          <w:sz w:val="28"/>
          <w:szCs w:val="28"/>
        </w:rPr>
        <w:t>件，发明专利权</w:t>
      </w:r>
      <w:r>
        <w:rPr>
          <w:rFonts w:ascii="Times New Roman" w:hAnsi="Times New Roman"/>
          <w:sz w:val="28"/>
          <w:szCs w:val="28"/>
        </w:rPr>
        <w:t>895</w:t>
      </w:r>
      <w:r>
        <w:rPr>
          <w:rFonts w:hint="eastAsia" w:ascii="Times New Roman" w:hAnsi="Times New Roman"/>
          <w:sz w:val="28"/>
          <w:szCs w:val="28"/>
        </w:rPr>
        <w:t>件。</w:t>
      </w:r>
    </w:p>
    <w:p>
      <w:pPr>
        <w:spacing w:line="600" w:lineRule="exact"/>
        <w:ind w:firstLine="560" w:firstLineChars="200"/>
        <w:rPr>
          <w:rFonts w:ascii="Times New Roman" w:hAnsi="Times New Roman"/>
          <w:sz w:val="28"/>
          <w:szCs w:val="28"/>
        </w:rPr>
      </w:pPr>
      <w:r>
        <w:rPr>
          <w:rFonts w:hint="eastAsia" w:ascii="Times New Roman" w:hAnsi="Times New Roman"/>
          <w:sz w:val="28"/>
          <w:szCs w:val="28"/>
        </w:rPr>
        <w:t>全年新建仙桃街道空港佳园和牛皇村</w:t>
      </w:r>
      <w:r>
        <w:rPr>
          <w:rFonts w:ascii="Times New Roman" w:hAnsi="Times New Roman"/>
          <w:sz w:val="28"/>
          <w:szCs w:val="28"/>
        </w:rPr>
        <w:t>2</w:t>
      </w:r>
      <w:r>
        <w:rPr>
          <w:rFonts w:hint="eastAsia" w:ascii="Times New Roman" w:hAnsi="Times New Roman"/>
          <w:sz w:val="28"/>
          <w:szCs w:val="28"/>
        </w:rPr>
        <w:t>个</w:t>
      </w:r>
      <w:r>
        <w:rPr>
          <w:rFonts w:ascii="Times New Roman" w:hAnsi="Times New Roman"/>
          <w:sz w:val="28"/>
          <w:szCs w:val="28"/>
        </w:rPr>
        <w:t>24</w:t>
      </w:r>
      <w:r>
        <w:rPr>
          <w:rFonts w:hint="eastAsia" w:ascii="Times New Roman" w:hAnsi="Times New Roman"/>
          <w:sz w:val="28"/>
          <w:szCs w:val="28"/>
        </w:rPr>
        <w:t>小时自助图书馆，</w:t>
      </w:r>
      <w:r>
        <w:rPr>
          <w:rFonts w:ascii="Times New Roman" w:hAnsi="Times New Roman"/>
          <w:sz w:val="28"/>
          <w:szCs w:val="28"/>
        </w:rPr>
        <w:t xml:space="preserve"> 10</w:t>
      </w:r>
      <w:r>
        <w:rPr>
          <w:rFonts w:hint="eastAsia" w:ascii="Times New Roman" w:hAnsi="Times New Roman"/>
          <w:sz w:val="28"/>
          <w:szCs w:val="28"/>
        </w:rPr>
        <w:t>个示范村农家书屋分馆，</w:t>
      </w:r>
      <w:r>
        <w:rPr>
          <w:rFonts w:ascii="Times New Roman" w:hAnsi="Times New Roman"/>
          <w:sz w:val="28"/>
          <w:szCs w:val="28"/>
        </w:rPr>
        <w:t>12</w:t>
      </w:r>
      <w:r>
        <w:rPr>
          <w:rFonts w:hint="eastAsia" w:ascii="Times New Roman" w:hAnsi="Times New Roman"/>
          <w:sz w:val="28"/>
          <w:szCs w:val="28"/>
        </w:rPr>
        <w:t>个阅读点；完成</w:t>
      </w:r>
      <w:r>
        <w:rPr>
          <w:rFonts w:ascii="Times New Roman" w:hAnsi="Times New Roman"/>
          <w:sz w:val="28"/>
          <w:szCs w:val="28"/>
        </w:rPr>
        <w:t>5</w:t>
      </w:r>
      <w:r>
        <w:rPr>
          <w:rFonts w:hint="eastAsia" w:ascii="Times New Roman" w:hAnsi="Times New Roman"/>
          <w:sz w:val="28"/>
          <w:szCs w:val="28"/>
        </w:rPr>
        <w:t>个镇街文化服务中心提档升级，</w:t>
      </w:r>
      <w:r>
        <w:rPr>
          <w:rFonts w:ascii="Times New Roman" w:hAnsi="Times New Roman"/>
          <w:sz w:val="28"/>
          <w:szCs w:val="28"/>
        </w:rPr>
        <w:t>6</w:t>
      </w:r>
      <w:r>
        <w:rPr>
          <w:rFonts w:hint="eastAsia" w:ascii="Times New Roman" w:hAnsi="Times New Roman"/>
          <w:sz w:val="28"/>
          <w:szCs w:val="28"/>
        </w:rPr>
        <w:t>个村居文化室标准化建设，新增</w:t>
      </w:r>
      <w:r>
        <w:rPr>
          <w:rFonts w:ascii="Times New Roman" w:hAnsi="Times New Roman"/>
          <w:sz w:val="28"/>
          <w:szCs w:val="28"/>
        </w:rPr>
        <w:t>2</w:t>
      </w:r>
      <w:r>
        <w:rPr>
          <w:rFonts w:hint="eastAsia" w:ascii="Times New Roman" w:hAnsi="Times New Roman"/>
          <w:sz w:val="28"/>
          <w:szCs w:val="28"/>
        </w:rPr>
        <w:t>个基层文化示范基地。年末全区图书馆纸质图书总藏量</w:t>
      </w:r>
      <w:r>
        <w:rPr>
          <w:rFonts w:ascii="Times New Roman" w:hAnsi="Times New Roman"/>
          <w:sz w:val="28"/>
          <w:szCs w:val="28"/>
        </w:rPr>
        <w:t>73.01</w:t>
      </w:r>
      <w:r>
        <w:rPr>
          <w:rFonts w:hint="eastAsia" w:ascii="Times New Roman" w:hAnsi="Times New Roman"/>
          <w:sz w:val="28"/>
          <w:szCs w:val="28"/>
        </w:rPr>
        <w:t>万册，较去年增加</w:t>
      </w:r>
      <w:r>
        <w:rPr>
          <w:rFonts w:ascii="Times New Roman" w:hAnsi="Times New Roman"/>
          <w:sz w:val="28"/>
          <w:szCs w:val="28"/>
        </w:rPr>
        <w:t>7.68</w:t>
      </w:r>
      <w:r>
        <w:rPr>
          <w:rFonts w:hint="eastAsia" w:ascii="Times New Roman" w:hAnsi="Times New Roman"/>
          <w:sz w:val="28"/>
          <w:szCs w:val="28"/>
        </w:rPr>
        <w:t>万册；全年借还图书</w:t>
      </w:r>
      <w:r>
        <w:rPr>
          <w:rFonts w:ascii="Times New Roman" w:hAnsi="Times New Roman"/>
          <w:sz w:val="28"/>
          <w:szCs w:val="28"/>
        </w:rPr>
        <w:t>26.48</w:t>
      </w:r>
      <w:r>
        <w:rPr>
          <w:rFonts w:hint="eastAsia" w:ascii="Times New Roman" w:hAnsi="Times New Roman"/>
          <w:sz w:val="28"/>
          <w:szCs w:val="28"/>
        </w:rPr>
        <w:t>万册次；文物藏品</w:t>
      </w:r>
      <w:r>
        <w:rPr>
          <w:rFonts w:ascii="Times New Roman" w:hAnsi="Times New Roman"/>
          <w:sz w:val="28"/>
          <w:szCs w:val="28"/>
        </w:rPr>
        <w:t>17344</w:t>
      </w:r>
      <w:r>
        <w:rPr>
          <w:rFonts w:hint="eastAsia" w:ascii="Times New Roman" w:hAnsi="Times New Roman"/>
          <w:sz w:val="28"/>
          <w:szCs w:val="28"/>
        </w:rPr>
        <w:t>件，藏品参观</w:t>
      </w:r>
      <w:r>
        <w:rPr>
          <w:rFonts w:ascii="Times New Roman" w:hAnsi="Times New Roman"/>
          <w:sz w:val="28"/>
          <w:szCs w:val="28"/>
        </w:rPr>
        <w:t>49.70</w:t>
      </w:r>
      <w:r>
        <w:rPr>
          <w:rFonts w:hint="eastAsia" w:ascii="Times New Roman" w:hAnsi="Times New Roman"/>
          <w:sz w:val="28"/>
          <w:szCs w:val="28"/>
        </w:rPr>
        <w:t>万人次。全区规模以上文化及相关产业企业营业收入</w:t>
      </w:r>
      <w:r>
        <w:rPr>
          <w:rFonts w:ascii="Times New Roman" w:hAnsi="Times New Roman"/>
          <w:sz w:val="28"/>
          <w:szCs w:val="28"/>
        </w:rPr>
        <w:t>119.63</w:t>
      </w:r>
      <w:r>
        <w:rPr>
          <w:rFonts w:hint="eastAsia" w:ascii="Times New Roman" w:hAnsi="Times New Roman"/>
          <w:sz w:val="28"/>
          <w:szCs w:val="28"/>
        </w:rPr>
        <w:t>亿元，增长</w:t>
      </w:r>
      <w:r>
        <w:rPr>
          <w:rFonts w:ascii="Times New Roman" w:hAnsi="Times New Roman"/>
          <w:sz w:val="28"/>
          <w:szCs w:val="28"/>
        </w:rPr>
        <w:t>9.61%</w:t>
      </w:r>
      <w:r>
        <w:rPr>
          <w:rFonts w:hint="eastAsia" w:ascii="Times New Roman" w:hAnsi="Times New Roman"/>
          <w:sz w:val="28"/>
          <w:szCs w:val="28"/>
        </w:rPr>
        <w:t>。</w:t>
      </w:r>
    </w:p>
    <w:p>
      <w:pPr>
        <w:keepNext/>
        <w:keepLines/>
        <w:spacing w:before="260" w:after="260" w:line="413" w:lineRule="auto"/>
        <w:ind w:firstLine="560" w:firstLineChars="200"/>
        <w:outlineLvl w:val="2"/>
        <w:rPr>
          <w:rFonts w:ascii="Times New Roman" w:hAnsi="Times New Roman" w:eastAsia="黑体"/>
          <w:sz w:val="28"/>
          <w:szCs w:val="24"/>
        </w:rPr>
      </w:pPr>
      <w:bookmarkStart w:id="30" w:name="_Toc19801"/>
      <w:bookmarkStart w:id="31" w:name="_Toc90482759"/>
      <w:bookmarkStart w:id="32" w:name="_Toc1880"/>
      <w:r>
        <w:rPr>
          <w:rFonts w:ascii="Times New Roman" w:hAnsi="Times New Roman" w:eastAsia="黑体"/>
          <w:sz w:val="28"/>
          <w:szCs w:val="24"/>
        </w:rPr>
        <w:t xml:space="preserve">1.2.7 </w:t>
      </w:r>
      <w:r>
        <w:rPr>
          <w:rFonts w:hint="eastAsia" w:ascii="Times New Roman" w:hAnsi="Times New Roman" w:eastAsia="黑体"/>
          <w:sz w:val="28"/>
          <w:szCs w:val="24"/>
        </w:rPr>
        <w:t>人口</w:t>
      </w:r>
      <w:bookmarkEnd w:id="30"/>
      <w:bookmarkEnd w:id="31"/>
      <w:bookmarkEnd w:id="32"/>
    </w:p>
    <w:p>
      <w:pPr>
        <w:spacing w:line="600" w:lineRule="exact"/>
        <w:ind w:firstLine="560" w:firstLineChars="200"/>
        <w:rPr>
          <w:rFonts w:ascii="Times New Roman" w:hAnsi="Times New Roman"/>
          <w:sz w:val="28"/>
          <w:szCs w:val="28"/>
        </w:rPr>
      </w:pPr>
      <w:r>
        <w:rPr>
          <w:rFonts w:ascii="Times New Roman" w:hAnsi="Times New Roman"/>
          <w:sz w:val="28"/>
          <w:szCs w:val="28"/>
        </w:rPr>
        <w:t>2020</w:t>
      </w:r>
      <w:r>
        <w:rPr>
          <w:rFonts w:hint="eastAsia" w:ascii="Times New Roman" w:hAnsi="Times New Roman"/>
          <w:sz w:val="28"/>
          <w:szCs w:val="28"/>
        </w:rPr>
        <w:t>年末全区户籍总人口</w:t>
      </w:r>
      <w:r>
        <w:rPr>
          <w:rFonts w:ascii="Times New Roman" w:hAnsi="Times New Roman"/>
          <w:sz w:val="28"/>
          <w:szCs w:val="28"/>
        </w:rPr>
        <w:t>146.51</w:t>
      </w:r>
      <w:r>
        <w:rPr>
          <w:rFonts w:hint="eastAsia" w:ascii="Times New Roman" w:hAnsi="Times New Roman"/>
          <w:sz w:val="28"/>
          <w:szCs w:val="28"/>
        </w:rPr>
        <w:t>万人，较上年增加</w:t>
      </w:r>
      <w:r>
        <w:rPr>
          <w:rFonts w:ascii="Times New Roman" w:hAnsi="Times New Roman"/>
          <w:sz w:val="28"/>
          <w:szCs w:val="28"/>
        </w:rPr>
        <w:t>4.46</w:t>
      </w:r>
      <w:r>
        <w:rPr>
          <w:rFonts w:hint="eastAsia" w:ascii="Times New Roman" w:hAnsi="Times New Roman"/>
          <w:sz w:val="28"/>
          <w:szCs w:val="28"/>
        </w:rPr>
        <w:t>万人，其中城镇人口</w:t>
      </w:r>
      <w:r>
        <w:rPr>
          <w:rFonts w:ascii="Times New Roman" w:hAnsi="Times New Roman"/>
          <w:sz w:val="28"/>
          <w:szCs w:val="28"/>
        </w:rPr>
        <w:t>114.56</w:t>
      </w:r>
      <w:r>
        <w:rPr>
          <w:rFonts w:hint="eastAsia" w:ascii="Times New Roman" w:hAnsi="Times New Roman"/>
          <w:sz w:val="28"/>
          <w:szCs w:val="28"/>
        </w:rPr>
        <w:t>万人，较上年增加</w:t>
      </w:r>
      <w:r>
        <w:rPr>
          <w:rFonts w:ascii="Times New Roman" w:hAnsi="Times New Roman"/>
          <w:sz w:val="28"/>
          <w:szCs w:val="28"/>
        </w:rPr>
        <w:t>5.03</w:t>
      </w:r>
      <w:r>
        <w:rPr>
          <w:rFonts w:hint="eastAsia" w:ascii="Times New Roman" w:hAnsi="Times New Roman"/>
          <w:sz w:val="28"/>
          <w:szCs w:val="28"/>
        </w:rPr>
        <w:t>万人；乡村人口</w:t>
      </w:r>
      <w:r>
        <w:rPr>
          <w:rFonts w:ascii="Times New Roman" w:hAnsi="Times New Roman"/>
          <w:sz w:val="28"/>
          <w:szCs w:val="28"/>
        </w:rPr>
        <w:t>31.95</w:t>
      </w:r>
      <w:r>
        <w:rPr>
          <w:rFonts w:hint="eastAsia" w:ascii="Times New Roman" w:hAnsi="Times New Roman"/>
          <w:sz w:val="28"/>
          <w:szCs w:val="28"/>
        </w:rPr>
        <w:t>万人，较上年减少</w:t>
      </w:r>
      <w:r>
        <w:rPr>
          <w:rFonts w:ascii="Times New Roman" w:hAnsi="Times New Roman"/>
          <w:sz w:val="28"/>
          <w:szCs w:val="28"/>
        </w:rPr>
        <w:t>0.57</w:t>
      </w:r>
      <w:r>
        <w:rPr>
          <w:rFonts w:hint="eastAsia" w:ascii="Times New Roman" w:hAnsi="Times New Roman"/>
          <w:sz w:val="28"/>
          <w:szCs w:val="28"/>
        </w:rPr>
        <w:t>万人。户籍人口中，男性人口</w:t>
      </w:r>
      <w:r>
        <w:rPr>
          <w:rFonts w:ascii="Times New Roman" w:hAnsi="Times New Roman"/>
          <w:sz w:val="28"/>
          <w:szCs w:val="28"/>
        </w:rPr>
        <w:t>72.61</w:t>
      </w:r>
      <w:r>
        <w:rPr>
          <w:rFonts w:hint="eastAsia" w:ascii="Times New Roman" w:hAnsi="Times New Roman"/>
          <w:sz w:val="28"/>
          <w:szCs w:val="28"/>
        </w:rPr>
        <w:t>万人，女性人口</w:t>
      </w:r>
      <w:r>
        <w:rPr>
          <w:rFonts w:ascii="Times New Roman" w:hAnsi="Times New Roman"/>
          <w:sz w:val="28"/>
          <w:szCs w:val="28"/>
        </w:rPr>
        <w:t>73.90</w:t>
      </w:r>
      <w:r>
        <w:rPr>
          <w:rFonts w:hint="eastAsia" w:ascii="Times New Roman" w:hAnsi="Times New Roman"/>
          <w:sz w:val="28"/>
          <w:szCs w:val="28"/>
        </w:rPr>
        <w:t>万人，人口性别比为</w:t>
      </w:r>
      <w:r>
        <w:rPr>
          <w:rFonts w:ascii="Times New Roman" w:hAnsi="Times New Roman"/>
          <w:sz w:val="28"/>
          <w:szCs w:val="28"/>
        </w:rPr>
        <w:t>98.3</w:t>
      </w:r>
      <w:r>
        <w:rPr>
          <w:rFonts w:hint="eastAsia" w:ascii="Times New Roman" w:hAnsi="Times New Roman"/>
          <w:sz w:val="28"/>
          <w:szCs w:val="28"/>
        </w:rPr>
        <w:t>（以女性为</w:t>
      </w:r>
      <w:r>
        <w:rPr>
          <w:rFonts w:ascii="Times New Roman" w:hAnsi="Times New Roman"/>
          <w:sz w:val="28"/>
          <w:szCs w:val="28"/>
        </w:rPr>
        <w:t>100</w:t>
      </w:r>
      <w:r>
        <w:rPr>
          <w:rFonts w:hint="eastAsia" w:ascii="Times New Roman" w:hAnsi="Times New Roman"/>
          <w:sz w:val="28"/>
          <w:szCs w:val="28"/>
        </w:rPr>
        <w:t>），较上年扩大</w:t>
      </w:r>
      <w:r>
        <w:rPr>
          <w:rFonts w:ascii="Times New Roman" w:hAnsi="Times New Roman"/>
          <w:sz w:val="28"/>
          <w:szCs w:val="28"/>
        </w:rPr>
        <w:t>0.5</w:t>
      </w:r>
      <w:r>
        <w:rPr>
          <w:rFonts w:hint="eastAsia" w:ascii="Times New Roman" w:hAnsi="Times New Roman"/>
          <w:sz w:val="28"/>
          <w:szCs w:val="28"/>
        </w:rPr>
        <w:t>。全年出生人口</w:t>
      </w:r>
      <w:r>
        <w:rPr>
          <w:rFonts w:ascii="Times New Roman" w:hAnsi="Times New Roman"/>
          <w:sz w:val="28"/>
          <w:szCs w:val="28"/>
        </w:rPr>
        <w:t>16689</w:t>
      </w:r>
      <w:r>
        <w:rPr>
          <w:rFonts w:hint="eastAsia" w:ascii="Times New Roman" w:hAnsi="Times New Roman"/>
          <w:sz w:val="28"/>
          <w:szCs w:val="28"/>
        </w:rPr>
        <w:t>人，死亡人口</w:t>
      </w:r>
      <w:r>
        <w:rPr>
          <w:rFonts w:ascii="Times New Roman" w:hAnsi="Times New Roman"/>
          <w:sz w:val="28"/>
          <w:szCs w:val="28"/>
        </w:rPr>
        <w:t>10381</w:t>
      </w:r>
      <w:r>
        <w:rPr>
          <w:rFonts w:hint="eastAsia" w:ascii="Times New Roman" w:hAnsi="Times New Roman"/>
          <w:sz w:val="28"/>
          <w:szCs w:val="28"/>
        </w:rPr>
        <w:t>人，人口自然增长率</w:t>
      </w:r>
      <w:r>
        <w:rPr>
          <w:rFonts w:ascii="Times New Roman" w:hAnsi="Times New Roman"/>
          <w:sz w:val="28"/>
          <w:szCs w:val="28"/>
        </w:rPr>
        <w:t>4.37</w:t>
      </w:r>
      <w:r>
        <w:rPr>
          <w:rFonts w:hint="eastAsia" w:ascii="Times New Roman" w:hAnsi="Times New Roman"/>
          <w:sz w:val="28"/>
          <w:szCs w:val="28"/>
        </w:rPr>
        <w:t>‰。城镇新增就业</w:t>
      </w:r>
      <w:r>
        <w:rPr>
          <w:rFonts w:ascii="Times New Roman" w:hAnsi="Times New Roman"/>
          <w:sz w:val="28"/>
          <w:szCs w:val="28"/>
        </w:rPr>
        <w:t>5.91</w:t>
      </w:r>
      <w:r>
        <w:rPr>
          <w:rFonts w:hint="eastAsia" w:ascii="Times New Roman" w:hAnsi="Times New Roman"/>
          <w:sz w:val="28"/>
          <w:szCs w:val="28"/>
        </w:rPr>
        <w:t>万人，完成目标任务的</w:t>
      </w:r>
      <w:r>
        <w:rPr>
          <w:rFonts w:ascii="Times New Roman" w:hAnsi="Times New Roman"/>
          <w:sz w:val="28"/>
          <w:szCs w:val="28"/>
        </w:rPr>
        <w:t>136%</w:t>
      </w:r>
      <w:r>
        <w:rPr>
          <w:rFonts w:hint="eastAsia" w:ascii="Times New Roman" w:hAnsi="Times New Roman"/>
          <w:sz w:val="28"/>
          <w:szCs w:val="28"/>
        </w:rPr>
        <w:t>；城镇登记失业率</w:t>
      </w:r>
      <w:r>
        <w:rPr>
          <w:rFonts w:ascii="Times New Roman" w:hAnsi="Times New Roman"/>
          <w:sz w:val="28"/>
          <w:szCs w:val="28"/>
        </w:rPr>
        <w:t>2.98%</w:t>
      </w:r>
      <w:r>
        <w:rPr>
          <w:rFonts w:hint="eastAsia" w:ascii="Times New Roman" w:hAnsi="Times New Roman"/>
          <w:sz w:val="28"/>
          <w:szCs w:val="28"/>
        </w:rPr>
        <w:t>，低于控制目标</w:t>
      </w:r>
      <w:r>
        <w:rPr>
          <w:rFonts w:ascii="Times New Roman" w:hAnsi="Times New Roman"/>
          <w:sz w:val="28"/>
          <w:szCs w:val="28"/>
        </w:rPr>
        <w:t>0.22</w:t>
      </w:r>
      <w:r>
        <w:rPr>
          <w:rFonts w:hint="eastAsia" w:ascii="Times New Roman" w:hAnsi="Times New Roman"/>
          <w:sz w:val="28"/>
          <w:szCs w:val="28"/>
        </w:rPr>
        <w:t>个百分点。</w:t>
      </w:r>
    </w:p>
    <w:p>
      <w:pPr>
        <w:keepNext/>
        <w:keepLines/>
        <w:tabs>
          <w:tab w:val="left" w:pos="7230"/>
        </w:tabs>
        <w:spacing w:before="260" w:after="260" w:line="413" w:lineRule="auto"/>
        <w:ind w:firstLine="281" w:firstLineChars="100"/>
        <w:outlineLvl w:val="1"/>
        <w:rPr>
          <w:rFonts w:ascii="Times New Roman" w:hAnsi="Times New Roman"/>
          <w:b/>
          <w:bCs/>
          <w:kern w:val="44"/>
          <w:sz w:val="28"/>
          <w:szCs w:val="28"/>
        </w:rPr>
      </w:pPr>
      <w:bookmarkStart w:id="33" w:name="_Toc90482760"/>
      <w:r>
        <w:rPr>
          <w:rFonts w:ascii="Times New Roman" w:hAnsi="Times New Roman"/>
          <w:b/>
          <w:bCs/>
          <w:kern w:val="44"/>
          <w:sz w:val="28"/>
          <w:szCs w:val="28"/>
        </w:rPr>
        <w:t xml:space="preserve">1.3 </w:t>
      </w:r>
      <w:r>
        <w:rPr>
          <w:rFonts w:hint="eastAsia" w:ascii="Times New Roman" w:hAnsi="Times New Roman"/>
          <w:b/>
          <w:bCs/>
          <w:kern w:val="44"/>
          <w:sz w:val="28"/>
          <w:szCs w:val="28"/>
        </w:rPr>
        <w:t>水资源及其开发利用现状</w:t>
      </w:r>
      <w:bookmarkEnd w:id="33"/>
    </w:p>
    <w:p>
      <w:pPr>
        <w:adjustRightInd w:val="0"/>
        <w:snapToGrid w:val="0"/>
        <w:spacing w:beforeLines="50" w:afterLines="50" w:line="360" w:lineRule="auto"/>
        <w:ind w:firstLine="560" w:firstLineChars="200"/>
        <w:rPr>
          <w:rFonts w:ascii="宋体" w:cs="宋体"/>
          <w:kern w:val="0"/>
          <w:sz w:val="28"/>
          <w:szCs w:val="28"/>
        </w:rPr>
      </w:pPr>
      <w:bookmarkStart w:id="34" w:name="_Toc24782"/>
      <w:bookmarkStart w:id="35" w:name="_Toc25493"/>
      <w:r>
        <w:rPr>
          <w:rFonts w:hint="eastAsia" w:ascii="宋体" w:hAnsi="宋体" w:cs="宋体"/>
          <w:kern w:val="0"/>
          <w:sz w:val="28"/>
          <w:szCs w:val="28"/>
        </w:rPr>
        <w:t>渝北区水资源总量丰富，过境水资源量尤为丰富，但水资源时空分布不均，水土资源与人口分布、经济发展布局不平衡等原因，造成局部地区缺水，再加上区域性水环境污染等因素，缺水问题逐渐突显。</w:t>
      </w:r>
    </w:p>
    <w:p>
      <w:pPr>
        <w:keepNext/>
        <w:keepLines/>
        <w:spacing w:before="260" w:after="260" w:line="413" w:lineRule="auto"/>
        <w:ind w:firstLine="420" w:firstLineChars="200"/>
        <w:outlineLvl w:val="2"/>
        <w:rPr>
          <w:rFonts w:ascii="Times New Roman" w:hAnsi="Times New Roman" w:eastAsia="黑体"/>
          <w:sz w:val="28"/>
          <w:szCs w:val="24"/>
        </w:rPr>
      </w:pPr>
      <w:r>
        <w:fldChar w:fldCharType="begin"/>
      </w:r>
      <w:r>
        <w:instrText xml:space="preserve"> HYPERLINK \l "_Toc175629490" </w:instrText>
      </w:r>
      <w:r>
        <w:fldChar w:fldCharType="separate"/>
      </w:r>
      <w:bookmarkStart w:id="36" w:name="_Toc90482761"/>
      <w:r>
        <w:rPr>
          <w:rFonts w:ascii="Times New Roman" w:hAnsi="Times New Roman" w:eastAsia="黑体"/>
          <w:sz w:val="28"/>
          <w:szCs w:val="24"/>
        </w:rPr>
        <w:t xml:space="preserve">1.3.1 </w:t>
      </w:r>
      <w:r>
        <w:rPr>
          <w:rFonts w:hint="eastAsia" w:ascii="Times New Roman" w:hAnsi="Times New Roman" w:eastAsia="黑体"/>
          <w:sz w:val="28"/>
          <w:szCs w:val="24"/>
        </w:rPr>
        <w:t>水资源量</w:t>
      </w:r>
      <w:bookmarkEnd w:id="36"/>
      <w:r>
        <w:rPr>
          <w:rFonts w:hint="eastAsia" w:ascii="Times New Roman" w:hAnsi="Times New Roman" w:eastAsia="黑体"/>
          <w:sz w:val="28"/>
          <w:szCs w:val="24"/>
        </w:rPr>
        <w:fldChar w:fldCharType="end"/>
      </w:r>
      <w:bookmarkEnd w:id="34"/>
      <w:bookmarkEnd w:id="35"/>
    </w:p>
    <w:p>
      <w:pPr>
        <w:adjustRightInd w:val="0"/>
        <w:snapToGrid w:val="0"/>
        <w:spacing w:beforeLines="50" w:afterLines="50" w:line="360" w:lineRule="auto"/>
        <w:ind w:firstLine="560" w:firstLineChars="200"/>
        <w:rPr>
          <w:rFonts w:ascii="Times New Roman" w:hAnsi="Times New Roman"/>
          <w:kern w:val="0"/>
          <w:sz w:val="28"/>
          <w:szCs w:val="28"/>
        </w:rPr>
      </w:pPr>
      <w:r>
        <w:rPr>
          <w:rFonts w:hint="eastAsia" w:ascii="Times New Roman" w:hAnsi="Times New Roman"/>
          <w:kern w:val="0"/>
          <w:sz w:val="28"/>
          <w:szCs w:val="28"/>
        </w:rPr>
        <w:t>（</w:t>
      </w:r>
      <w:r>
        <w:rPr>
          <w:rFonts w:ascii="Times New Roman" w:hAnsi="Times New Roman"/>
          <w:kern w:val="0"/>
          <w:sz w:val="28"/>
          <w:szCs w:val="28"/>
        </w:rPr>
        <w:t>1</w:t>
      </w:r>
      <w:r>
        <w:rPr>
          <w:rFonts w:hint="eastAsia" w:ascii="Times New Roman" w:hAnsi="Times New Roman"/>
          <w:kern w:val="0"/>
          <w:sz w:val="28"/>
          <w:szCs w:val="28"/>
        </w:rPr>
        <w:t>）水资源总量</w:t>
      </w:r>
    </w:p>
    <w:p>
      <w:pPr>
        <w:adjustRightInd w:val="0"/>
        <w:snapToGrid w:val="0"/>
        <w:spacing w:beforeLines="50" w:afterLines="50" w:line="360" w:lineRule="auto"/>
        <w:ind w:firstLine="560" w:firstLineChars="200"/>
        <w:rPr>
          <w:rFonts w:ascii="Times New Roman" w:hAnsi="Times New Roman"/>
          <w:kern w:val="0"/>
          <w:sz w:val="28"/>
          <w:szCs w:val="28"/>
        </w:rPr>
      </w:pPr>
      <w:r>
        <w:rPr>
          <w:rFonts w:hint="eastAsia" w:ascii="Times New Roman" w:hAnsi="Times New Roman"/>
          <w:kern w:val="0"/>
          <w:sz w:val="28"/>
          <w:szCs w:val="28"/>
        </w:rPr>
        <w:t>渝北区多年平均地表水资源总量</w:t>
      </w:r>
      <w:r>
        <w:rPr>
          <w:rFonts w:ascii="Times New Roman" w:hAnsi="Times New Roman"/>
          <w:kern w:val="0"/>
          <w:sz w:val="28"/>
          <w:szCs w:val="28"/>
        </w:rPr>
        <w:t>8.5194</w:t>
      </w:r>
      <w:r>
        <w:rPr>
          <w:rFonts w:hint="eastAsia" w:ascii="Times New Roman" w:hAnsi="Times New Roman"/>
          <w:kern w:val="0"/>
          <w:sz w:val="28"/>
          <w:szCs w:val="28"/>
        </w:rPr>
        <w:t>亿</w:t>
      </w:r>
      <w:r>
        <w:rPr>
          <w:rFonts w:ascii="Times New Roman" w:hAnsi="Times New Roman"/>
          <w:kern w:val="0"/>
          <w:sz w:val="28"/>
          <w:szCs w:val="28"/>
        </w:rPr>
        <w:t>m</w:t>
      </w:r>
      <w:r>
        <w:rPr>
          <w:rFonts w:ascii="Times New Roman" w:hAnsi="Times New Roman"/>
          <w:kern w:val="0"/>
          <w:sz w:val="28"/>
          <w:szCs w:val="28"/>
          <w:vertAlign w:val="superscript"/>
        </w:rPr>
        <w:t>3</w:t>
      </w:r>
      <w:r>
        <w:rPr>
          <w:rFonts w:hint="eastAsia" w:ascii="Times New Roman" w:hAnsi="Times New Roman"/>
          <w:kern w:val="0"/>
          <w:sz w:val="28"/>
          <w:szCs w:val="28"/>
        </w:rPr>
        <w:t>，地下水资源总量</w:t>
      </w:r>
      <w:r>
        <w:rPr>
          <w:rFonts w:ascii="Times New Roman" w:hAnsi="Times New Roman"/>
          <w:kern w:val="0"/>
          <w:sz w:val="28"/>
          <w:szCs w:val="28"/>
        </w:rPr>
        <w:t>1.02</w:t>
      </w:r>
      <w:r>
        <w:rPr>
          <w:rFonts w:hint="eastAsia" w:ascii="Times New Roman" w:hAnsi="Times New Roman"/>
          <w:kern w:val="0"/>
          <w:sz w:val="28"/>
          <w:szCs w:val="28"/>
        </w:rPr>
        <w:t>亿</w:t>
      </w:r>
      <w:r>
        <w:rPr>
          <w:rFonts w:ascii="Times New Roman" w:hAnsi="Times New Roman"/>
          <w:kern w:val="0"/>
          <w:sz w:val="28"/>
          <w:szCs w:val="28"/>
        </w:rPr>
        <w:t>m</w:t>
      </w:r>
      <w:r>
        <w:rPr>
          <w:rFonts w:ascii="Times New Roman" w:hAnsi="Times New Roman"/>
          <w:kern w:val="0"/>
          <w:sz w:val="28"/>
          <w:szCs w:val="28"/>
          <w:vertAlign w:val="superscript"/>
        </w:rPr>
        <w:t>3</w:t>
      </w:r>
      <w:r>
        <w:rPr>
          <w:rFonts w:hint="eastAsia" w:ascii="Times New Roman" w:hAnsi="Times New Roman"/>
          <w:kern w:val="0"/>
          <w:sz w:val="28"/>
          <w:szCs w:val="28"/>
        </w:rPr>
        <w:t>，水资源总量为</w:t>
      </w:r>
      <w:r>
        <w:rPr>
          <w:rFonts w:ascii="Times New Roman" w:hAnsi="Times New Roman"/>
          <w:kern w:val="0"/>
          <w:sz w:val="28"/>
          <w:szCs w:val="28"/>
        </w:rPr>
        <w:t>8.5194</w:t>
      </w:r>
      <w:r>
        <w:rPr>
          <w:rFonts w:hint="eastAsia" w:ascii="Times New Roman" w:hAnsi="Times New Roman"/>
          <w:kern w:val="0"/>
          <w:sz w:val="28"/>
          <w:szCs w:val="28"/>
        </w:rPr>
        <w:t>亿</w:t>
      </w:r>
      <w:r>
        <w:rPr>
          <w:rFonts w:ascii="Times New Roman" w:hAnsi="Times New Roman"/>
          <w:kern w:val="0"/>
          <w:sz w:val="28"/>
          <w:szCs w:val="28"/>
        </w:rPr>
        <w:t>m</w:t>
      </w:r>
      <w:r>
        <w:rPr>
          <w:rFonts w:ascii="Times New Roman" w:hAnsi="Times New Roman"/>
          <w:kern w:val="0"/>
          <w:sz w:val="28"/>
          <w:szCs w:val="28"/>
          <w:vertAlign w:val="superscript"/>
        </w:rPr>
        <w:t>3</w:t>
      </w:r>
      <w:r>
        <w:rPr>
          <w:rFonts w:hint="eastAsia" w:ascii="Times New Roman" w:hAnsi="Times New Roman"/>
          <w:kern w:val="0"/>
          <w:sz w:val="28"/>
          <w:szCs w:val="28"/>
        </w:rPr>
        <w:t>，产水系数为</w:t>
      </w:r>
      <w:r>
        <w:rPr>
          <w:rFonts w:ascii="Times New Roman" w:hAnsi="Times New Roman"/>
          <w:kern w:val="0"/>
          <w:sz w:val="28"/>
          <w:szCs w:val="28"/>
        </w:rPr>
        <w:t>0.51</w:t>
      </w:r>
      <w:r>
        <w:rPr>
          <w:rFonts w:hint="eastAsia" w:ascii="Times New Roman" w:hAnsi="Times New Roman"/>
          <w:kern w:val="0"/>
          <w:sz w:val="28"/>
          <w:szCs w:val="28"/>
        </w:rPr>
        <w:t>，产水模数为</w:t>
      </w:r>
      <w:r>
        <w:rPr>
          <w:rFonts w:ascii="Times New Roman" w:hAnsi="Times New Roman"/>
          <w:kern w:val="0"/>
          <w:sz w:val="28"/>
          <w:szCs w:val="28"/>
        </w:rPr>
        <w:t>58.67</w:t>
      </w:r>
      <w:r>
        <w:rPr>
          <w:rFonts w:hint="eastAsia" w:ascii="Times New Roman" w:hAnsi="Times New Roman"/>
          <w:kern w:val="0"/>
          <w:sz w:val="28"/>
          <w:szCs w:val="28"/>
        </w:rPr>
        <w:t>万</w:t>
      </w:r>
      <w:r>
        <w:rPr>
          <w:rFonts w:ascii="Times New Roman" w:hAnsi="Times New Roman"/>
          <w:kern w:val="0"/>
          <w:sz w:val="28"/>
          <w:szCs w:val="28"/>
        </w:rPr>
        <w:t>m</w:t>
      </w:r>
      <w:r>
        <w:rPr>
          <w:rFonts w:ascii="Times New Roman" w:hAnsi="Times New Roman"/>
          <w:kern w:val="0"/>
          <w:sz w:val="28"/>
          <w:szCs w:val="28"/>
          <w:vertAlign w:val="superscript"/>
        </w:rPr>
        <w:t>3</w:t>
      </w:r>
      <w:r>
        <w:rPr>
          <w:rFonts w:ascii="Times New Roman" w:hAnsi="Times New Roman"/>
          <w:kern w:val="0"/>
          <w:sz w:val="28"/>
          <w:szCs w:val="28"/>
        </w:rPr>
        <w:t>/km</w:t>
      </w:r>
      <w:r>
        <w:rPr>
          <w:rFonts w:ascii="Times New Roman" w:hAnsi="Times New Roman"/>
          <w:kern w:val="0"/>
          <w:sz w:val="28"/>
          <w:szCs w:val="28"/>
          <w:vertAlign w:val="superscript"/>
        </w:rPr>
        <w:t>2</w:t>
      </w:r>
      <w:r>
        <w:rPr>
          <w:rFonts w:hint="eastAsia" w:ascii="Times New Roman" w:hAnsi="Times New Roman"/>
          <w:kern w:val="0"/>
          <w:sz w:val="28"/>
          <w:szCs w:val="28"/>
        </w:rPr>
        <w:t>。渝北区</w:t>
      </w:r>
      <w:r>
        <w:rPr>
          <w:rFonts w:ascii="Times New Roman" w:hAnsi="Times New Roman"/>
          <w:kern w:val="0"/>
          <w:sz w:val="28"/>
          <w:szCs w:val="28"/>
        </w:rPr>
        <w:t>4</w:t>
      </w:r>
      <w:r>
        <w:rPr>
          <w:rFonts w:hint="eastAsia" w:ascii="Times New Roman" w:hAnsi="Times New Roman"/>
          <w:kern w:val="0"/>
          <w:sz w:val="28"/>
          <w:szCs w:val="28"/>
        </w:rPr>
        <w:t>个水资源五级区的多年平均水资源量分别为</w:t>
      </w:r>
      <w:r>
        <w:rPr>
          <w:rFonts w:ascii="Times New Roman" w:hAnsi="Times New Roman"/>
          <w:kern w:val="0"/>
          <w:sz w:val="28"/>
          <w:szCs w:val="28"/>
        </w:rPr>
        <w:t>4.681</w:t>
      </w:r>
      <w:r>
        <w:rPr>
          <w:rFonts w:hint="eastAsia" w:ascii="Times New Roman" w:hAnsi="Times New Roman"/>
          <w:kern w:val="0"/>
          <w:sz w:val="28"/>
          <w:szCs w:val="28"/>
        </w:rPr>
        <w:t>亿</w:t>
      </w:r>
      <w:r>
        <w:rPr>
          <w:rFonts w:ascii="Times New Roman" w:hAnsi="Times New Roman"/>
          <w:kern w:val="0"/>
          <w:sz w:val="28"/>
          <w:szCs w:val="28"/>
        </w:rPr>
        <w:t>m</w:t>
      </w:r>
      <w:r>
        <w:rPr>
          <w:rFonts w:ascii="Times New Roman" w:hAnsi="Times New Roman"/>
          <w:kern w:val="0"/>
          <w:sz w:val="28"/>
          <w:szCs w:val="28"/>
          <w:vertAlign w:val="superscript"/>
        </w:rPr>
        <w:t>3</w:t>
      </w:r>
      <w:r>
        <w:rPr>
          <w:rFonts w:hint="eastAsia" w:ascii="Times New Roman" w:hAnsi="Times New Roman"/>
          <w:kern w:val="0"/>
          <w:sz w:val="28"/>
          <w:szCs w:val="28"/>
        </w:rPr>
        <w:t>、</w:t>
      </w:r>
      <w:r>
        <w:rPr>
          <w:rFonts w:ascii="Times New Roman" w:hAnsi="Times New Roman"/>
          <w:kern w:val="0"/>
          <w:sz w:val="28"/>
          <w:szCs w:val="28"/>
        </w:rPr>
        <w:t>0.8540</w:t>
      </w:r>
      <w:r>
        <w:rPr>
          <w:rFonts w:hint="eastAsia" w:ascii="Times New Roman" w:hAnsi="Times New Roman"/>
          <w:kern w:val="0"/>
          <w:sz w:val="28"/>
          <w:szCs w:val="28"/>
        </w:rPr>
        <w:t>亿</w:t>
      </w:r>
      <w:r>
        <w:rPr>
          <w:rFonts w:ascii="Times New Roman" w:hAnsi="Times New Roman"/>
          <w:kern w:val="0"/>
          <w:sz w:val="28"/>
          <w:szCs w:val="28"/>
        </w:rPr>
        <w:t>m</w:t>
      </w:r>
      <w:r>
        <w:rPr>
          <w:rFonts w:ascii="Times New Roman" w:hAnsi="Times New Roman"/>
          <w:kern w:val="0"/>
          <w:sz w:val="28"/>
          <w:szCs w:val="28"/>
          <w:vertAlign w:val="superscript"/>
        </w:rPr>
        <w:t>3</w:t>
      </w:r>
      <w:r>
        <w:rPr>
          <w:rFonts w:hint="eastAsia" w:ascii="Times New Roman" w:hAnsi="Times New Roman"/>
          <w:kern w:val="0"/>
          <w:sz w:val="28"/>
          <w:szCs w:val="28"/>
        </w:rPr>
        <w:t>、</w:t>
      </w:r>
      <w:r>
        <w:rPr>
          <w:rFonts w:ascii="Times New Roman" w:hAnsi="Times New Roman"/>
          <w:kern w:val="0"/>
          <w:sz w:val="28"/>
          <w:szCs w:val="28"/>
        </w:rPr>
        <w:t>2.1471</w:t>
      </w:r>
      <w:r>
        <w:rPr>
          <w:rFonts w:hint="eastAsia" w:ascii="Times New Roman" w:hAnsi="Times New Roman"/>
          <w:kern w:val="0"/>
          <w:sz w:val="28"/>
          <w:szCs w:val="28"/>
        </w:rPr>
        <w:t>亿</w:t>
      </w:r>
      <w:r>
        <w:rPr>
          <w:rFonts w:ascii="Times New Roman" w:hAnsi="Times New Roman"/>
          <w:kern w:val="0"/>
          <w:sz w:val="28"/>
          <w:szCs w:val="28"/>
        </w:rPr>
        <w:t>m</w:t>
      </w:r>
      <w:r>
        <w:rPr>
          <w:rFonts w:ascii="Times New Roman" w:hAnsi="Times New Roman"/>
          <w:kern w:val="0"/>
          <w:sz w:val="28"/>
          <w:szCs w:val="28"/>
          <w:vertAlign w:val="superscript"/>
        </w:rPr>
        <w:t>3</w:t>
      </w:r>
      <w:r>
        <w:rPr>
          <w:rFonts w:hint="eastAsia" w:ascii="Times New Roman" w:hAnsi="Times New Roman"/>
          <w:kern w:val="0"/>
          <w:sz w:val="28"/>
          <w:szCs w:val="28"/>
        </w:rPr>
        <w:t>和</w:t>
      </w:r>
      <w:r>
        <w:rPr>
          <w:rFonts w:ascii="Times New Roman" w:hAnsi="Times New Roman"/>
          <w:kern w:val="0"/>
          <w:sz w:val="28"/>
          <w:szCs w:val="28"/>
        </w:rPr>
        <w:t>0.8373</w:t>
      </w:r>
      <w:r>
        <w:rPr>
          <w:rFonts w:hint="eastAsia" w:ascii="Times New Roman" w:hAnsi="Times New Roman"/>
          <w:kern w:val="0"/>
          <w:sz w:val="28"/>
          <w:szCs w:val="28"/>
        </w:rPr>
        <w:t>亿</w:t>
      </w:r>
      <w:r>
        <w:rPr>
          <w:rFonts w:ascii="Times New Roman" w:hAnsi="Times New Roman"/>
          <w:kern w:val="0"/>
          <w:sz w:val="28"/>
          <w:szCs w:val="28"/>
        </w:rPr>
        <w:t>m</w:t>
      </w:r>
      <w:r>
        <w:rPr>
          <w:rFonts w:ascii="Times New Roman" w:hAnsi="Times New Roman"/>
          <w:kern w:val="0"/>
          <w:sz w:val="28"/>
          <w:szCs w:val="28"/>
          <w:vertAlign w:val="superscript"/>
        </w:rPr>
        <w:t>3</w:t>
      </w:r>
      <w:r>
        <w:rPr>
          <w:rFonts w:hint="eastAsia" w:ascii="Times New Roman" w:hAnsi="Times New Roman"/>
          <w:kern w:val="0"/>
          <w:sz w:val="28"/>
          <w:szCs w:val="28"/>
        </w:rPr>
        <w:t>，详见表</w:t>
      </w:r>
      <w:r>
        <w:rPr>
          <w:rFonts w:ascii="Times New Roman" w:hAnsi="Times New Roman"/>
          <w:kern w:val="0"/>
          <w:sz w:val="28"/>
          <w:szCs w:val="28"/>
        </w:rPr>
        <w:t>1-2</w:t>
      </w:r>
      <w:r>
        <w:rPr>
          <w:rFonts w:hint="eastAsia" w:ascii="Times New Roman" w:hAnsi="Times New Roman"/>
          <w:kern w:val="0"/>
          <w:sz w:val="28"/>
          <w:szCs w:val="28"/>
        </w:rPr>
        <w:t>。</w:t>
      </w:r>
    </w:p>
    <w:p>
      <w:pPr>
        <w:widowControl/>
        <w:adjustRightInd w:val="0"/>
        <w:snapToGrid w:val="0"/>
        <w:spacing w:line="400" w:lineRule="exact"/>
        <w:jc w:val="center"/>
        <w:rPr>
          <w:rFonts w:ascii="宋体" w:cs="宋体"/>
          <w:b/>
          <w:bCs/>
          <w:sz w:val="24"/>
          <w:szCs w:val="24"/>
        </w:rPr>
      </w:pPr>
      <w:r>
        <w:rPr>
          <w:rFonts w:hint="eastAsia" w:ascii="宋体" w:hAnsi="宋体" w:cs="宋体"/>
          <w:b/>
          <w:bCs/>
          <w:sz w:val="24"/>
          <w:szCs w:val="24"/>
        </w:rPr>
        <w:t>表</w:t>
      </w:r>
      <w:r>
        <w:rPr>
          <w:rFonts w:ascii="宋体" w:hAnsi="宋体" w:cs="宋体"/>
          <w:b/>
          <w:bCs/>
          <w:sz w:val="24"/>
          <w:szCs w:val="24"/>
        </w:rPr>
        <w:t xml:space="preserve">1-2  </w:t>
      </w:r>
      <w:r>
        <w:rPr>
          <w:rFonts w:hint="eastAsia" w:ascii="宋体" w:hAnsi="宋体" w:cs="宋体"/>
          <w:b/>
          <w:bCs/>
          <w:sz w:val="24"/>
          <w:szCs w:val="24"/>
        </w:rPr>
        <w:t>渝北区水资源五级区多年平均水资源总量表</w:t>
      </w:r>
    </w:p>
    <w:tbl>
      <w:tblPr>
        <w:tblStyle w:val="21"/>
        <w:tblW w:w="5123" w:type="pct"/>
        <w:tblInd w:w="0" w:type="dxa"/>
        <w:tblLayout w:type="autofit"/>
        <w:tblCellMar>
          <w:top w:w="0" w:type="dxa"/>
          <w:left w:w="108" w:type="dxa"/>
          <w:bottom w:w="0" w:type="dxa"/>
          <w:right w:w="108" w:type="dxa"/>
        </w:tblCellMar>
      </w:tblPr>
      <w:tblGrid>
        <w:gridCol w:w="1451"/>
        <w:gridCol w:w="1312"/>
        <w:gridCol w:w="1163"/>
        <w:gridCol w:w="1312"/>
        <w:gridCol w:w="1308"/>
        <w:gridCol w:w="667"/>
        <w:gridCol w:w="1519"/>
      </w:tblGrid>
      <w:tr>
        <w:tblPrEx>
          <w:tblCellMar>
            <w:top w:w="0" w:type="dxa"/>
            <w:left w:w="108" w:type="dxa"/>
            <w:bottom w:w="0" w:type="dxa"/>
            <w:right w:w="108" w:type="dxa"/>
          </w:tblCellMar>
        </w:tblPrEx>
        <w:trPr>
          <w:trHeight w:val="480" w:hRule="atLeast"/>
        </w:trPr>
        <w:tc>
          <w:tcPr>
            <w:tcW w:w="831" w:type="pct"/>
            <w:vMerge w:val="restart"/>
            <w:tcBorders>
              <w:top w:val="single" w:color="auto" w:sz="4" w:space="0"/>
              <w:left w:val="single" w:color="auto" w:sz="4" w:space="0"/>
              <w:bottom w:val="single" w:color="auto" w:sz="4" w:space="0"/>
              <w:right w:val="single" w:color="auto" w:sz="4" w:space="0"/>
            </w:tcBorders>
            <w:vAlign w:val="center"/>
          </w:tcPr>
          <w:p>
            <w:pPr>
              <w:widowControl/>
              <w:spacing w:line="240" w:lineRule="exact"/>
              <w:jc w:val="center"/>
              <w:rPr>
                <w:rFonts w:ascii="宋体" w:cs="宋体"/>
                <w:b/>
                <w:bCs/>
                <w:color w:val="000000"/>
                <w:kern w:val="0"/>
                <w:szCs w:val="21"/>
              </w:rPr>
            </w:pPr>
            <w:r>
              <w:rPr>
                <w:rFonts w:hint="eastAsia" w:ascii="宋体" w:hAnsi="宋体" w:cs="宋体"/>
                <w:b/>
                <w:bCs/>
                <w:color w:val="000000"/>
                <w:kern w:val="0"/>
                <w:szCs w:val="21"/>
              </w:rPr>
              <w:t>五级区名称</w:t>
            </w:r>
          </w:p>
        </w:tc>
        <w:tc>
          <w:tcPr>
            <w:tcW w:w="751" w:type="pct"/>
            <w:vMerge w:val="restart"/>
            <w:tcBorders>
              <w:top w:val="single" w:color="auto" w:sz="4" w:space="0"/>
              <w:left w:val="single" w:color="auto" w:sz="4" w:space="0"/>
              <w:bottom w:val="single" w:color="auto" w:sz="4" w:space="0"/>
              <w:right w:val="single" w:color="auto" w:sz="4" w:space="0"/>
            </w:tcBorders>
            <w:vAlign w:val="center"/>
          </w:tcPr>
          <w:p>
            <w:pPr>
              <w:widowControl/>
              <w:spacing w:line="240" w:lineRule="exact"/>
              <w:jc w:val="center"/>
              <w:rPr>
                <w:rFonts w:ascii="宋体" w:cs="宋体"/>
                <w:b/>
                <w:bCs/>
                <w:color w:val="000000"/>
                <w:kern w:val="0"/>
                <w:szCs w:val="21"/>
              </w:rPr>
            </w:pPr>
            <w:r>
              <w:rPr>
                <w:rFonts w:hint="eastAsia" w:ascii="宋体" w:hAnsi="宋体" w:cs="宋体"/>
                <w:b/>
                <w:bCs/>
                <w:color w:val="000000"/>
                <w:kern w:val="0"/>
                <w:szCs w:val="21"/>
              </w:rPr>
              <w:t>降水量（亿</w:t>
            </w:r>
            <w:r>
              <w:rPr>
                <w:rFonts w:ascii="宋体" w:hAnsi="宋体" w:cs="宋体"/>
                <w:b/>
                <w:bCs/>
                <w:color w:val="000000"/>
                <w:kern w:val="0"/>
                <w:szCs w:val="21"/>
              </w:rPr>
              <w:t>m</w:t>
            </w:r>
            <w:r>
              <w:rPr>
                <w:rFonts w:ascii="宋体" w:hAnsi="宋体" w:cs="宋体"/>
                <w:b/>
                <w:bCs/>
                <w:color w:val="000000"/>
                <w:kern w:val="0"/>
                <w:szCs w:val="21"/>
                <w:vertAlign w:val="superscript"/>
              </w:rPr>
              <w:t>3</w:t>
            </w:r>
            <w:r>
              <w:rPr>
                <w:rFonts w:hint="eastAsia" w:ascii="宋体" w:hAnsi="宋体" w:cs="宋体"/>
                <w:b/>
                <w:bCs/>
                <w:color w:val="000000"/>
                <w:kern w:val="0"/>
                <w:szCs w:val="21"/>
              </w:rPr>
              <w:t>）</w:t>
            </w:r>
          </w:p>
        </w:tc>
        <w:tc>
          <w:tcPr>
            <w:tcW w:w="666" w:type="pct"/>
            <w:vMerge w:val="restart"/>
            <w:tcBorders>
              <w:top w:val="single" w:color="auto" w:sz="4" w:space="0"/>
              <w:left w:val="single" w:color="auto" w:sz="4" w:space="0"/>
              <w:bottom w:val="single" w:color="auto" w:sz="4" w:space="0"/>
              <w:right w:val="single" w:color="auto" w:sz="4" w:space="0"/>
            </w:tcBorders>
            <w:vAlign w:val="center"/>
          </w:tcPr>
          <w:p>
            <w:pPr>
              <w:widowControl/>
              <w:spacing w:line="240" w:lineRule="exact"/>
              <w:jc w:val="center"/>
              <w:rPr>
                <w:rFonts w:ascii="宋体" w:cs="宋体"/>
                <w:b/>
                <w:bCs/>
                <w:color w:val="000000"/>
                <w:kern w:val="0"/>
                <w:szCs w:val="21"/>
              </w:rPr>
            </w:pPr>
            <w:r>
              <w:rPr>
                <w:rFonts w:hint="eastAsia" w:ascii="宋体" w:hAnsi="宋体" w:cs="宋体"/>
                <w:b/>
                <w:bCs/>
                <w:color w:val="000000"/>
                <w:kern w:val="0"/>
                <w:szCs w:val="21"/>
              </w:rPr>
              <w:t>地表水资源量（亿</w:t>
            </w:r>
            <w:r>
              <w:rPr>
                <w:rFonts w:ascii="宋体" w:hAnsi="宋体" w:cs="宋体"/>
                <w:b/>
                <w:bCs/>
                <w:color w:val="000000"/>
                <w:kern w:val="0"/>
                <w:szCs w:val="21"/>
              </w:rPr>
              <w:t>m</w:t>
            </w:r>
            <w:r>
              <w:rPr>
                <w:rFonts w:ascii="宋体" w:hAnsi="宋体" w:cs="宋体"/>
                <w:b/>
                <w:bCs/>
                <w:color w:val="000000"/>
                <w:kern w:val="0"/>
                <w:szCs w:val="21"/>
                <w:vertAlign w:val="superscript"/>
              </w:rPr>
              <w:t>3</w:t>
            </w:r>
            <w:r>
              <w:rPr>
                <w:rFonts w:hint="eastAsia" w:ascii="宋体" w:hAnsi="宋体" w:cs="宋体"/>
                <w:b/>
                <w:bCs/>
                <w:color w:val="000000"/>
                <w:kern w:val="0"/>
                <w:szCs w:val="21"/>
              </w:rPr>
              <w:t>）</w:t>
            </w:r>
          </w:p>
        </w:tc>
        <w:tc>
          <w:tcPr>
            <w:tcW w:w="751" w:type="pct"/>
            <w:tcBorders>
              <w:top w:val="single" w:color="auto" w:sz="4" w:space="0"/>
              <w:left w:val="nil"/>
              <w:bottom w:val="single" w:color="auto" w:sz="4" w:space="0"/>
              <w:right w:val="single" w:color="auto" w:sz="4" w:space="0"/>
            </w:tcBorders>
            <w:vAlign w:val="center"/>
          </w:tcPr>
          <w:p>
            <w:pPr>
              <w:widowControl/>
              <w:spacing w:line="240" w:lineRule="exact"/>
              <w:jc w:val="center"/>
              <w:rPr>
                <w:rFonts w:ascii="宋体" w:cs="宋体"/>
                <w:b/>
                <w:bCs/>
                <w:color w:val="000000"/>
                <w:kern w:val="0"/>
                <w:szCs w:val="21"/>
              </w:rPr>
            </w:pPr>
            <w:r>
              <w:rPr>
                <w:rFonts w:hint="eastAsia" w:ascii="宋体" w:hAnsi="宋体" w:cs="宋体"/>
                <w:b/>
                <w:bCs/>
                <w:color w:val="000000"/>
                <w:kern w:val="0"/>
                <w:szCs w:val="21"/>
              </w:rPr>
              <w:t>地下水资源量（亿</w:t>
            </w:r>
            <w:r>
              <w:rPr>
                <w:rFonts w:ascii="宋体" w:hAnsi="宋体" w:cs="宋体"/>
                <w:b/>
                <w:bCs/>
                <w:color w:val="000000"/>
                <w:kern w:val="0"/>
                <w:szCs w:val="21"/>
              </w:rPr>
              <w:t>m</w:t>
            </w:r>
            <w:r>
              <w:rPr>
                <w:rFonts w:ascii="宋体" w:hAnsi="宋体" w:cs="宋体"/>
                <w:b/>
                <w:bCs/>
                <w:color w:val="000000"/>
                <w:kern w:val="0"/>
                <w:szCs w:val="21"/>
                <w:vertAlign w:val="superscript"/>
              </w:rPr>
              <w:t>3</w:t>
            </w:r>
            <w:r>
              <w:rPr>
                <w:rFonts w:hint="eastAsia" w:ascii="宋体" w:hAnsi="宋体" w:cs="宋体"/>
                <w:b/>
                <w:bCs/>
                <w:color w:val="000000"/>
                <w:kern w:val="0"/>
                <w:szCs w:val="21"/>
              </w:rPr>
              <w:t>）</w:t>
            </w:r>
          </w:p>
        </w:tc>
        <w:tc>
          <w:tcPr>
            <w:tcW w:w="749" w:type="pct"/>
            <w:vMerge w:val="restart"/>
            <w:tcBorders>
              <w:top w:val="single" w:color="auto" w:sz="4" w:space="0"/>
              <w:left w:val="single" w:color="auto" w:sz="4" w:space="0"/>
              <w:bottom w:val="single" w:color="auto" w:sz="4" w:space="0"/>
              <w:right w:val="single" w:color="auto" w:sz="4" w:space="0"/>
            </w:tcBorders>
            <w:vAlign w:val="center"/>
          </w:tcPr>
          <w:p>
            <w:pPr>
              <w:widowControl/>
              <w:spacing w:line="240" w:lineRule="exact"/>
              <w:jc w:val="center"/>
              <w:rPr>
                <w:rFonts w:ascii="宋体" w:cs="宋体"/>
                <w:b/>
                <w:bCs/>
                <w:color w:val="000000"/>
                <w:kern w:val="0"/>
                <w:szCs w:val="21"/>
              </w:rPr>
            </w:pPr>
            <w:r>
              <w:rPr>
                <w:rFonts w:hint="eastAsia" w:ascii="宋体" w:hAnsi="宋体" w:cs="宋体"/>
                <w:b/>
                <w:bCs/>
                <w:color w:val="000000"/>
                <w:kern w:val="0"/>
                <w:szCs w:val="21"/>
              </w:rPr>
              <w:t>水资源总量（亿</w:t>
            </w:r>
            <w:r>
              <w:rPr>
                <w:rFonts w:ascii="宋体" w:hAnsi="宋体" w:cs="宋体"/>
                <w:b/>
                <w:bCs/>
                <w:color w:val="000000"/>
                <w:kern w:val="0"/>
                <w:szCs w:val="21"/>
              </w:rPr>
              <w:t>m</w:t>
            </w:r>
            <w:r>
              <w:rPr>
                <w:rFonts w:ascii="宋体" w:hAnsi="宋体" w:cs="宋体"/>
                <w:b/>
                <w:bCs/>
                <w:color w:val="000000"/>
                <w:kern w:val="0"/>
                <w:szCs w:val="21"/>
                <w:vertAlign w:val="superscript"/>
              </w:rPr>
              <w:t>3</w:t>
            </w:r>
            <w:r>
              <w:rPr>
                <w:rFonts w:hint="eastAsia" w:ascii="宋体" w:hAnsi="宋体" w:cs="宋体"/>
                <w:b/>
                <w:bCs/>
                <w:color w:val="000000"/>
                <w:kern w:val="0"/>
                <w:szCs w:val="21"/>
              </w:rPr>
              <w:t>）</w:t>
            </w:r>
          </w:p>
        </w:tc>
        <w:tc>
          <w:tcPr>
            <w:tcW w:w="382" w:type="pct"/>
            <w:vMerge w:val="restart"/>
            <w:tcBorders>
              <w:top w:val="single" w:color="auto" w:sz="4" w:space="0"/>
              <w:left w:val="single" w:color="auto" w:sz="4" w:space="0"/>
              <w:bottom w:val="single" w:color="auto" w:sz="4" w:space="0"/>
              <w:right w:val="single" w:color="auto" w:sz="4" w:space="0"/>
            </w:tcBorders>
            <w:vAlign w:val="center"/>
          </w:tcPr>
          <w:p>
            <w:pPr>
              <w:widowControl/>
              <w:spacing w:line="240" w:lineRule="exact"/>
              <w:jc w:val="center"/>
              <w:rPr>
                <w:rFonts w:ascii="宋体" w:cs="宋体"/>
                <w:b/>
                <w:bCs/>
                <w:color w:val="000000"/>
                <w:kern w:val="0"/>
                <w:szCs w:val="21"/>
              </w:rPr>
            </w:pPr>
            <w:r>
              <w:rPr>
                <w:rFonts w:hint="eastAsia" w:ascii="宋体" w:hAnsi="宋体" w:cs="宋体"/>
                <w:b/>
                <w:bCs/>
                <w:color w:val="000000"/>
                <w:kern w:val="0"/>
                <w:szCs w:val="21"/>
              </w:rPr>
              <w:t>产水系数</w:t>
            </w:r>
          </w:p>
        </w:tc>
        <w:tc>
          <w:tcPr>
            <w:tcW w:w="870" w:type="pct"/>
            <w:vMerge w:val="restart"/>
            <w:tcBorders>
              <w:top w:val="single" w:color="auto" w:sz="4" w:space="0"/>
              <w:left w:val="single" w:color="auto" w:sz="4" w:space="0"/>
              <w:bottom w:val="single" w:color="auto" w:sz="4" w:space="0"/>
              <w:right w:val="single" w:color="auto" w:sz="4" w:space="0"/>
            </w:tcBorders>
            <w:vAlign w:val="center"/>
          </w:tcPr>
          <w:p>
            <w:pPr>
              <w:widowControl/>
              <w:spacing w:line="240" w:lineRule="exact"/>
              <w:jc w:val="center"/>
              <w:rPr>
                <w:rFonts w:ascii="宋体" w:cs="宋体"/>
                <w:b/>
                <w:bCs/>
                <w:color w:val="000000"/>
                <w:kern w:val="0"/>
                <w:szCs w:val="21"/>
              </w:rPr>
            </w:pPr>
            <w:r>
              <w:rPr>
                <w:rFonts w:hint="eastAsia" w:ascii="宋体" w:hAnsi="宋体" w:cs="宋体"/>
                <w:b/>
                <w:bCs/>
                <w:color w:val="000000"/>
                <w:kern w:val="0"/>
                <w:szCs w:val="21"/>
              </w:rPr>
              <w:t>单位面积水资源量（产水模数）（万</w:t>
            </w:r>
            <w:r>
              <w:rPr>
                <w:rFonts w:ascii="宋体" w:hAnsi="宋体" w:cs="宋体"/>
                <w:b/>
                <w:bCs/>
                <w:color w:val="000000"/>
                <w:kern w:val="0"/>
                <w:szCs w:val="21"/>
              </w:rPr>
              <w:t>m</w:t>
            </w:r>
            <w:r>
              <w:rPr>
                <w:rFonts w:ascii="宋体" w:hAnsi="宋体" w:cs="宋体"/>
                <w:b/>
                <w:bCs/>
                <w:kern w:val="0"/>
                <w:szCs w:val="21"/>
                <w:vertAlign w:val="superscript"/>
              </w:rPr>
              <w:t>3</w:t>
            </w:r>
            <w:r>
              <w:rPr>
                <w:rFonts w:ascii="宋体" w:hAnsi="宋体" w:cs="宋体"/>
                <w:b/>
                <w:bCs/>
                <w:kern w:val="0"/>
                <w:szCs w:val="21"/>
              </w:rPr>
              <w:t>/km</w:t>
            </w:r>
            <w:r>
              <w:rPr>
                <w:rFonts w:ascii="宋体" w:hAnsi="宋体" w:cs="宋体"/>
                <w:b/>
                <w:bCs/>
                <w:kern w:val="0"/>
                <w:szCs w:val="21"/>
                <w:vertAlign w:val="superscript"/>
              </w:rPr>
              <w:t>2</w:t>
            </w:r>
            <w:r>
              <w:rPr>
                <w:rFonts w:hint="eastAsia" w:ascii="宋体" w:hAnsi="宋体" w:cs="宋体"/>
                <w:b/>
                <w:bCs/>
                <w:color w:val="000000"/>
                <w:kern w:val="0"/>
                <w:szCs w:val="21"/>
              </w:rPr>
              <w:t>）</w:t>
            </w:r>
          </w:p>
        </w:tc>
      </w:tr>
      <w:tr>
        <w:tblPrEx>
          <w:tblCellMar>
            <w:top w:w="0" w:type="dxa"/>
            <w:left w:w="108" w:type="dxa"/>
            <w:bottom w:w="0" w:type="dxa"/>
            <w:right w:w="108" w:type="dxa"/>
          </w:tblCellMar>
        </w:tblPrEx>
        <w:trPr>
          <w:trHeight w:val="480" w:hRule="atLeast"/>
        </w:trPr>
        <w:tc>
          <w:tcPr>
            <w:tcW w:w="831" w:type="pct"/>
            <w:vMerge w:val="continue"/>
            <w:tcBorders>
              <w:top w:val="single" w:color="auto" w:sz="4" w:space="0"/>
              <w:left w:val="single" w:color="auto" w:sz="4" w:space="0"/>
              <w:bottom w:val="single" w:color="auto" w:sz="4" w:space="0"/>
              <w:right w:val="single" w:color="auto" w:sz="4" w:space="0"/>
            </w:tcBorders>
            <w:vAlign w:val="center"/>
          </w:tcPr>
          <w:p>
            <w:pPr>
              <w:widowControl/>
              <w:spacing w:line="240" w:lineRule="exact"/>
              <w:jc w:val="left"/>
              <w:rPr>
                <w:rFonts w:ascii="宋体" w:cs="宋体"/>
                <w:b/>
                <w:bCs/>
                <w:color w:val="000000"/>
                <w:kern w:val="0"/>
                <w:szCs w:val="21"/>
              </w:rPr>
            </w:pPr>
          </w:p>
        </w:tc>
        <w:tc>
          <w:tcPr>
            <w:tcW w:w="751" w:type="pct"/>
            <w:vMerge w:val="continue"/>
            <w:tcBorders>
              <w:top w:val="single" w:color="auto" w:sz="4" w:space="0"/>
              <w:left w:val="single" w:color="auto" w:sz="4" w:space="0"/>
              <w:bottom w:val="single" w:color="auto" w:sz="4" w:space="0"/>
              <w:right w:val="single" w:color="auto" w:sz="4" w:space="0"/>
            </w:tcBorders>
            <w:vAlign w:val="center"/>
          </w:tcPr>
          <w:p>
            <w:pPr>
              <w:widowControl/>
              <w:spacing w:line="240" w:lineRule="exact"/>
              <w:jc w:val="left"/>
              <w:rPr>
                <w:rFonts w:ascii="宋体" w:cs="宋体"/>
                <w:b/>
                <w:bCs/>
                <w:color w:val="000000"/>
                <w:kern w:val="0"/>
                <w:szCs w:val="21"/>
              </w:rPr>
            </w:pPr>
          </w:p>
        </w:tc>
        <w:tc>
          <w:tcPr>
            <w:tcW w:w="666" w:type="pct"/>
            <w:vMerge w:val="continue"/>
            <w:tcBorders>
              <w:top w:val="single" w:color="auto" w:sz="4" w:space="0"/>
              <w:left w:val="single" w:color="auto" w:sz="4" w:space="0"/>
              <w:bottom w:val="single" w:color="auto" w:sz="4" w:space="0"/>
              <w:right w:val="single" w:color="auto" w:sz="4" w:space="0"/>
            </w:tcBorders>
            <w:vAlign w:val="center"/>
          </w:tcPr>
          <w:p>
            <w:pPr>
              <w:widowControl/>
              <w:spacing w:line="240" w:lineRule="exact"/>
              <w:jc w:val="left"/>
              <w:rPr>
                <w:rFonts w:ascii="宋体" w:cs="宋体"/>
                <w:b/>
                <w:bCs/>
                <w:color w:val="000000"/>
                <w:kern w:val="0"/>
                <w:szCs w:val="21"/>
              </w:rPr>
            </w:pPr>
          </w:p>
        </w:tc>
        <w:tc>
          <w:tcPr>
            <w:tcW w:w="751" w:type="pct"/>
            <w:tcBorders>
              <w:top w:val="nil"/>
              <w:left w:val="nil"/>
              <w:bottom w:val="single" w:color="auto" w:sz="4" w:space="0"/>
              <w:right w:val="single" w:color="auto" w:sz="4" w:space="0"/>
            </w:tcBorders>
            <w:noWrap/>
            <w:vAlign w:val="center"/>
          </w:tcPr>
          <w:p>
            <w:pPr>
              <w:widowControl/>
              <w:spacing w:line="240" w:lineRule="exact"/>
              <w:jc w:val="center"/>
              <w:rPr>
                <w:rFonts w:ascii="宋体" w:cs="宋体"/>
                <w:b/>
                <w:bCs/>
                <w:color w:val="000000"/>
                <w:kern w:val="0"/>
                <w:szCs w:val="21"/>
              </w:rPr>
            </w:pPr>
            <w:r>
              <w:rPr>
                <w:rFonts w:hint="eastAsia" w:ascii="宋体" w:hAnsi="宋体" w:cs="宋体"/>
                <w:b/>
                <w:bCs/>
                <w:color w:val="000000"/>
                <w:kern w:val="0"/>
                <w:szCs w:val="21"/>
              </w:rPr>
              <w:t>资源量</w:t>
            </w:r>
          </w:p>
        </w:tc>
        <w:tc>
          <w:tcPr>
            <w:tcW w:w="749" w:type="pct"/>
            <w:vMerge w:val="continue"/>
            <w:tcBorders>
              <w:top w:val="single" w:color="auto" w:sz="4" w:space="0"/>
              <w:left w:val="single" w:color="auto" w:sz="4" w:space="0"/>
              <w:bottom w:val="single" w:color="auto" w:sz="4" w:space="0"/>
              <w:right w:val="single" w:color="auto" w:sz="4" w:space="0"/>
            </w:tcBorders>
            <w:vAlign w:val="center"/>
          </w:tcPr>
          <w:p>
            <w:pPr>
              <w:widowControl/>
              <w:spacing w:line="240" w:lineRule="exact"/>
              <w:jc w:val="left"/>
              <w:rPr>
                <w:rFonts w:ascii="宋体" w:cs="宋体"/>
                <w:b/>
                <w:bCs/>
                <w:color w:val="000000"/>
                <w:kern w:val="0"/>
                <w:szCs w:val="21"/>
              </w:rPr>
            </w:pPr>
          </w:p>
        </w:tc>
        <w:tc>
          <w:tcPr>
            <w:tcW w:w="382" w:type="pct"/>
            <w:vMerge w:val="continue"/>
            <w:tcBorders>
              <w:top w:val="single" w:color="auto" w:sz="4" w:space="0"/>
              <w:left w:val="single" w:color="auto" w:sz="4" w:space="0"/>
              <w:bottom w:val="single" w:color="auto" w:sz="4" w:space="0"/>
              <w:right w:val="single" w:color="auto" w:sz="4" w:space="0"/>
            </w:tcBorders>
            <w:vAlign w:val="center"/>
          </w:tcPr>
          <w:p>
            <w:pPr>
              <w:widowControl/>
              <w:spacing w:line="240" w:lineRule="exact"/>
              <w:jc w:val="left"/>
              <w:rPr>
                <w:rFonts w:ascii="宋体" w:cs="宋体"/>
                <w:b/>
                <w:bCs/>
                <w:color w:val="000000"/>
                <w:kern w:val="0"/>
                <w:szCs w:val="21"/>
              </w:rPr>
            </w:pPr>
          </w:p>
        </w:tc>
        <w:tc>
          <w:tcPr>
            <w:tcW w:w="870" w:type="pct"/>
            <w:vMerge w:val="continue"/>
            <w:tcBorders>
              <w:top w:val="single" w:color="auto" w:sz="4" w:space="0"/>
              <w:left w:val="single" w:color="auto" w:sz="4" w:space="0"/>
              <w:bottom w:val="single" w:color="auto" w:sz="4" w:space="0"/>
              <w:right w:val="single" w:color="auto" w:sz="4" w:space="0"/>
            </w:tcBorders>
            <w:vAlign w:val="center"/>
          </w:tcPr>
          <w:p>
            <w:pPr>
              <w:widowControl/>
              <w:spacing w:line="240" w:lineRule="exact"/>
              <w:jc w:val="left"/>
              <w:rPr>
                <w:rFonts w:ascii="宋体" w:cs="宋体"/>
                <w:b/>
                <w:bCs/>
                <w:color w:val="000000"/>
                <w:kern w:val="0"/>
                <w:szCs w:val="21"/>
              </w:rPr>
            </w:pPr>
          </w:p>
        </w:tc>
      </w:tr>
      <w:tr>
        <w:tblPrEx>
          <w:tblCellMar>
            <w:top w:w="0" w:type="dxa"/>
            <w:left w:w="108" w:type="dxa"/>
            <w:bottom w:w="0" w:type="dxa"/>
            <w:right w:w="108" w:type="dxa"/>
          </w:tblCellMar>
        </w:tblPrEx>
        <w:trPr>
          <w:trHeight w:val="480" w:hRule="atLeast"/>
        </w:trPr>
        <w:tc>
          <w:tcPr>
            <w:tcW w:w="831" w:type="pct"/>
            <w:tcBorders>
              <w:top w:val="nil"/>
              <w:left w:val="single" w:color="auto" w:sz="4" w:space="0"/>
              <w:bottom w:val="single" w:color="auto" w:sz="4" w:space="0"/>
              <w:right w:val="single" w:color="auto" w:sz="4" w:space="0"/>
            </w:tcBorders>
            <w:noWrap/>
            <w:vAlign w:val="center"/>
          </w:tcPr>
          <w:p>
            <w:pPr>
              <w:widowControl/>
              <w:spacing w:line="240" w:lineRule="exact"/>
              <w:jc w:val="center"/>
              <w:rPr>
                <w:rFonts w:ascii="宋体" w:cs="宋体"/>
                <w:color w:val="000000"/>
                <w:kern w:val="0"/>
                <w:szCs w:val="21"/>
              </w:rPr>
            </w:pPr>
            <w:r>
              <w:rPr>
                <w:rFonts w:hint="eastAsia" w:ascii="宋体" w:hAnsi="宋体" w:cs="宋体"/>
                <w:color w:val="000000"/>
                <w:kern w:val="0"/>
                <w:szCs w:val="21"/>
              </w:rPr>
              <w:t>全区</w:t>
            </w:r>
          </w:p>
        </w:tc>
        <w:tc>
          <w:tcPr>
            <w:tcW w:w="751" w:type="pct"/>
            <w:tcBorders>
              <w:top w:val="nil"/>
              <w:left w:val="nil"/>
              <w:bottom w:val="single" w:color="auto" w:sz="4" w:space="0"/>
              <w:right w:val="single" w:color="auto" w:sz="4" w:space="0"/>
            </w:tcBorders>
            <w:noWrap/>
            <w:vAlign w:val="center"/>
          </w:tcPr>
          <w:p>
            <w:pPr>
              <w:widowControl/>
              <w:spacing w:line="240" w:lineRule="exact"/>
              <w:jc w:val="center"/>
              <w:rPr>
                <w:rFonts w:ascii="宋体" w:hAnsi="宋体" w:cs="宋体"/>
                <w:color w:val="000000"/>
                <w:kern w:val="0"/>
                <w:szCs w:val="21"/>
              </w:rPr>
            </w:pPr>
            <w:r>
              <w:rPr>
                <w:rFonts w:ascii="宋体" w:hAnsi="宋体" w:cs="宋体"/>
                <w:color w:val="000000"/>
                <w:kern w:val="0"/>
                <w:szCs w:val="21"/>
              </w:rPr>
              <w:t>16.5469</w:t>
            </w:r>
          </w:p>
        </w:tc>
        <w:tc>
          <w:tcPr>
            <w:tcW w:w="666" w:type="pct"/>
            <w:tcBorders>
              <w:top w:val="nil"/>
              <w:left w:val="nil"/>
              <w:bottom w:val="single" w:color="auto" w:sz="4" w:space="0"/>
              <w:right w:val="single" w:color="auto" w:sz="4" w:space="0"/>
            </w:tcBorders>
            <w:noWrap/>
            <w:vAlign w:val="center"/>
          </w:tcPr>
          <w:p>
            <w:pPr>
              <w:widowControl/>
              <w:spacing w:line="240" w:lineRule="exact"/>
              <w:jc w:val="center"/>
              <w:rPr>
                <w:rFonts w:ascii="宋体" w:hAnsi="宋体" w:cs="宋体"/>
                <w:color w:val="000000"/>
                <w:kern w:val="0"/>
                <w:szCs w:val="21"/>
              </w:rPr>
            </w:pPr>
            <w:r>
              <w:rPr>
                <w:rFonts w:ascii="宋体" w:hAnsi="宋体" w:cs="宋体"/>
                <w:color w:val="000000"/>
                <w:kern w:val="0"/>
                <w:szCs w:val="21"/>
              </w:rPr>
              <w:t>8.5194</w:t>
            </w:r>
          </w:p>
        </w:tc>
        <w:tc>
          <w:tcPr>
            <w:tcW w:w="751" w:type="pct"/>
            <w:tcBorders>
              <w:top w:val="nil"/>
              <w:left w:val="nil"/>
              <w:bottom w:val="single" w:color="auto" w:sz="4" w:space="0"/>
              <w:right w:val="single" w:color="auto" w:sz="4" w:space="0"/>
            </w:tcBorders>
            <w:vAlign w:val="center"/>
          </w:tcPr>
          <w:p>
            <w:pPr>
              <w:widowControl/>
              <w:spacing w:line="240" w:lineRule="exact"/>
              <w:jc w:val="center"/>
              <w:rPr>
                <w:rFonts w:ascii="宋体" w:hAnsi="宋体" w:cs="宋体"/>
                <w:color w:val="000000"/>
                <w:kern w:val="0"/>
                <w:szCs w:val="21"/>
              </w:rPr>
            </w:pPr>
            <w:r>
              <w:rPr>
                <w:rFonts w:ascii="宋体" w:hAnsi="宋体" w:cs="宋体"/>
                <w:color w:val="000000"/>
                <w:kern w:val="0"/>
                <w:szCs w:val="21"/>
              </w:rPr>
              <w:t>1.02</w:t>
            </w:r>
          </w:p>
        </w:tc>
        <w:tc>
          <w:tcPr>
            <w:tcW w:w="749" w:type="pct"/>
            <w:tcBorders>
              <w:top w:val="nil"/>
              <w:left w:val="nil"/>
              <w:bottom w:val="single" w:color="auto" w:sz="4" w:space="0"/>
              <w:right w:val="single" w:color="auto" w:sz="4" w:space="0"/>
            </w:tcBorders>
            <w:noWrap/>
            <w:vAlign w:val="center"/>
          </w:tcPr>
          <w:p>
            <w:pPr>
              <w:widowControl/>
              <w:spacing w:line="240" w:lineRule="exact"/>
              <w:jc w:val="center"/>
              <w:rPr>
                <w:rFonts w:ascii="宋体" w:hAnsi="宋体" w:cs="宋体"/>
                <w:color w:val="000000"/>
                <w:kern w:val="0"/>
                <w:szCs w:val="21"/>
              </w:rPr>
            </w:pPr>
            <w:r>
              <w:rPr>
                <w:rFonts w:ascii="宋体" w:hAnsi="宋体" w:cs="宋体"/>
                <w:color w:val="000000"/>
                <w:kern w:val="0"/>
                <w:szCs w:val="21"/>
              </w:rPr>
              <w:t>8.5194</w:t>
            </w:r>
          </w:p>
        </w:tc>
        <w:tc>
          <w:tcPr>
            <w:tcW w:w="382" w:type="pct"/>
            <w:tcBorders>
              <w:top w:val="nil"/>
              <w:left w:val="nil"/>
              <w:bottom w:val="single" w:color="auto" w:sz="4" w:space="0"/>
              <w:right w:val="single" w:color="auto" w:sz="4" w:space="0"/>
            </w:tcBorders>
            <w:noWrap/>
            <w:vAlign w:val="center"/>
          </w:tcPr>
          <w:p>
            <w:pPr>
              <w:widowControl/>
              <w:spacing w:line="240" w:lineRule="exact"/>
              <w:jc w:val="center"/>
              <w:rPr>
                <w:rFonts w:ascii="宋体" w:hAnsi="宋体" w:cs="宋体"/>
                <w:color w:val="000000"/>
                <w:kern w:val="0"/>
                <w:szCs w:val="21"/>
              </w:rPr>
            </w:pPr>
            <w:r>
              <w:rPr>
                <w:rFonts w:ascii="宋体" w:hAnsi="宋体" w:cs="宋体"/>
                <w:color w:val="000000"/>
                <w:kern w:val="0"/>
                <w:szCs w:val="21"/>
              </w:rPr>
              <w:t>0.51</w:t>
            </w:r>
          </w:p>
        </w:tc>
        <w:tc>
          <w:tcPr>
            <w:tcW w:w="870" w:type="pct"/>
            <w:tcBorders>
              <w:top w:val="nil"/>
              <w:left w:val="nil"/>
              <w:bottom w:val="single" w:color="auto" w:sz="4" w:space="0"/>
              <w:right w:val="single" w:color="auto" w:sz="4" w:space="0"/>
            </w:tcBorders>
            <w:noWrap/>
            <w:vAlign w:val="center"/>
          </w:tcPr>
          <w:p>
            <w:pPr>
              <w:widowControl/>
              <w:spacing w:line="240" w:lineRule="exact"/>
              <w:jc w:val="center"/>
              <w:rPr>
                <w:rFonts w:ascii="宋体" w:hAnsi="宋体" w:cs="宋体"/>
                <w:color w:val="000000"/>
                <w:kern w:val="0"/>
                <w:szCs w:val="21"/>
              </w:rPr>
            </w:pPr>
            <w:r>
              <w:rPr>
                <w:rFonts w:ascii="宋体" w:hAnsi="宋体" w:cs="宋体"/>
                <w:color w:val="000000"/>
                <w:kern w:val="0"/>
                <w:szCs w:val="21"/>
              </w:rPr>
              <w:t>58.67</w:t>
            </w:r>
          </w:p>
        </w:tc>
      </w:tr>
      <w:tr>
        <w:tblPrEx>
          <w:tblCellMar>
            <w:top w:w="0" w:type="dxa"/>
            <w:left w:w="108" w:type="dxa"/>
            <w:bottom w:w="0" w:type="dxa"/>
            <w:right w:w="108" w:type="dxa"/>
          </w:tblCellMar>
        </w:tblPrEx>
        <w:trPr>
          <w:trHeight w:val="480" w:hRule="atLeast"/>
        </w:trPr>
        <w:tc>
          <w:tcPr>
            <w:tcW w:w="831" w:type="pct"/>
            <w:tcBorders>
              <w:top w:val="nil"/>
              <w:left w:val="single" w:color="auto" w:sz="4" w:space="0"/>
              <w:bottom w:val="single" w:color="auto" w:sz="4" w:space="0"/>
              <w:right w:val="single" w:color="auto" w:sz="4" w:space="0"/>
            </w:tcBorders>
            <w:vAlign w:val="center"/>
          </w:tcPr>
          <w:p>
            <w:pPr>
              <w:widowControl/>
              <w:spacing w:line="240" w:lineRule="exact"/>
              <w:jc w:val="center"/>
              <w:rPr>
                <w:rFonts w:ascii="宋体" w:cs="宋体"/>
                <w:color w:val="000000"/>
                <w:kern w:val="0"/>
                <w:szCs w:val="21"/>
              </w:rPr>
            </w:pPr>
            <w:r>
              <w:rPr>
                <w:rFonts w:hint="eastAsia" w:ascii="宋体" w:hAnsi="宋体" w:cs="宋体"/>
                <w:color w:val="000000"/>
                <w:kern w:val="0"/>
                <w:szCs w:val="21"/>
              </w:rPr>
              <w:t>御临河流域区</w:t>
            </w:r>
          </w:p>
        </w:tc>
        <w:tc>
          <w:tcPr>
            <w:tcW w:w="751" w:type="pct"/>
            <w:tcBorders>
              <w:top w:val="nil"/>
              <w:left w:val="nil"/>
              <w:bottom w:val="single" w:color="auto" w:sz="4" w:space="0"/>
              <w:right w:val="single" w:color="auto" w:sz="4" w:space="0"/>
            </w:tcBorders>
            <w:noWrap/>
            <w:vAlign w:val="center"/>
          </w:tcPr>
          <w:p>
            <w:pPr>
              <w:widowControl/>
              <w:spacing w:line="240" w:lineRule="exact"/>
              <w:jc w:val="center"/>
              <w:rPr>
                <w:rFonts w:ascii="宋体" w:hAnsi="宋体" w:cs="宋体"/>
                <w:color w:val="000000"/>
                <w:kern w:val="0"/>
                <w:szCs w:val="21"/>
              </w:rPr>
            </w:pPr>
            <w:r>
              <w:rPr>
                <w:rFonts w:ascii="宋体" w:hAnsi="宋体" w:cs="宋体"/>
                <w:color w:val="000000"/>
                <w:kern w:val="0"/>
                <w:szCs w:val="21"/>
              </w:rPr>
              <w:t>9.3399</w:t>
            </w:r>
          </w:p>
        </w:tc>
        <w:tc>
          <w:tcPr>
            <w:tcW w:w="666" w:type="pct"/>
            <w:tcBorders>
              <w:top w:val="nil"/>
              <w:left w:val="nil"/>
              <w:bottom w:val="single" w:color="auto" w:sz="4" w:space="0"/>
              <w:right w:val="single" w:color="auto" w:sz="4" w:space="0"/>
            </w:tcBorders>
            <w:noWrap/>
            <w:vAlign w:val="center"/>
          </w:tcPr>
          <w:p>
            <w:pPr>
              <w:widowControl/>
              <w:spacing w:line="240" w:lineRule="exact"/>
              <w:jc w:val="center"/>
              <w:rPr>
                <w:rFonts w:ascii="宋体" w:hAnsi="宋体" w:cs="宋体"/>
                <w:color w:val="000000"/>
                <w:kern w:val="0"/>
                <w:szCs w:val="21"/>
              </w:rPr>
            </w:pPr>
            <w:r>
              <w:rPr>
                <w:rFonts w:ascii="宋体" w:hAnsi="宋体" w:cs="宋体"/>
                <w:color w:val="000000"/>
                <w:kern w:val="0"/>
                <w:szCs w:val="21"/>
              </w:rPr>
              <w:t>4.6810</w:t>
            </w:r>
          </w:p>
        </w:tc>
        <w:tc>
          <w:tcPr>
            <w:tcW w:w="751" w:type="pct"/>
            <w:tcBorders>
              <w:top w:val="nil"/>
              <w:left w:val="nil"/>
              <w:bottom w:val="single" w:color="auto" w:sz="4" w:space="0"/>
              <w:right w:val="single" w:color="auto" w:sz="4" w:space="0"/>
            </w:tcBorders>
            <w:noWrap/>
            <w:vAlign w:val="center"/>
          </w:tcPr>
          <w:p>
            <w:pPr>
              <w:widowControl/>
              <w:spacing w:line="240" w:lineRule="exact"/>
              <w:jc w:val="center"/>
              <w:rPr>
                <w:rFonts w:ascii="宋体" w:hAnsi="宋体" w:cs="宋体"/>
                <w:color w:val="000000"/>
                <w:kern w:val="0"/>
                <w:szCs w:val="21"/>
              </w:rPr>
            </w:pPr>
            <w:r>
              <w:rPr>
                <w:rFonts w:ascii="宋体" w:hAnsi="宋体" w:cs="宋体"/>
                <w:color w:val="000000"/>
                <w:kern w:val="0"/>
                <w:szCs w:val="21"/>
              </w:rPr>
              <w:t>0.5740</w:t>
            </w:r>
          </w:p>
        </w:tc>
        <w:tc>
          <w:tcPr>
            <w:tcW w:w="749" w:type="pct"/>
            <w:tcBorders>
              <w:top w:val="nil"/>
              <w:left w:val="nil"/>
              <w:bottom w:val="single" w:color="auto" w:sz="4" w:space="0"/>
              <w:right w:val="single" w:color="auto" w:sz="4" w:space="0"/>
            </w:tcBorders>
            <w:noWrap/>
            <w:vAlign w:val="center"/>
          </w:tcPr>
          <w:p>
            <w:pPr>
              <w:widowControl/>
              <w:spacing w:line="240" w:lineRule="exact"/>
              <w:jc w:val="center"/>
              <w:rPr>
                <w:rFonts w:ascii="宋体" w:hAnsi="宋体" w:cs="宋体"/>
                <w:color w:val="000000"/>
                <w:kern w:val="0"/>
                <w:szCs w:val="21"/>
              </w:rPr>
            </w:pPr>
            <w:r>
              <w:rPr>
                <w:rFonts w:ascii="宋体" w:hAnsi="宋体" w:cs="宋体"/>
                <w:color w:val="000000"/>
                <w:kern w:val="0"/>
                <w:szCs w:val="21"/>
              </w:rPr>
              <w:t>4.6810</w:t>
            </w:r>
          </w:p>
        </w:tc>
        <w:tc>
          <w:tcPr>
            <w:tcW w:w="382" w:type="pct"/>
            <w:tcBorders>
              <w:top w:val="nil"/>
              <w:left w:val="nil"/>
              <w:bottom w:val="single" w:color="auto" w:sz="4" w:space="0"/>
              <w:right w:val="single" w:color="auto" w:sz="4" w:space="0"/>
            </w:tcBorders>
            <w:noWrap/>
            <w:vAlign w:val="center"/>
          </w:tcPr>
          <w:p>
            <w:pPr>
              <w:widowControl/>
              <w:spacing w:line="240" w:lineRule="exact"/>
              <w:jc w:val="center"/>
              <w:rPr>
                <w:rFonts w:ascii="宋体" w:hAnsi="宋体" w:cs="宋体"/>
                <w:color w:val="000000"/>
                <w:kern w:val="0"/>
                <w:szCs w:val="21"/>
              </w:rPr>
            </w:pPr>
            <w:r>
              <w:rPr>
                <w:rFonts w:ascii="宋体" w:hAnsi="宋体" w:cs="宋体"/>
                <w:color w:val="000000"/>
                <w:kern w:val="0"/>
                <w:szCs w:val="21"/>
              </w:rPr>
              <w:t>0.50</w:t>
            </w:r>
          </w:p>
        </w:tc>
        <w:tc>
          <w:tcPr>
            <w:tcW w:w="870" w:type="pct"/>
            <w:tcBorders>
              <w:top w:val="nil"/>
              <w:left w:val="nil"/>
              <w:bottom w:val="single" w:color="auto" w:sz="4" w:space="0"/>
              <w:right w:val="single" w:color="auto" w:sz="4" w:space="0"/>
            </w:tcBorders>
            <w:noWrap/>
            <w:vAlign w:val="center"/>
          </w:tcPr>
          <w:p>
            <w:pPr>
              <w:widowControl/>
              <w:spacing w:line="240" w:lineRule="exact"/>
              <w:jc w:val="center"/>
              <w:rPr>
                <w:rFonts w:ascii="宋体" w:hAnsi="宋体" w:cs="宋体"/>
                <w:color w:val="000000"/>
                <w:kern w:val="0"/>
                <w:szCs w:val="21"/>
              </w:rPr>
            </w:pPr>
            <w:r>
              <w:rPr>
                <w:rFonts w:ascii="宋体" w:hAnsi="宋体" w:cs="宋体"/>
                <w:color w:val="000000"/>
                <w:kern w:val="0"/>
                <w:szCs w:val="21"/>
              </w:rPr>
              <w:t>56.93</w:t>
            </w:r>
          </w:p>
        </w:tc>
      </w:tr>
      <w:tr>
        <w:tblPrEx>
          <w:tblCellMar>
            <w:top w:w="0" w:type="dxa"/>
            <w:left w:w="108" w:type="dxa"/>
            <w:bottom w:w="0" w:type="dxa"/>
            <w:right w:w="108" w:type="dxa"/>
          </w:tblCellMar>
        </w:tblPrEx>
        <w:trPr>
          <w:trHeight w:val="480" w:hRule="atLeast"/>
        </w:trPr>
        <w:tc>
          <w:tcPr>
            <w:tcW w:w="831" w:type="pct"/>
            <w:tcBorders>
              <w:top w:val="nil"/>
              <w:left w:val="single" w:color="auto" w:sz="4" w:space="0"/>
              <w:bottom w:val="single" w:color="auto" w:sz="4" w:space="0"/>
              <w:right w:val="single" w:color="auto" w:sz="4" w:space="0"/>
            </w:tcBorders>
            <w:vAlign w:val="center"/>
          </w:tcPr>
          <w:p>
            <w:pPr>
              <w:widowControl/>
              <w:spacing w:line="240" w:lineRule="exact"/>
              <w:jc w:val="center"/>
              <w:rPr>
                <w:rFonts w:ascii="宋体" w:cs="宋体"/>
                <w:color w:val="000000"/>
                <w:kern w:val="0"/>
                <w:szCs w:val="21"/>
              </w:rPr>
            </w:pPr>
            <w:r>
              <w:rPr>
                <w:rFonts w:hint="eastAsia" w:ascii="宋体" w:hAnsi="宋体" w:cs="宋体"/>
                <w:color w:val="000000"/>
                <w:kern w:val="0"/>
                <w:szCs w:val="21"/>
              </w:rPr>
              <w:t>朝阳河流域区</w:t>
            </w:r>
          </w:p>
        </w:tc>
        <w:tc>
          <w:tcPr>
            <w:tcW w:w="751" w:type="pct"/>
            <w:tcBorders>
              <w:top w:val="nil"/>
              <w:left w:val="nil"/>
              <w:bottom w:val="single" w:color="auto" w:sz="4" w:space="0"/>
              <w:right w:val="single" w:color="auto" w:sz="4" w:space="0"/>
            </w:tcBorders>
            <w:noWrap/>
            <w:vAlign w:val="center"/>
          </w:tcPr>
          <w:p>
            <w:pPr>
              <w:widowControl/>
              <w:spacing w:line="240" w:lineRule="exact"/>
              <w:jc w:val="center"/>
              <w:rPr>
                <w:rFonts w:ascii="宋体" w:hAnsi="宋体" w:cs="宋体"/>
                <w:color w:val="000000"/>
                <w:kern w:val="0"/>
                <w:szCs w:val="21"/>
              </w:rPr>
            </w:pPr>
            <w:r>
              <w:rPr>
                <w:rFonts w:ascii="宋体" w:hAnsi="宋体" w:cs="宋体"/>
                <w:color w:val="000000"/>
                <w:kern w:val="0"/>
                <w:szCs w:val="21"/>
              </w:rPr>
              <w:t>1.6070</w:t>
            </w:r>
          </w:p>
        </w:tc>
        <w:tc>
          <w:tcPr>
            <w:tcW w:w="666" w:type="pct"/>
            <w:tcBorders>
              <w:top w:val="nil"/>
              <w:left w:val="nil"/>
              <w:bottom w:val="single" w:color="auto" w:sz="4" w:space="0"/>
              <w:right w:val="single" w:color="auto" w:sz="4" w:space="0"/>
            </w:tcBorders>
            <w:noWrap/>
            <w:vAlign w:val="center"/>
          </w:tcPr>
          <w:p>
            <w:pPr>
              <w:widowControl/>
              <w:spacing w:line="240" w:lineRule="exact"/>
              <w:jc w:val="center"/>
              <w:rPr>
                <w:rFonts w:ascii="宋体" w:hAnsi="宋体" w:cs="宋体"/>
                <w:color w:val="000000"/>
                <w:kern w:val="0"/>
                <w:szCs w:val="21"/>
              </w:rPr>
            </w:pPr>
            <w:r>
              <w:rPr>
                <w:rFonts w:ascii="宋体" w:hAnsi="宋体" w:cs="宋体"/>
                <w:color w:val="000000"/>
                <w:kern w:val="0"/>
                <w:szCs w:val="21"/>
              </w:rPr>
              <w:t>0.8540</w:t>
            </w:r>
          </w:p>
        </w:tc>
        <w:tc>
          <w:tcPr>
            <w:tcW w:w="751" w:type="pct"/>
            <w:tcBorders>
              <w:top w:val="nil"/>
              <w:left w:val="nil"/>
              <w:bottom w:val="single" w:color="auto" w:sz="4" w:space="0"/>
              <w:right w:val="single" w:color="auto" w:sz="4" w:space="0"/>
            </w:tcBorders>
            <w:noWrap/>
            <w:vAlign w:val="center"/>
          </w:tcPr>
          <w:p>
            <w:pPr>
              <w:widowControl/>
              <w:spacing w:line="240" w:lineRule="exact"/>
              <w:jc w:val="center"/>
              <w:rPr>
                <w:rFonts w:ascii="宋体" w:hAnsi="宋体" w:cs="宋体"/>
                <w:color w:val="000000"/>
                <w:kern w:val="0"/>
                <w:szCs w:val="21"/>
              </w:rPr>
            </w:pPr>
            <w:r>
              <w:rPr>
                <w:rFonts w:ascii="宋体" w:hAnsi="宋体" w:cs="宋体"/>
                <w:color w:val="000000"/>
                <w:kern w:val="0"/>
                <w:szCs w:val="21"/>
              </w:rPr>
              <w:t>0.1010</w:t>
            </w:r>
          </w:p>
        </w:tc>
        <w:tc>
          <w:tcPr>
            <w:tcW w:w="749" w:type="pct"/>
            <w:tcBorders>
              <w:top w:val="nil"/>
              <w:left w:val="nil"/>
              <w:bottom w:val="single" w:color="auto" w:sz="4" w:space="0"/>
              <w:right w:val="single" w:color="auto" w:sz="4" w:space="0"/>
            </w:tcBorders>
            <w:noWrap/>
            <w:vAlign w:val="center"/>
          </w:tcPr>
          <w:p>
            <w:pPr>
              <w:widowControl/>
              <w:spacing w:line="240" w:lineRule="exact"/>
              <w:jc w:val="center"/>
              <w:rPr>
                <w:rFonts w:ascii="宋体" w:hAnsi="宋体" w:cs="宋体"/>
                <w:color w:val="000000"/>
                <w:kern w:val="0"/>
                <w:szCs w:val="21"/>
              </w:rPr>
            </w:pPr>
            <w:r>
              <w:rPr>
                <w:rFonts w:ascii="宋体" w:hAnsi="宋体" w:cs="宋体"/>
                <w:color w:val="000000"/>
                <w:kern w:val="0"/>
                <w:szCs w:val="21"/>
              </w:rPr>
              <w:t>0.8540</w:t>
            </w:r>
          </w:p>
        </w:tc>
        <w:tc>
          <w:tcPr>
            <w:tcW w:w="382" w:type="pct"/>
            <w:tcBorders>
              <w:top w:val="nil"/>
              <w:left w:val="nil"/>
              <w:bottom w:val="single" w:color="auto" w:sz="4" w:space="0"/>
              <w:right w:val="single" w:color="auto" w:sz="4" w:space="0"/>
            </w:tcBorders>
            <w:noWrap/>
            <w:vAlign w:val="center"/>
          </w:tcPr>
          <w:p>
            <w:pPr>
              <w:widowControl/>
              <w:spacing w:line="240" w:lineRule="exact"/>
              <w:jc w:val="center"/>
              <w:rPr>
                <w:rFonts w:ascii="宋体" w:hAnsi="宋体" w:cs="宋体"/>
                <w:color w:val="000000"/>
                <w:kern w:val="0"/>
                <w:szCs w:val="21"/>
              </w:rPr>
            </w:pPr>
            <w:r>
              <w:rPr>
                <w:rFonts w:ascii="宋体" w:hAnsi="宋体" w:cs="宋体"/>
                <w:color w:val="000000"/>
                <w:kern w:val="0"/>
                <w:szCs w:val="21"/>
              </w:rPr>
              <w:t>0.53</w:t>
            </w:r>
          </w:p>
        </w:tc>
        <w:tc>
          <w:tcPr>
            <w:tcW w:w="870" w:type="pct"/>
            <w:tcBorders>
              <w:top w:val="nil"/>
              <w:left w:val="nil"/>
              <w:bottom w:val="single" w:color="auto" w:sz="4" w:space="0"/>
              <w:right w:val="single" w:color="auto" w:sz="4" w:space="0"/>
            </w:tcBorders>
            <w:noWrap/>
            <w:vAlign w:val="center"/>
          </w:tcPr>
          <w:p>
            <w:pPr>
              <w:widowControl/>
              <w:spacing w:line="240" w:lineRule="exact"/>
              <w:jc w:val="center"/>
              <w:rPr>
                <w:rFonts w:ascii="宋体" w:hAnsi="宋体" w:cs="宋体"/>
                <w:color w:val="000000"/>
                <w:kern w:val="0"/>
                <w:szCs w:val="21"/>
              </w:rPr>
            </w:pPr>
            <w:r>
              <w:rPr>
                <w:rFonts w:ascii="宋体" w:hAnsi="宋体" w:cs="宋体"/>
                <w:color w:val="000000"/>
                <w:kern w:val="0"/>
                <w:szCs w:val="21"/>
              </w:rPr>
              <w:t>59.76</w:t>
            </w:r>
          </w:p>
        </w:tc>
      </w:tr>
      <w:tr>
        <w:tblPrEx>
          <w:tblCellMar>
            <w:top w:w="0" w:type="dxa"/>
            <w:left w:w="108" w:type="dxa"/>
            <w:bottom w:w="0" w:type="dxa"/>
            <w:right w:w="108" w:type="dxa"/>
          </w:tblCellMar>
        </w:tblPrEx>
        <w:trPr>
          <w:trHeight w:val="480" w:hRule="atLeast"/>
        </w:trPr>
        <w:tc>
          <w:tcPr>
            <w:tcW w:w="831" w:type="pct"/>
            <w:tcBorders>
              <w:top w:val="nil"/>
              <w:left w:val="single" w:color="auto" w:sz="4" w:space="0"/>
              <w:bottom w:val="single" w:color="auto" w:sz="4" w:space="0"/>
              <w:right w:val="single" w:color="auto" w:sz="4" w:space="0"/>
            </w:tcBorders>
            <w:vAlign w:val="center"/>
          </w:tcPr>
          <w:p>
            <w:pPr>
              <w:widowControl/>
              <w:spacing w:line="240" w:lineRule="exact"/>
              <w:jc w:val="center"/>
              <w:rPr>
                <w:rFonts w:ascii="宋体" w:cs="宋体"/>
                <w:color w:val="000000"/>
                <w:kern w:val="0"/>
                <w:szCs w:val="21"/>
              </w:rPr>
            </w:pPr>
            <w:r>
              <w:rPr>
                <w:rFonts w:hint="eastAsia" w:ascii="宋体" w:hAnsi="宋体" w:cs="宋体"/>
                <w:color w:val="000000"/>
                <w:kern w:val="0"/>
                <w:szCs w:val="21"/>
              </w:rPr>
              <w:t>后河流域区</w:t>
            </w:r>
          </w:p>
        </w:tc>
        <w:tc>
          <w:tcPr>
            <w:tcW w:w="751" w:type="pct"/>
            <w:tcBorders>
              <w:top w:val="nil"/>
              <w:left w:val="nil"/>
              <w:bottom w:val="single" w:color="auto" w:sz="4" w:space="0"/>
              <w:right w:val="single" w:color="auto" w:sz="4" w:space="0"/>
            </w:tcBorders>
            <w:noWrap/>
            <w:vAlign w:val="center"/>
          </w:tcPr>
          <w:p>
            <w:pPr>
              <w:widowControl/>
              <w:spacing w:line="240" w:lineRule="exact"/>
              <w:jc w:val="center"/>
              <w:rPr>
                <w:rFonts w:ascii="宋体" w:hAnsi="宋体" w:cs="宋体"/>
                <w:color w:val="000000"/>
                <w:kern w:val="0"/>
                <w:szCs w:val="21"/>
              </w:rPr>
            </w:pPr>
            <w:r>
              <w:rPr>
                <w:rFonts w:ascii="宋体" w:hAnsi="宋体" w:cs="宋体"/>
                <w:color w:val="000000"/>
                <w:kern w:val="0"/>
                <w:szCs w:val="21"/>
              </w:rPr>
              <w:t>4.0320</w:t>
            </w:r>
          </w:p>
        </w:tc>
        <w:tc>
          <w:tcPr>
            <w:tcW w:w="666" w:type="pct"/>
            <w:tcBorders>
              <w:top w:val="nil"/>
              <w:left w:val="nil"/>
              <w:bottom w:val="single" w:color="auto" w:sz="4" w:space="0"/>
              <w:right w:val="single" w:color="auto" w:sz="4" w:space="0"/>
            </w:tcBorders>
            <w:noWrap/>
            <w:vAlign w:val="center"/>
          </w:tcPr>
          <w:p>
            <w:pPr>
              <w:widowControl/>
              <w:spacing w:line="240" w:lineRule="exact"/>
              <w:jc w:val="center"/>
              <w:rPr>
                <w:rFonts w:ascii="宋体" w:hAnsi="宋体" w:cs="宋体"/>
                <w:color w:val="000000"/>
                <w:kern w:val="0"/>
                <w:szCs w:val="21"/>
              </w:rPr>
            </w:pPr>
            <w:r>
              <w:rPr>
                <w:rFonts w:ascii="宋体" w:hAnsi="宋体" w:cs="宋体"/>
                <w:color w:val="000000"/>
                <w:kern w:val="0"/>
                <w:szCs w:val="21"/>
              </w:rPr>
              <w:t>2.1471</w:t>
            </w:r>
          </w:p>
        </w:tc>
        <w:tc>
          <w:tcPr>
            <w:tcW w:w="751" w:type="pct"/>
            <w:tcBorders>
              <w:top w:val="nil"/>
              <w:left w:val="nil"/>
              <w:bottom w:val="single" w:color="auto" w:sz="4" w:space="0"/>
              <w:right w:val="single" w:color="auto" w:sz="4" w:space="0"/>
            </w:tcBorders>
            <w:noWrap/>
            <w:vAlign w:val="center"/>
          </w:tcPr>
          <w:p>
            <w:pPr>
              <w:widowControl/>
              <w:spacing w:line="240" w:lineRule="exact"/>
              <w:jc w:val="center"/>
              <w:rPr>
                <w:rFonts w:ascii="宋体" w:hAnsi="宋体" w:cs="宋体"/>
                <w:color w:val="000000"/>
                <w:kern w:val="0"/>
                <w:szCs w:val="21"/>
              </w:rPr>
            </w:pPr>
            <w:r>
              <w:rPr>
                <w:rFonts w:ascii="宋体" w:hAnsi="宋体" w:cs="宋体"/>
                <w:color w:val="000000"/>
                <w:kern w:val="0"/>
                <w:szCs w:val="21"/>
              </w:rPr>
              <w:t>0.2420</w:t>
            </w:r>
          </w:p>
        </w:tc>
        <w:tc>
          <w:tcPr>
            <w:tcW w:w="749" w:type="pct"/>
            <w:tcBorders>
              <w:top w:val="nil"/>
              <w:left w:val="nil"/>
              <w:bottom w:val="single" w:color="auto" w:sz="4" w:space="0"/>
              <w:right w:val="single" w:color="auto" w:sz="4" w:space="0"/>
            </w:tcBorders>
            <w:noWrap/>
            <w:vAlign w:val="center"/>
          </w:tcPr>
          <w:p>
            <w:pPr>
              <w:widowControl/>
              <w:spacing w:line="240" w:lineRule="exact"/>
              <w:jc w:val="center"/>
              <w:rPr>
                <w:rFonts w:ascii="宋体" w:hAnsi="宋体" w:cs="宋体"/>
                <w:color w:val="000000"/>
                <w:kern w:val="0"/>
                <w:szCs w:val="21"/>
              </w:rPr>
            </w:pPr>
            <w:r>
              <w:rPr>
                <w:rFonts w:ascii="宋体" w:hAnsi="宋体" w:cs="宋体"/>
                <w:color w:val="000000"/>
                <w:kern w:val="0"/>
                <w:szCs w:val="21"/>
              </w:rPr>
              <w:t>2.1471</w:t>
            </w:r>
          </w:p>
        </w:tc>
        <w:tc>
          <w:tcPr>
            <w:tcW w:w="382" w:type="pct"/>
            <w:tcBorders>
              <w:top w:val="nil"/>
              <w:left w:val="nil"/>
              <w:bottom w:val="single" w:color="auto" w:sz="4" w:space="0"/>
              <w:right w:val="single" w:color="auto" w:sz="4" w:space="0"/>
            </w:tcBorders>
            <w:noWrap/>
            <w:vAlign w:val="center"/>
          </w:tcPr>
          <w:p>
            <w:pPr>
              <w:widowControl/>
              <w:spacing w:line="240" w:lineRule="exact"/>
              <w:jc w:val="center"/>
              <w:rPr>
                <w:rFonts w:ascii="宋体" w:hAnsi="宋体" w:cs="宋体"/>
                <w:color w:val="000000"/>
                <w:kern w:val="0"/>
                <w:szCs w:val="21"/>
              </w:rPr>
            </w:pPr>
            <w:r>
              <w:rPr>
                <w:rFonts w:ascii="宋体" w:hAnsi="宋体" w:cs="宋体"/>
                <w:color w:val="000000"/>
                <w:kern w:val="0"/>
                <w:szCs w:val="21"/>
              </w:rPr>
              <w:t>0.53</w:t>
            </w:r>
          </w:p>
        </w:tc>
        <w:tc>
          <w:tcPr>
            <w:tcW w:w="870" w:type="pct"/>
            <w:tcBorders>
              <w:top w:val="nil"/>
              <w:left w:val="nil"/>
              <w:bottom w:val="single" w:color="auto" w:sz="4" w:space="0"/>
              <w:right w:val="single" w:color="auto" w:sz="4" w:space="0"/>
            </w:tcBorders>
            <w:noWrap/>
            <w:vAlign w:val="center"/>
          </w:tcPr>
          <w:p>
            <w:pPr>
              <w:widowControl/>
              <w:spacing w:line="240" w:lineRule="exact"/>
              <w:jc w:val="center"/>
              <w:rPr>
                <w:rFonts w:ascii="宋体" w:hAnsi="宋体" w:cs="宋体"/>
                <w:color w:val="000000"/>
                <w:kern w:val="0"/>
                <w:szCs w:val="21"/>
              </w:rPr>
            </w:pPr>
            <w:r>
              <w:rPr>
                <w:rFonts w:ascii="宋体" w:hAnsi="宋体" w:cs="宋体"/>
                <w:color w:val="000000"/>
                <w:kern w:val="0"/>
                <w:szCs w:val="21"/>
              </w:rPr>
              <w:t>62.78</w:t>
            </w:r>
          </w:p>
        </w:tc>
      </w:tr>
      <w:tr>
        <w:tblPrEx>
          <w:tblCellMar>
            <w:top w:w="0" w:type="dxa"/>
            <w:left w:w="108" w:type="dxa"/>
            <w:bottom w:w="0" w:type="dxa"/>
            <w:right w:w="108" w:type="dxa"/>
          </w:tblCellMar>
        </w:tblPrEx>
        <w:trPr>
          <w:trHeight w:val="480" w:hRule="atLeast"/>
        </w:trPr>
        <w:tc>
          <w:tcPr>
            <w:tcW w:w="831" w:type="pct"/>
            <w:tcBorders>
              <w:top w:val="nil"/>
              <w:left w:val="single" w:color="auto" w:sz="4" w:space="0"/>
              <w:bottom w:val="single" w:color="auto" w:sz="4" w:space="0"/>
              <w:right w:val="single" w:color="auto" w:sz="4" w:space="0"/>
            </w:tcBorders>
            <w:vAlign w:val="center"/>
          </w:tcPr>
          <w:p>
            <w:pPr>
              <w:widowControl/>
              <w:spacing w:line="240" w:lineRule="exact"/>
              <w:jc w:val="center"/>
              <w:rPr>
                <w:rFonts w:ascii="宋体" w:cs="宋体"/>
                <w:color w:val="000000"/>
                <w:kern w:val="0"/>
                <w:szCs w:val="21"/>
              </w:rPr>
            </w:pPr>
            <w:r>
              <w:rPr>
                <w:rFonts w:hint="eastAsia" w:ascii="宋体" w:hAnsi="宋体" w:cs="宋体"/>
                <w:color w:val="000000"/>
                <w:kern w:val="0"/>
                <w:szCs w:val="21"/>
              </w:rPr>
              <w:t>嘉陵江小流域区</w:t>
            </w:r>
          </w:p>
        </w:tc>
        <w:tc>
          <w:tcPr>
            <w:tcW w:w="751" w:type="pct"/>
            <w:tcBorders>
              <w:top w:val="nil"/>
              <w:left w:val="nil"/>
              <w:bottom w:val="single" w:color="auto" w:sz="4" w:space="0"/>
              <w:right w:val="single" w:color="auto" w:sz="4" w:space="0"/>
            </w:tcBorders>
            <w:noWrap/>
            <w:vAlign w:val="center"/>
          </w:tcPr>
          <w:p>
            <w:pPr>
              <w:widowControl/>
              <w:spacing w:line="240" w:lineRule="exact"/>
              <w:jc w:val="center"/>
              <w:rPr>
                <w:rFonts w:ascii="宋体" w:hAnsi="宋体" w:cs="宋体"/>
                <w:color w:val="000000"/>
                <w:kern w:val="0"/>
                <w:szCs w:val="21"/>
              </w:rPr>
            </w:pPr>
            <w:r>
              <w:rPr>
                <w:rFonts w:ascii="宋体" w:hAnsi="宋体" w:cs="宋体"/>
                <w:color w:val="000000"/>
                <w:kern w:val="0"/>
                <w:szCs w:val="21"/>
              </w:rPr>
              <w:t>1.5680</w:t>
            </w:r>
          </w:p>
        </w:tc>
        <w:tc>
          <w:tcPr>
            <w:tcW w:w="666" w:type="pct"/>
            <w:tcBorders>
              <w:top w:val="nil"/>
              <w:left w:val="nil"/>
              <w:bottom w:val="single" w:color="auto" w:sz="4" w:space="0"/>
              <w:right w:val="single" w:color="auto" w:sz="4" w:space="0"/>
            </w:tcBorders>
            <w:noWrap/>
            <w:vAlign w:val="center"/>
          </w:tcPr>
          <w:p>
            <w:pPr>
              <w:widowControl/>
              <w:spacing w:line="240" w:lineRule="exact"/>
              <w:jc w:val="center"/>
              <w:rPr>
                <w:rFonts w:ascii="宋体" w:hAnsi="宋体" w:cs="宋体"/>
                <w:color w:val="000000"/>
                <w:kern w:val="0"/>
                <w:szCs w:val="21"/>
              </w:rPr>
            </w:pPr>
            <w:r>
              <w:rPr>
                <w:rFonts w:ascii="宋体" w:hAnsi="宋体" w:cs="宋体"/>
                <w:color w:val="000000"/>
                <w:kern w:val="0"/>
                <w:szCs w:val="21"/>
              </w:rPr>
              <w:t>0.8373</w:t>
            </w:r>
          </w:p>
        </w:tc>
        <w:tc>
          <w:tcPr>
            <w:tcW w:w="751" w:type="pct"/>
            <w:tcBorders>
              <w:top w:val="nil"/>
              <w:left w:val="nil"/>
              <w:bottom w:val="single" w:color="auto" w:sz="4" w:space="0"/>
              <w:right w:val="single" w:color="auto" w:sz="4" w:space="0"/>
            </w:tcBorders>
            <w:noWrap/>
            <w:vAlign w:val="center"/>
          </w:tcPr>
          <w:p>
            <w:pPr>
              <w:widowControl/>
              <w:spacing w:line="240" w:lineRule="exact"/>
              <w:jc w:val="center"/>
              <w:rPr>
                <w:rFonts w:ascii="宋体" w:hAnsi="宋体" w:cs="宋体"/>
                <w:color w:val="000000"/>
                <w:kern w:val="0"/>
                <w:szCs w:val="21"/>
              </w:rPr>
            </w:pPr>
            <w:r>
              <w:rPr>
                <w:rFonts w:ascii="宋体" w:hAnsi="宋体" w:cs="宋体"/>
                <w:color w:val="000000"/>
                <w:kern w:val="0"/>
                <w:szCs w:val="21"/>
              </w:rPr>
              <w:t>0.1030</w:t>
            </w:r>
          </w:p>
        </w:tc>
        <w:tc>
          <w:tcPr>
            <w:tcW w:w="749" w:type="pct"/>
            <w:tcBorders>
              <w:top w:val="nil"/>
              <w:left w:val="nil"/>
              <w:bottom w:val="single" w:color="auto" w:sz="4" w:space="0"/>
              <w:right w:val="single" w:color="auto" w:sz="4" w:space="0"/>
            </w:tcBorders>
            <w:noWrap/>
            <w:vAlign w:val="center"/>
          </w:tcPr>
          <w:p>
            <w:pPr>
              <w:widowControl/>
              <w:spacing w:line="240" w:lineRule="exact"/>
              <w:jc w:val="center"/>
              <w:rPr>
                <w:rFonts w:ascii="宋体" w:hAnsi="宋体" w:cs="宋体"/>
                <w:color w:val="000000"/>
                <w:kern w:val="0"/>
                <w:szCs w:val="21"/>
              </w:rPr>
            </w:pPr>
            <w:r>
              <w:rPr>
                <w:rFonts w:ascii="宋体" w:hAnsi="宋体" w:cs="宋体"/>
                <w:color w:val="000000"/>
                <w:kern w:val="0"/>
                <w:szCs w:val="21"/>
              </w:rPr>
              <w:t>0.8373</w:t>
            </w:r>
          </w:p>
        </w:tc>
        <w:tc>
          <w:tcPr>
            <w:tcW w:w="382" w:type="pct"/>
            <w:tcBorders>
              <w:top w:val="nil"/>
              <w:left w:val="nil"/>
              <w:bottom w:val="single" w:color="auto" w:sz="4" w:space="0"/>
              <w:right w:val="single" w:color="auto" w:sz="4" w:space="0"/>
            </w:tcBorders>
            <w:noWrap/>
            <w:vAlign w:val="center"/>
          </w:tcPr>
          <w:p>
            <w:pPr>
              <w:widowControl/>
              <w:spacing w:line="240" w:lineRule="exact"/>
              <w:jc w:val="center"/>
              <w:rPr>
                <w:rFonts w:ascii="宋体" w:hAnsi="宋体" w:cs="宋体"/>
                <w:color w:val="000000"/>
                <w:kern w:val="0"/>
                <w:szCs w:val="21"/>
              </w:rPr>
            </w:pPr>
            <w:r>
              <w:rPr>
                <w:rFonts w:ascii="宋体" w:hAnsi="宋体" w:cs="宋体"/>
                <w:color w:val="000000"/>
                <w:kern w:val="0"/>
                <w:szCs w:val="21"/>
              </w:rPr>
              <w:t>0.53</w:t>
            </w:r>
          </w:p>
        </w:tc>
        <w:tc>
          <w:tcPr>
            <w:tcW w:w="870" w:type="pct"/>
            <w:tcBorders>
              <w:top w:val="nil"/>
              <w:left w:val="nil"/>
              <w:bottom w:val="single" w:color="auto" w:sz="4" w:space="0"/>
              <w:right w:val="single" w:color="auto" w:sz="4" w:space="0"/>
            </w:tcBorders>
            <w:noWrap/>
            <w:vAlign w:val="center"/>
          </w:tcPr>
          <w:p>
            <w:pPr>
              <w:widowControl/>
              <w:spacing w:line="240" w:lineRule="exact"/>
              <w:jc w:val="center"/>
              <w:rPr>
                <w:rFonts w:ascii="宋体" w:hAnsi="宋体" w:cs="宋体"/>
                <w:color w:val="000000"/>
                <w:kern w:val="0"/>
                <w:szCs w:val="21"/>
              </w:rPr>
            </w:pPr>
            <w:r>
              <w:rPr>
                <w:rFonts w:ascii="宋体" w:hAnsi="宋体" w:cs="宋体"/>
                <w:color w:val="000000"/>
                <w:kern w:val="0"/>
                <w:szCs w:val="21"/>
              </w:rPr>
              <w:t>57.80</w:t>
            </w:r>
          </w:p>
        </w:tc>
      </w:tr>
    </w:tbl>
    <w:p>
      <w:pPr>
        <w:adjustRightInd w:val="0"/>
        <w:snapToGrid w:val="0"/>
        <w:spacing w:beforeLines="50" w:afterLines="50" w:line="360" w:lineRule="auto"/>
        <w:ind w:firstLine="560" w:firstLineChars="200"/>
        <w:rPr>
          <w:rFonts w:ascii="Times New Roman" w:hAnsi="Times New Roman"/>
          <w:kern w:val="0"/>
          <w:sz w:val="28"/>
          <w:szCs w:val="28"/>
        </w:rPr>
      </w:pPr>
      <w:r>
        <w:rPr>
          <w:rFonts w:hint="eastAsia" w:ascii="Times New Roman" w:hAnsi="Times New Roman"/>
          <w:kern w:val="0"/>
          <w:sz w:val="28"/>
          <w:szCs w:val="28"/>
        </w:rPr>
        <w:t>（</w:t>
      </w:r>
      <w:r>
        <w:rPr>
          <w:rFonts w:ascii="Times New Roman" w:hAnsi="Times New Roman"/>
          <w:kern w:val="0"/>
          <w:sz w:val="28"/>
          <w:szCs w:val="28"/>
        </w:rPr>
        <w:t>2</w:t>
      </w:r>
      <w:r>
        <w:rPr>
          <w:rFonts w:hint="eastAsia" w:ascii="Times New Roman" w:hAnsi="Times New Roman"/>
          <w:kern w:val="0"/>
          <w:sz w:val="28"/>
          <w:szCs w:val="28"/>
        </w:rPr>
        <w:t>）过境水量</w:t>
      </w:r>
    </w:p>
    <w:p>
      <w:pPr>
        <w:spacing w:line="360" w:lineRule="auto"/>
        <w:ind w:firstLine="560" w:firstLineChars="200"/>
        <w:rPr>
          <w:rFonts w:ascii="Times New Roman" w:hAnsi="Times New Roman"/>
          <w:color w:val="000000"/>
          <w:sz w:val="28"/>
          <w:szCs w:val="28"/>
        </w:rPr>
      </w:pPr>
      <w:r>
        <w:rPr>
          <w:rFonts w:hint="eastAsia" w:ascii="Times New Roman" w:hAnsi="Times New Roman"/>
          <w:color w:val="000000"/>
          <w:sz w:val="28"/>
          <w:szCs w:val="28"/>
        </w:rPr>
        <w:t>渝北区的过境河流主要有长江、嘉陵江、御临河</w:t>
      </w:r>
      <w:r>
        <w:rPr>
          <w:rFonts w:ascii="Times New Roman" w:hAnsi="Times New Roman"/>
          <w:color w:val="000000"/>
          <w:sz w:val="28"/>
          <w:szCs w:val="28"/>
        </w:rPr>
        <w:t>3</w:t>
      </w:r>
      <w:r>
        <w:rPr>
          <w:rFonts w:hint="eastAsia" w:ascii="Times New Roman" w:hAnsi="Times New Roman"/>
          <w:color w:val="000000"/>
          <w:sz w:val="28"/>
          <w:szCs w:val="28"/>
        </w:rPr>
        <w:t>条河流，其中嘉陵江和御临河均为长江的一级支流，嘉陵江和长江的汇合口位于渝中区朝天门，御临河和长江的汇合口位于洛碛镇太洪岗。渝北区总的多年平均过境水资源量约为</w:t>
      </w:r>
      <w:r>
        <w:rPr>
          <w:rFonts w:ascii="Times New Roman" w:hAnsi="Times New Roman"/>
          <w:color w:val="000000"/>
          <w:sz w:val="28"/>
          <w:szCs w:val="28"/>
        </w:rPr>
        <w:t>3465.89</w:t>
      </w:r>
      <w:r>
        <w:rPr>
          <w:rFonts w:hint="eastAsia" w:ascii="Times New Roman" w:hAnsi="Times New Roman"/>
          <w:color w:val="000000"/>
          <w:sz w:val="28"/>
          <w:szCs w:val="28"/>
        </w:rPr>
        <w:t>亿</w:t>
      </w:r>
      <w:r>
        <w:rPr>
          <w:rFonts w:ascii="Times New Roman" w:hAnsi="Times New Roman"/>
          <w:color w:val="000000"/>
          <w:sz w:val="28"/>
          <w:szCs w:val="28"/>
        </w:rPr>
        <w:t>m</w:t>
      </w:r>
      <w:r>
        <w:rPr>
          <w:rFonts w:ascii="Times New Roman" w:hAnsi="Times New Roman"/>
          <w:color w:val="000000"/>
          <w:sz w:val="28"/>
          <w:szCs w:val="28"/>
          <w:vertAlign w:val="superscript"/>
        </w:rPr>
        <w:t>3</w:t>
      </w:r>
      <w:r>
        <w:rPr>
          <w:rFonts w:hint="eastAsia" w:ascii="Times New Roman" w:hAnsi="Times New Roman"/>
          <w:color w:val="000000"/>
          <w:sz w:val="28"/>
          <w:szCs w:val="28"/>
        </w:rPr>
        <w:t>，其中长江和嘉陵江的多年平均过境水资源量约为</w:t>
      </w:r>
      <w:r>
        <w:rPr>
          <w:rFonts w:ascii="Times New Roman" w:hAnsi="Times New Roman"/>
          <w:color w:val="000000"/>
          <w:sz w:val="28"/>
          <w:szCs w:val="28"/>
        </w:rPr>
        <w:t>3448</w:t>
      </w:r>
      <w:r>
        <w:rPr>
          <w:rFonts w:hint="eastAsia" w:ascii="Times New Roman" w:hAnsi="Times New Roman"/>
          <w:color w:val="000000"/>
          <w:sz w:val="28"/>
          <w:szCs w:val="28"/>
        </w:rPr>
        <w:t>亿</w:t>
      </w:r>
      <w:r>
        <w:rPr>
          <w:rFonts w:ascii="Times New Roman" w:hAnsi="Times New Roman"/>
          <w:color w:val="000000"/>
          <w:sz w:val="28"/>
          <w:szCs w:val="28"/>
        </w:rPr>
        <w:t>m</w:t>
      </w:r>
      <w:r>
        <w:rPr>
          <w:rFonts w:ascii="Times New Roman" w:hAnsi="Times New Roman"/>
          <w:color w:val="000000"/>
          <w:sz w:val="28"/>
          <w:szCs w:val="28"/>
          <w:vertAlign w:val="superscript"/>
        </w:rPr>
        <w:t>3</w:t>
      </w:r>
      <w:r>
        <w:rPr>
          <w:rFonts w:hint="eastAsia" w:ascii="Times New Roman" w:hAnsi="Times New Roman"/>
          <w:color w:val="000000"/>
          <w:sz w:val="28"/>
          <w:szCs w:val="28"/>
        </w:rPr>
        <w:t>，御临河的多年平均过境水资源量为</w:t>
      </w:r>
      <w:r>
        <w:rPr>
          <w:rFonts w:ascii="Times New Roman" w:hAnsi="Times New Roman"/>
          <w:color w:val="000000"/>
          <w:sz w:val="28"/>
          <w:szCs w:val="28"/>
        </w:rPr>
        <w:t>17.89</w:t>
      </w:r>
      <w:r>
        <w:rPr>
          <w:rFonts w:hint="eastAsia" w:ascii="Times New Roman" w:hAnsi="Times New Roman"/>
          <w:color w:val="000000"/>
          <w:sz w:val="28"/>
          <w:szCs w:val="28"/>
        </w:rPr>
        <w:t>亿</w:t>
      </w:r>
      <w:r>
        <w:rPr>
          <w:rFonts w:ascii="Times New Roman" w:hAnsi="Times New Roman"/>
          <w:color w:val="000000"/>
          <w:sz w:val="28"/>
          <w:szCs w:val="28"/>
        </w:rPr>
        <w:t>m</w:t>
      </w:r>
      <w:r>
        <w:rPr>
          <w:rFonts w:ascii="Times New Roman" w:hAnsi="Times New Roman"/>
          <w:color w:val="000000"/>
          <w:sz w:val="28"/>
          <w:szCs w:val="28"/>
          <w:vertAlign w:val="superscript"/>
        </w:rPr>
        <w:t>3</w:t>
      </w:r>
      <w:r>
        <w:rPr>
          <w:rFonts w:hint="eastAsia" w:ascii="Times New Roman" w:hAnsi="Times New Roman"/>
          <w:color w:val="000000"/>
          <w:sz w:val="28"/>
          <w:szCs w:val="28"/>
        </w:rPr>
        <w:t>。</w:t>
      </w:r>
    </w:p>
    <w:p>
      <w:pPr>
        <w:keepNext/>
        <w:keepLines/>
        <w:spacing w:before="260" w:after="260" w:line="413" w:lineRule="auto"/>
        <w:ind w:firstLine="420" w:firstLineChars="200"/>
        <w:outlineLvl w:val="2"/>
        <w:rPr>
          <w:rFonts w:ascii="Times New Roman" w:hAnsi="Times New Roman" w:eastAsia="黑体"/>
          <w:color w:val="000000"/>
          <w:sz w:val="28"/>
          <w:szCs w:val="24"/>
        </w:rPr>
      </w:pPr>
      <w:bookmarkStart w:id="37" w:name="_Toc389582952"/>
      <w:bookmarkStart w:id="38" w:name="_Toc22090"/>
      <w:bookmarkStart w:id="39" w:name="_Toc308684120"/>
      <w:bookmarkStart w:id="40" w:name="_Toc19598"/>
      <w:bookmarkStart w:id="41" w:name="_Toc29099"/>
      <w:r>
        <w:rPr>
          <w:rFonts w:ascii="Times New Roman" w:hAnsi="Times New Roman"/>
          <w:color w:val="000000"/>
        </w:rPr>
        <w:fldChar w:fldCharType="begin"/>
      </w:r>
      <w:r>
        <w:rPr>
          <w:rFonts w:ascii="Times New Roman" w:hAnsi="Times New Roman"/>
          <w:color w:val="000000"/>
        </w:rPr>
        <w:instrText xml:space="preserve"> HYPERLINK \l "_Toc175629490" </w:instrText>
      </w:r>
      <w:r>
        <w:rPr>
          <w:rFonts w:ascii="Times New Roman" w:hAnsi="Times New Roman"/>
          <w:color w:val="000000"/>
        </w:rPr>
        <w:fldChar w:fldCharType="separate"/>
      </w:r>
      <w:bookmarkStart w:id="42" w:name="_Toc90482762"/>
      <w:r>
        <w:rPr>
          <w:rFonts w:ascii="Times New Roman" w:hAnsi="Times New Roman" w:eastAsia="黑体"/>
          <w:color w:val="000000"/>
          <w:sz w:val="28"/>
          <w:szCs w:val="24"/>
        </w:rPr>
        <w:t xml:space="preserve">1.3.2 </w:t>
      </w:r>
      <w:r>
        <w:rPr>
          <w:rFonts w:hint="eastAsia" w:ascii="Times New Roman" w:hAnsi="Times New Roman" w:eastAsia="黑体"/>
          <w:color w:val="000000"/>
          <w:sz w:val="28"/>
          <w:szCs w:val="24"/>
        </w:rPr>
        <w:t>水功能区水质</w:t>
      </w:r>
      <w:r>
        <w:rPr>
          <w:rFonts w:ascii="Times New Roman" w:hAnsi="Times New Roman"/>
          <w:color w:val="000000"/>
        </w:rPr>
        <w:fldChar w:fldCharType="end"/>
      </w:r>
      <w:r>
        <w:rPr>
          <w:rFonts w:hint="eastAsia" w:ascii="Times New Roman" w:hAnsi="Times New Roman" w:eastAsia="黑体"/>
          <w:color w:val="000000"/>
          <w:sz w:val="28"/>
          <w:szCs w:val="24"/>
        </w:rPr>
        <w:t>情况</w:t>
      </w:r>
      <w:bookmarkEnd w:id="42"/>
    </w:p>
    <w:bookmarkEnd w:id="37"/>
    <w:bookmarkEnd w:id="38"/>
    <w:bookmarkEnd w:id="39"/>
    <w:bookmarkEnd w:id="40"/>
    <w:bookmarkEnd w:id="41"/>
    <w:p>
      <w:pPr>
        <w:spacing w:line="540" w:lineRule="exact"/>
        <w:ind w:firstLine="560" w:firstLineChars="200"/>
        <w:rPr>
          <w:rFonts w:ascii="Times New Roman" w:hAnsi="Times New Roman"/>
          <w:color w:val="000000"/>
          <w:sz w:val="28"/>
          <w:szCs w:val="28"/>
        </w:rPr>
      </w:pPr>
      <w:r>
        <w:rPr>
          <w:rFonts w:ascii="Times New Roman" w:hAnsi="Times New Roman"/>
          <w:color w:val="000000"/>
          <w:sz w:val="28"/>
          <w:szCs w:val="28"/>
        </w:rPr>
        <w:t>2020</w:t>
      </w:r>
      <w:r>
        <w:rPr>
          <w:rFonts w:hint="eastAsia" w:ascii="Times New Roman" w:hAnsi="Times New Roman"/>
          <w:color w:val="000000"/>
          <w:sz w:val="28"/>
          <w:szCs w:val="28"/>
        </w:rPr>
        <w:t>年渝北区集中式生活饮用水源地后河观音洞水库和嘉陵江悦来水厂水源水质均满足Ⅲ类水域功能要求。长江沙溪镇断面、御临河黄印断面、御临河江口断面、大洪湖（东河）力陡滩断面和后河跳石断面水质也均满足Ⅲ类水域功能要求。全区市级考核</w:t>
      </w:r>
      <w:r>
        <w:rPr>
          <w:rFonts w:ascii="Times New Roman" w:hAnsi="Times New Roman"/>
          <w:color w:val="000000"/>
          <w:sz w:val="28"/>
          <w:szCs w:val="28"/>
        </w:rPr>
        <w:t>12</w:t>
      </w:r>
      <w:r>
        <w:rPr>
          <w:rFonts w:hint="eastAsia" w:ascii="Times New Roman" w:hAnsi="Times New Roman"/>
          <w:color w:val="000000"/>
          <w:sz w:val="28"/>
          <w:szCs w:val="28"/>
        </w:rPr>
        <w:t>个水功能区（含两江新区嘉陵江的</w:t>
      </w:r>
      <w:r>
        <w:rPr>
          <w:rFonts w:ascii="Times New Roman" w:hAnsi="Times New Roman"/>
          <w:color w:val="000000"/>
          <w:sz w:val="28"/>
          <w:szCs w:val="28"/>
        </w:rPr>
        <w:t>2</w:t>
      </w:r>
      <w:r>
        <w:rPr>
          <w:rFonts w:hint="eastAsia" w:ascii="Times New Roman" w:hAnsi="Times New Roman"/>
          <w:color w:val="000000"/>
          <w:sz w:val="28"/>
          <w:szCs w:val="28"/>
        </w:rPr>
        <w:t>个），水质达标率为</w:t>
      </w:r>
      <w:r>
        <w:rPr>
          <w:rFonts w:ascii="Times New Roman" w:hAnsi="Times New Roman"/>
          <w:color w:val="000000"/>
          <w:sz w:val="28"/>
          <w:szCs w:val="28"/>
        </w:rPr>
        <w:t>91.70%</w:t>
      </w:r>
      <w:r>
        <w:rPr>
          <w:rFonts w:hint="eastAsia" w:ascii="Times New Roman" w:hAnsi="Times New Roman"/>
          <w:color w:val="000000"/>
          <w:sz w:val="28"/>
          <w:szCs w:val="28"/>
        </w:rPr>
        <w:t>，满足最严格水资源管理考核指标的要求。</w:t>
      </w:r>
    </w:p>
    <w:p>
      <w:pPr>
        <w:keepNext/>
        <w:keepLines/>
        <w:spacing w:before="260" w:after="260" w:line="540" w:lineRule="exact"/>
        <w:ind w:firstLine="281" w:firstLineChars="100"/>
        <w:outlineLvl w:val="1"/>
        <w:rPr>
          <w:rFonts w:ascii="Times New Roman" w:hAnsi="Times New Roman"/>
          <w:b/>
          <w:bCs/>
          <w:kern w:val="44"/>
          <w:sz w:val="28"/>
          <w:szCs w:val="28"/>
        </w:rPr>
      </w:pPr>
      <w:bookmarkStart w:id="43" w:name="_Toc90482763"/>
      <w:r>
        <w:rPr>
          <w:rFonts w:ascii="Times New Roman" w:hAnsi="Times New Roman"/>
          <w:b/>
          <w:bCs/>
          <w:kern w:val="44"/>
          <w:sz w:val="28"/>
          <w:szCs w:val="28"/>
        </w:rPr>
        <w:t xml:space="preserve">1.4 </w:t>
      </w:r>
      <w:r>
        <w:rPr>
          <w:rFonts w:hint="eastAsia" w:ascii="Times New Roman" w:hAnsi="Times New Roman"/>
          <w:b/>
          <w:bCs/>
          <w:kern w:val="44"/>
          <w:sz w:val="28"/>
          <w:szCs w:val="28"/>
        </w:rPr>
        <w:t>现状用水水平及节水潜力分析</w:t>
      </w:r>
      <w:bookmarkEnd w:id="43"/>
    </w:p>
    <w:p>
      <w:pPr>
        <w:keepNext/>
        <w:keepLines/>
        <w:spacing w:before="260" w:after="260" w:line="540" w:lineRule="exact"/>
        <w:ind w:firstLine="560" w:firstLineChars="200"/>
        <w:outlineLvl w:val="2"/>
        <w:rPr>
          <w:rFonts w:ascii="Times New Roman" w:hAnsi="Times New Roman" w:eastAsia="黑体"/>
          <w:sz w:val="28"/>
          <w:szCs w:val="24"/>
        </w:rPr>
      </w:pPr>
      <w:bookmarkStart w:id="44" w:name="_Toc90482764"/>
      <w:r>
        <w:rPr>
          <w:rFonts w:ascii="Times New Roman" w:hAnsi="Times New Roman" w:eastAsia="黑体"/>
          <w:sz w:val="28"/>
          <w:szCs w:val="24"/>
        </w:rPr>
        <w:t xml:space="preserve">1.4.1 </w:t>
      </w:r>
      <w:r>
        <w:rPr>
          <w:rFonts w:hint="eastAsia" w:ascii="Times New Roman" w:hAnsi="Times New Roman" w:eastAsia="黑体"/>
          <w:sz w:val="28"/>
          <w:szCs w:val="24"/>
        </w:rPr>
        <w:t>现状用水水平</w:t>
      </w:r>
      <w:bookmarkEnd w:id="44"/>
    </w:p>
    <w:p>
      <w:pPr>
        <w:spacing w:line="540" w:lineRule="exact"/>
        <w:ind w:firstLine="560" w:firstLineChars="200"/>
        <w:rPr>
          <w:rFonts w:ascii="Times New Roman" w:hAnsi="Times New Roman"/>
          <w:bCs/>
          <w:sz w:val="28"/>
          <w:szCs w:val="28"/>
        </w:rPr>
      </w:pPr>
      <w:r>
        <w:rPr>
          <w:rFonts w:hint="eastAsia" w:ascii="Times New Roman" w:hAnsi="Times New Roman"/>
          <w:bCs/>
          <w:sz w:val="28"/>
          <w:szCs w:val="28"/>
        </w:rPr>
        <w:t>根据《重庆市水资源公报》的统计结果，“十三五”期间渝北区</w:t>
      </w:r>
      <w:r>
        <w:rPr>
          <w:rFonts w:ascii="Times New Roman" w:hAnsi="Times New Roman"/>
          <w:bCs/>
          <w:sz w:val="28"/>
          <w:szCs w:val="28"/>
        </w:rPr>
        <w:t>2016 -2020</w:t>
      </w:r>
      <w:r>
        <w:rPr>
          <w:rFonts w:hint="eastAsia" w:ascii="Times New Roman" w:hAnsi="Times New Roman"/>
          <w:bCs/>
          <w:sz w:val="28"/>
          <w:szCs w:val="28"/>
        </w:rPr>
        <w:t>年用水总量分别为</w:t>
      </w:r>
      <w:r>
        <w:rPr>
          <w:rFonts w:ascii="Times New Roman" w:hAnsi="Times New Roman"/>
          <w:bCs/>
          <w:sz w:val="28"/>
          <w:szCs w:val="28"/>
        </w:rPr>
        <w:t>2.7803</w:t>
      </w:r>
      <w:r>
        <w:rPr>
          <w:rFonts w:hint="eastAsia" w:ascii="Times New Roman" w:hAnsi="Times New Roman"/>
          <w:bCs/>
          <w:sz w:val="28"/>
          <w:szCs w:val="28"/>
        </w:rPr>
        <w:t>、</w:t>
      </w:r>
      <w:r>
        <w:rPr>
          <w:rFonts w:ascii="Times New Roman" w:hAnsi="Times New Roman"/>
          <w:bCs/>
          <w:sz w:val="28"/>
          <w:szCs w:val="28"/>
        </w:rPr>
        <w:t>2.8112</w:t>
      </w:r>
      <w:r>
        <w:rPr>
          <w:rFonts w:hint="eastAsia" w:ascii="Times New Roman" w:hAnsi="Times New Roman"/>
          <w:bCs/>
          <w:sz w:val="28"/>
          <w:szCs w:val="28"/>
        </w:rPr>
        <w:t>、</w:t>
      </w:r>
      <w:r>
        <w:rPr>
          <w:rFonts w:ascii="Times New Roman" w:hAnsi="Times New Roman"/>
          <w:bCs/>
          <w:sz w:val="28"/>
          <w:szCs w:val="28"/>
        </w:rPr>
        <w:t>2.5891</w:t>
      </w:r>
      <w:r>
        <w:rPr>
          <w:rFonts w:hint="eastAsia" w:ascii="Times New Roman" w:hAnsi="Times New Roman"/>
          <w:bCs/>
          <w:sz w:val="28"/>
          <w:szCs w:val="28"/>
        </w:rPr>
        <w:t>、</w:t>
      </w:r>
      <w:r>
        <w:rPr>
          <w:rFonts w:ascii="Times New Roman" w:hAnsi="Times New Roman"/>
          <w:bCs/>
          <w:sz w:val="28"/>
          <w:szCs w:val="28"/>
        </w:rPr>
        <w:t>2.5255</w:t>
      </w:r>
      <w:r>
        <w:rPr>
          <w:rFonts w:hint="eastAsia" w:ascii="Times New Roman" w:hAnsi="Times New Roman"/>
          <w:bCs/>
          <w:sz w:val="28"/>
          <w:szCs w:val="28"/>
        </w:rPr>
        <w:t>、</w:t>
      </w:r>
      <w:r>
        <w:rPr>
          <w:rFonts w:ascii="Times New Roman" w:hAnsi="Times New Roman"/>
          <w:bCs/>
          <w:sz w:val="28"/>
          <w:szCs w:val="28"/>
        </w:rPr>
        <w:t>2.4843</w:t>
      </w:r>
      <w:r>
        <w:rPr>
          <w:rFonts w:hint="eastAsia" w:ascii="Times New Roman" w:hAnsi="Times New Roman"/>
          <w:bCs/>
          <w:sz w:val="28"/>
          <w:szCs w:val="28"/>
        </w:rPr>
        <w:t>亿立方米，年用水总量整体呈下降趋势，平均供水量为</w:t>
      </w:r>
      <w:r>
        <w:rPr>
          <w:rFonts w:ascii="Times New Roman" w:hAnsi="Times New Roman"/>
          <w:bCs/>
          <w:sz w:val="28"/>
          <w:szCs w:val="28"/>
        </w:rPr>
        <w:t>2.6381</w:t>
      </w:r>
      <w:r>
        <w:rPr>
          <w:rFonts w:hint="eastAsia" w:ascii="Times New Roman" w:hAnsi="Times New Roman"/>
          <w:bCs/>
          <w:sz w:val="28"/>
          <w:szCs w:val="28"/>
        </w:rPr>
        <w:t>亿立方米。</w:t>
      </w:r>
      <w:r>
        <w:rPr>
          <w:rFonts w:ascii="Times New Roman" w:hAnsi="Times New Roman"/>
          <w:bCs/>
          <w:sz w:val="28"/>
          <w:szCs w:val="28"/>
        </w:rPr>
        <w:t>2016 - 2020</w:t>
      </w:r>
      <w:r>
        <w:rPr>
          <w:rFonts w:hint="eastAsia" w:ascii="Times New Roman" w:hAnsi="Times New Roman"/>
          <w:bCs/>
          <w:sz w:val="28"/>
          <w:szCs w:val="28"/>
        </w:rPr>
        <w:t>年生活用水量分别为</w:t>
      </w:r>
      <w:r>
        <w:rPr>
          <w:rFonts w:ascii="Times New Roman" w:hAnsi="Times New Roman"/>
          <w:bCs/>
          <w:sz w:val="28"/>
          <w:szCs w:val="28"/>
        </w:rPr>
        <w:t xml:space="preserve">0.7479 </w:t>
      </w:r>
      <w:r>
        <w:rPr>
          <w:rFonts w:hint="eastAsia" w:ascii="Times New Roman" w:hAnsi="Times New Roman"/>
          <w:bCs/>
          <w:sz w:val="28"/>
          <w:szCs w:val="28"/>
        </w:rPr>
        <w:t>、</w:t>
      </w:r>
      <w:r>
        <w:rPr>
          <w:rFonts w:ascii="Times New Roman" w:hAnsi="Times New Roman"/>
          <w:bCs/>
          <w:sz w:val="28"/>
          <w:szCs w:val="28"/>
        </w:rPr>
        <w:t xml:space="preserve">0.7450 </w:t>
      </w:r>
      <w:r>
        <w:rPr>
          <w:rFonts w:hint="eastAsia" w:ascii="Times New Roman" w:hAnsi="Times New Roman"/>
          <w:bCs/>
          <w:sz w:val="28"/>
          <w:szCs w:val="28"/>
        </w:rPr>
        <w:t>、</w:t>
      </w:r>
      <w:r>
        <w:rPr>
          <w:rFonts w:ascii="Times New Roman" w:hAnsi="Times New Roman"/>
          <w:bCs/>
          <w:sz w:val="28"/>
          <w:szCs w:val="28"/>
        </w:rPr>
        <w:t xml:space="preserve">0.7846 </w:t>
      </w:r>
      <w:r>
        <w:rPr>
          <w:rFonts w:hint="eastAsia" w:ascii="Times New Roman" w:hAnsi="Times New Roman"/>
          <w:bCs/>
          <w:sz w:val="28"/>
          <w:szCs w:val="28"/>
        </w:rPr>
        <w:t>、</w:t>
      </w:r>
      <w:r>
        <w:rPr>
          <w:rFonts w:ascii="Times New Roman" w:hAnsi="Times New Roman"/>
          <w:bCs/>
          <w:sz w:val="28"/>
          <w:szCs w:val="28"/>
        </w:rPr>
        <w:t xml:space="preserve">0.8110 </w:t>
      </w:r>
      <w:r>
        <w:rPr>
          <w:rFonts w:hint="eastAsia" w:ascii="Times New Roman" w:hAnsi="Times New Roman"/>
          <w:bCs/>
          <w:sz w:val="28"/>
          <w:szCs w:val="28"/>
        </w:rPr>
        <w:t>、</w:t>
      </w:r>
      <w:r>
        <w:rPr>
          <w:rFonts w:ascii="Times New Roman" w:hAnsi="Times New Roman"/>
          <w:bCs/>
          <w:sz w:val="28"/>
          <w:szCs w:val="28"/>
        </w:rPr>
        <w:t>1.1621</w:t>
      </w:r>
      <w:r>
        <w:rPr>
          <w:rFonts w:hint="eastAsia" w:ascii="Times New Roman" w:hAnsi="Times New Roman"/>
          <w:bCs/>
          <w:sz w:val="28"/>
          <w:szCs w:val="28"/>
        </w:rPr>
        <w:t>亿立方米，呈现逐年上升趋势。</w:t>
      </w:r>
    </w:p>
    <w:p>
      <w:pPr>
        <w:widowControl/>
        <w:ind w:firstLine="700" w:firstLineChars="250"/>
        <w:jc w:val="left"/>
        <w:rPr>
          <w:rFonts w:ascii="Times New Roman" w:hAnsi="Times New Roman"/>
          <w:bCs/>
          <w:sz w:val="28"/>
          <w:szCs w:val="28"/>
        </w:rPr>
      </w:pPr>
      <w:r>
        <w:rPr>
          <w:rFonts w:ascii="Times New Roman" w:hAnsi="Times New Roman"/>
          <w:bCs/>
          <w:sz w:val="28"/>
          <w:szCs w:val="28"/>
        </w:rPr>
        <w:t xml:space="preserve">2020 </w:t>
      </w:r>
      <w:r>
        <w:rPr>
          <w:rFonts w:hint="eastAsia" w:ascii="Times New Roman" w:hAnsi="Times New Roman"/>
          <w:bCs/>
          <w:sz w:val="28"/>
          <w:szCs w:val="28"/>
        </w:rPr>
        <w:t>年用水总量</w:t>
      </w:r>
      <w:r>
        <w:rPr>
          <w:rFonts w:ascii="Times New Roman" w:hAnsi="Times New Roman"/>
          <w:bCs/>
          <w:sz w:val="28"/>
          <w:szCs w:val="28"/>
        </w:rPr>
        <w:t>2.4843</w:t>
      </w:r>
      <w:r>
        <w:rPr>
          <w:rFonts w:hint="eastAsia" w:ascii="Times New Roman" w:hAnsi="Times New Roman"/>
          <w:bCs/>
          <w:sz w:val="28"/>
          <w:szCs w:val="28"/>
        </w:rPr>
        <w:t>亿立方米，小于控制目标</w:t>
      </w:r>
      <w:r>
        <w:rPr>
          <w:rFonts w:ascii="Times New Roman" w:hAnsi="Times New Roman"/>
          <w:bCs/>
          <w:sz w:val="28"/>
          <w:szCs w:val="28"/>
        </w:rPr>
        <w:t xml:space="preserve">3.45 </w:t>
      </w:r>
      <w:r>
        <w:rPr>
          <w:rFonts w:hint="eastAsia" w:ascii="Times New Roman" w:hAnsi="Times New Roman"/>
          <w:bCs/>
          <w:sz w:val="28"/>
          <w:szCs w:val="28"/>
        </w:rPr>
        <w:t>亿立方米，主要的减项为工业用水量，增项为居民生活用水、农业用水和第三产业。从用水构成来看，</w:t>
      </w:r>
      <w:r>
        <w:rPr>
          <w:rFonts w:ascii="Times New Roman" w:hAnsi="Times New Roman"/>
          <w:bCs/>
          <w:sz w:val="28"/>
          <w:szCs w:val="28"/>
        </w:rPr>
        <w:t>2020</w:t>
      </w:r>
      <w:r>
        <w:rPr>
          <w:rFonts w:hint="eastAsia" w:ascii="Times New Roman" w:hAnsi="Times New Roman"/>
          <w:bCs/>
          <w:sz w:val="28"/>
          <w:szCs w:val="28"/>
        </w:rPr>
        <w:t>年，生活用水量占比达到全区用水总量的</w:t>
      </w:r>
      <w:r>
        <w:rPr>
          <w:rFonts w:ascii="Times New Roman" w:hAnsi="Times New Roman"/>
          <w:bCs/>
          <w:sz w:val="28"/>
          <w:szCs w:val="28"/>
        </w:rPr>
        <w:t xml:space="preserve"> 44%</w:t>
      </w:r>
      <w:r>
        <w:rPr>
          <w:rFonts w:hint="eastAsia" w:ascii="Times New Roman" w:hAnsi="Times New Roman"/>
          <w:bCs/>
          <w:sz w:val="28"/>
          <w:szCs w:val="28"/>
        </w:rPr>
        <w:t>，工业用水量占比</w:t>
      </w:r>
      <w:r>
        <w:rPr>
          <w:rFonts w:ascii="Times New Roman" w:hAnsi="Times New Roman"/>
          <w:bCs/>
          <w:sz w:val="28"/>
          <w:szCs w:val="28"/>
        </w:rPr>
        <w:t xml:space="preserve"> 28%</w:t>
      </w:r>
      <w:r>
        <w:rPr>
          <w:rFonts w:hint="eastAsia" w:ascii="Times New Roman" w:hAnsi="Times New Roman"/>
          <w:bCs/>
          <w:sz w:val="28"/>
          <w:szCs w:val="28"/>
        </w:rPr>
        <w:t>，服务业用水量占比</w:t>
      </w:r>
      <w:bookmarkStart w:id="45" w:name="OLE_LINK1"/>
      <w:r>
        <w:rPr>
          <w:rFonts w:ascii="Times New Roman" w:hAnsi="Times New Roman"/>
          <w:bCs/>
          <w:sz w:val="28"/>
          <w:szCs w:val="28"/>
        </w:rPr>
        <w:t>14%</w:t>
      </w:r>
      <w:bookmarkEnd w:id="45"/>
      <w:r>
        <w:rPr>
          <w:rFonts w:hint="eastAsia" w:ascii="Times New Roman" w:hAnsi="Times New Roman"/>
          <w:bCs/>
          <w:sz w:val="28"/>
          <w:szCs w:val="28"/>
        </w:rPr>
        <w:t>，农业用水量占比</w:t>
      </w:r>
      <w:r>
        <w:rPr>
          <w:rFonts w:ascii="Times New Roman" w:hAnsi="Times New Roman"/>
          <w:bCs/>
          <w:sz w:val="28"/>
          <w:szCs w:val="28"/>
        </w:rPr>
        <w:t xml:space="preserve"> 10%</w:t>
      </w:r>
      <w:r>
        <w:rPr>
          <w:rFonts w:hint="eastAsia" w:ascii="Times New Roman" w:hAnsi="Times New Roman"/>
          <w:bCs/>
          <w:sz w:val="28"/>
          <w:szCs w:val="28"/>
        </w:rPr>
        <w:t>，生态环境补水量占比</w:t>
      </w:r>
      <w:r>
        <w:rPr>
          <w:rFonts w:ascii="Times New Roman" w:hAnsi="Times New Roman"/>
          <w:bCs/>
          <w:sz w:val="28"/>
          <w:szCs w:val="28"/>
        </w:rPr>
        <w:t>4%</w:t>
      </w:r>
      <w:r>
        <w:rPr>
          <w:rFonts w:hint="eastAsia" w:ascii="Times New Roman" w:hAnsi="Times New Roman"/>
          <w:bCs/>
          <w:sz w:val="28"/>
          <w:szCs w:val="28"/>
        </w:rPr>
        <w:t>。</w:t>
      </w:r>
    </w:p>
    <w:p>
      <w:pPr>
        <w:widowControl/>
        <w:jc w:val="center"/>
        <w:rPr>
          <w:rFonts w:ascii="Times New Roman" w:hAnsi="Times New Roman"/>
          <w:bCs/>
          <w:sz w:val="28"/>
          <w:szCs w:val="28"/>
        </w:rPr>
      </w:pPr>
      <w:r>
        <w:rPr>
          <w:rFonts w:ascii="Times New Roman" w:hAnsi="Times New Roman"/>
          <w:sz w:val="28"/>
          <w:szCs w:val="28"/>
        </w:rPr>
        <w:pict>
          <v:shape id="_x0000_i1025" o:spt="75" type="#_x0000_t75" style="height:217.2pt;width:361.2pt;" filled="f" o:preferrelative="t" stroked="f" coordsize="21600,21600">
            <v:path/>
            <v:fill on="f" focussize="0,0"/>
            <v:stroke on="f" joinstyle="miter"/>
            <v:imagedata r:id="rId5" o:title=""/>
            <o:lock v:ext="edit" aspectratio="t"/>
            <w10:wrap type="none"/>
            <w10:anchorlock/>
          </v:shape>
        </w:pict>
      </w:r>
    </w:p>
    <w:p>
      <w:pPr>
        <w:widowControl/>
        <w:jc w:val="center"/>
        <w:rPr>
          <w:rFonts w:ascii="Times New Roman" w:hAnsi="Times New Roman"/>
          <w:b/>
          <w:sz w:val="24"/>
          <w:szCs w:val="24"/>
        </w:rPr>
      </w:pPr>
      <w:r>
        <w:rPr>
          <w:rFonts w:hint="eastAsia" w:ascii="Times New Roman" w:hAnsi="Times New Roman"/>
          <w:b/>
          <w:sz w:val="24"/>
          <w:szCs w:val="24"/>
        </w:rPr>
        <w:t>图</w:t>
      </w:r>
      <w:r>
        <w:rPr>
          <w:rFonts w:ascii="Times New Roman" w:hAnsi="Times New Roman"/>
          <w:b/>
          <w:sz w:val="24"/>
          <w:szCs w:val="24"/>
        </w:rPr>
        <w:t xml:space="preserve">1 </w:t>
      </w:r>
      <w:r>
        <w:rPr>
          <w:rFonts w:hint="eastAsia" w:ascii="Times New Roman" w:hAnsi="Times New Roman"/>
          <w:b/>
          <w:sz w:val="24"/>
          <w:szCs w:val="24"/>
        </w:rPr>
        <w:t>渝北区现状用水水平图</w:t>
      </w:r>
    </w:p>
    <w:p>
      <w:pPr>
        <w:keepNext/>
        <w:keepLines/>
        <w:spacing w:before="260" w:after="260" w:line="413" w:lineRule="auto"/>
        <w:ind w:firstLine="560" w:firstLineChars="200"/>
        <w:outlineLvl w:val="2"/>
        <w:rPr>
          <w:rFonts w:ascii="Times New Roman" w:hAnsi="Times New Roman" w:eastAsia="黑体"/>
          <w:sz w:val="28"/>
          <w:szCs w:val="24"/>
        </w:rPr>
      </w:pPr>
      <w:bookmarkStart w:id="46" w:name="_Toc90482765"/>
      <w:bookmarkStart w:id="47" w:name="_Toc75178565"/>
      <w:r>
        <w:rPr>
          <w:rFonts w:ascii="Times New Roman" w:hAnsi="Times New Roman" w:eastAsia="黑体"/>
          <w:sz w:val="28"/>
          <w:szCs w:val="24"/>
        </w:rPr>
        <w:t xml:space="preserve">1.4.2 </w:t>
      </w:r>
      <w:r>
        <w:rPr>
          <w:rFonts w:hint="eastAsia" w:ascii="Times New Roman" w:hAnsi="Times New Roman" w:eastAsia="黑体"/>
          <w:sz w:val="28"/>
          <w:szCs w:val="24"/>
        </w:rPr>
        <w:t>节水潜力分析</w:t>
      </w:r>
      <w:bookmarkEnd w:id="46"/>
      <w:bookmarkEnd w:id="47"/>
    </w:p>
    <w:p>
      <w:pPr>
        <w:ind w:firstLine="560" w:firstLineChars="200"/>
        <w:rPr>
          <w:rFonts w:ascii="Times New Roman" w:hAnsi="Times New Roman"/>
          <w:bCs/>
          <w:sz w:val="28"/>
          <w:szCs w:val="28"/>
        </w:rPr>
      </w:pPr>
      <w:r>
        <w:rPr>
          <w:rFonts w:hint="eastAsia" w:ascii="Times New Roman" w:hAnsi="Times New Roman"/>
          <w:bCs/>
          <w:sz w:val="28"/>
          <w:szCs w:val="28"/>
        </w:rPr>
        <w:t>以渝北区各部门和各行业（或作物）通过综合节水措施所达到的节水指标为参照标准，分析现状用水水平与节水指标的差值，依据《节水型社会建设规划编制导则》的计算要求，估算节水潜力。</w:t>
      </w:r>
    </w:p>
    <w:p>
      <w:pPr>
        <w:ind w:firstLine="560" w:firstLineChars="200"/>
        <w:rPr>
          <w:rFonts w:ascii="Times New Roman" w:hAnsi="Times New Roman"/>
          <w:bCs/>
          <w:sz w:val="28"/>
          <w:szCs w:val="28"/>
        </w:rPr>
      </w:pPr>
      <w:r>
        <w:rPr>
          <w:rFonts w:hint="eastAsia" w:ascii="Times New Roman" w:hAnsi="Times New Roman"/>
          <w:bCs/>
          <w:sz w:val="28"/>
          <w:szCs w:val="28"/>
        </w:rPr>
        <w:t>（</w:t>
      </w:r>
      <w:r>
        <w:rPr>
          <w:rFonts w:ascii="Times New Roman" w:hAnsi="Times New Roman"/>
          <w:bCs/>
          <w:sz w:val="28"/>
          <w:szCs w:val="28"/>
        </w:rPr>
        <w:t>1</w:t>
      </w:r>
      <w:r>
        <w:rPr>
          <w:rFonts w:hint="eastAsia" w:ascii="Times New Roman" w:hAnsi="Times New Roman"/>
          <w:bCs/>
          <w:sz w:val="28"/>
          <w:szCs w:val="28"/>
        </w:rPr>
        <w:t>）农业节水潜力</w:t>
      </w:r>
    </w:p>
    <w:p>
      <w:pPr>
        <w:ind w:firstLine="560" w:firstLineChars="200"/>
        <w:rPr>
          <w:rFonts w:ascii="Times New Roman" w:hAnsi="Times New Roman"/>
          <w:sz w:val="28"/>
          <w:szCs w:val="28"/>
        </w:rPr>
      </w:pPr>
      <w:r>
        <w:rPr>
          <w:rFonts w:hint="eastAsia" w:ascii="Times New Roman" w:hAnsi="Times New Roman"/>
          <w:sz w:val="28"/>
          <w:szCs w:val="28"/>
        </w:rPr>
        <w:t>农业节水是通过工程与非工程措施以提高灌溉水利用系数产生节水量，工程措施主要是指改造灌区渠系和改变灌溉方式，非工程措施主要是指加强节水目标规划的管理和协调。目前已采取多种工程和非工程措施进行节水管理，农业用水效率得到较大提高，但由于农民节水意识不强，节水工程缺乏规模化，因而农业节水仍然具有一定的潜力。</w:t>
      </w:r>
    </w:p>
    <w:p>
      <w:pPr>
        <w:ind w:firstLine="560" w:firstLineChars="200"/>
        <w:rPr>
          <w:rFonts w:ascii="Times New Roman" w:hAnsi="Times New Roman"/>
          <w:sz w:val="28"/>
          <w:szCs w:val="28"/>
        </w:rPr>
      </w:pPr>
      <w:r>
        <w:rPr>
          <w:rFonts w:hint="eastAsia" w:ascii="Times New Roman" w:hAnsi="Times New Roman"/>
          <w:sz w:val="28"/>
          <w:szCs w:val="28"/>
        </w:rPr>
        <w:t>根据《重庆市水资源公报（</w:t>
      </w:r>
      <w:r>
        <w:rPr>
          <w:rFonts w:ascii="Times New Roman" w:hAnsi="Times New Roman"/>
          <w:sz w:val="28"/>
          <w:szCs w:val="28"/>
        </w:rPr>
        <w:t>2020</w:t>
      </w:r>
      <w:r>
        <w:rPr>
          <w:rFonts w:hint="eastAsia" w:ascii="Times New Roman" w:hAnsi="Times New Roman"/>
          <w:sz w:val="28"/>
          <w:szCs w:val="28"/>
        </w:rPr>
        <w:t>年）》、《</w:t>
      </w:r>
      <w:r>
        <w:rPr>
          <w:rFonts w:ascii="Times New Roman" w:hAnsi="Times New Roman"/>
          <w:sz w:val="28"/>
          <w:szCs w:val="28"/>
        </w:rPr>
        <w:t>2020</w:t>
      </w:r>
      <w:r>
        <w:rPr>
          <w:rFonts w:hint="eastAsia" w:ascii="Times New Roman" w:hAnsi="Times New Roman"/>
          <w:sz w:val="28"/>
          <w:szCs w:val="28"/>
        </w:rPr>
        <w:t>年重庆市渝北区国民经济和社会发展统计公报》、《渝北统计年鉴（</w:t>
      </w:r>
      <w:r>
        <w:rPr>
          <w:rFonts w:ascii="Times New Roman" w:hAnsi="Times New Roman"/>
          <w:sz w:val="28"/>
          <w:szCs w:val="28"/>
        </w:rPr>
        <w:t>2020</w:t>
      </w:r>
      <w:r>
        <w:rPr>
          <w:rFonts w:hint="eastAsia" w:ascii="Times New Roman" w:hAnsi="Times New Roman"/>
          <w:sz w:val="28"/>
          <w:szCs w:val="28"/>
        </w:rPr>
        <w:t>年）》，截止到</w:t>
      </w:r>
      <w:r>
        <w:rPr>
          <w:rFonts w:ascii="Times New Roman" w:hAnsi="Times New Roman"/>
          <w:sz w:val="28"/>
          <w:szCs w:val="28"/>
        </w:rPr>
        <w:t>2020</w:t>
      </w:r>
      <w:r>
        <w:rPr>
          <w:rFonts w:hint="eastAsia" w:ascii="Times New Roman" w:hAnsi="Times New Roman"/>
          <w:sz w:val="28"/>
          <w:szCs w:val="28"/>
        </w:rPr>
        <w:t>年，渝北区有效灌溉面积为</w:t>
      </w:r>
      <w:r>
        <w:rPr>
          <w:rFonts w:ascii="Times New Roman" w:hAnsi="Times New Roman"/>
          <w:sz w:val="28"/>
          <w:szCs w:val="28"/>
        </w:rPr>
        <w:t>8.96</w:t>
      </w:r>
      <w:r>
        <w:rPr>
          <w:rFonts w:hint="eastAsia" w:ascii="Times New Roman" w:hAnsi="Times New Roman"/>
          <w:sz w:val="28"/>
          <w:szCs w:val="28"/>
        </w:rPr>
        <w:t>万亩，灌溉水利用系数为</w:t>
      </w:r>
      <w:r>
        <w:rPr>
          <w:rFonts w:ascii="Times New Roman" w:hAnsi="Times New Roman"/>
          <w:sz w:val="28"/>
          <w:szCs w:val="28"/>
        </w:rPr>
        <w:t>0.5043</w:t>
      </w:r>
      <w:r>
        <w:rPr>
          <w:rFonts w:hint="eastAsia" w:ascii="Times New Roman" w:hAnsi="Times New Roman"/>
          <w:sz w:val="28"/>
          <w:szCs w:val="28"/>
        </w:rPr>
        <w:t>，由于渝北区有效灌溉面积逐年减少，根据下降趋势，初步估计</w:t>
      </w:r>
      <w:r>
        <w:rPr>
          <w:rFonts w:ascii="Times New Roman" w:hAnsi="Times New Roman"/>
          <w:sz w:val="28"/>
          <w:szCs w:val="28"/>
        </w:rPr>
        <w:t>2025</w:t>
      </w:r>
      <w:r>
        <w:rPr>
          <w:rFonts w:hint="eastAsia" w:ascii="Times New Roman" w:hAnsi="Times New Roman"/>
          <w:sz w:val="28"/>
          <w:szCs w:val="28"/>
        </w:rPr>
        <w:t>年有效灌溉面为</w:t>
      </w:r>
      <w:r>
        <w:rPr>
          <w:rFonts w:ascii="Times New Roman" w:hAnsi="Times New Roman"/>
          <w:sz w:val="28"/>
          <w:szCs w:val="28"/>
        </w:rPr>
        <w:t>7.96</w:t>
      </w:r>
      <w:r>
        <w:rPr>
          <w:rFonts w:hint="eastAsia" w:ascii="Times New Roman" w:hAnsi="Times New Roman"/>
          <w:sz w:val="28"/>
          <w:szCs w:val="28"/>
        </w:rPr>
        <w:t>万亩。若通过节水措施，</w:t>
      </w:r>
      <w:r>
        <w:rPr>
          <w:rFonts w:ascii="Times New Roman" w:hAnsi="Times New Roman"/>
          <w:sz w:val="28"/>
          <w:szCs w:val="28"/>
        </w:rPr>
        <w:t>2025</w:t>
      </w:r>
      <w:r>
        <w:rPr>
          <w:rFonts w:hint="eastAsia" w:ascii="Times New Roman" w:hAnsi="Times New Roman"/>
          <w:sz w:val="28"/>
          <w:szCs w:val="28"/>
        </w:rPr>
        <w:t>年灌溉水利用系数达到</w:t>
      </w:r>
      <w:r>
        <w:rPr>
          <w:rFonts w:ascii="Times New Roman" w:hAnsi="Times New Roman"/>
          <w:sz w:val="28"/>
          <w:szCs w:val="28"/>
        </w:rPr>
        <w:t>0.516</w:t>
      </w:r>
      <w:r>
        <w:rPr>
          <w:rFonts w:hint="eastAsia" w:ascii="Times New Roman" w:hAnsi="Times New Roman"/>
          <w:sz w:val="28"/>
          <w:szCs w:val="28"/>
        </w:rPr>
        <w:t>。初步估算农业节水潜力为</w:t>
      </w:r>
      <w:r>
        <w:rPr>
          <w:rFonts w:ascii="Times New Roman" w:hAnsi="Times New Roman"/>
          <w:sz w:val="28"/>
          <w:szCs w:val="28"/>
        </w:rPr>
        <w:t>659.50</w:t>
      </w:r>
      <w:r>
        <w:rPr>
          <w:rFonts w:hint="eastAsia" w:ascii="Times New Roman" w:hAnsi="Times New Roman"/>
          <w:sz w:val="28"/>
          <w:szCs w:val="28"/>
        </w:rPr>
        <w:t>万</w:t>
      </w:r>
      <w:r>
        <w:rPr>
          <w:rFonts w:ascii="Times New Roman" w:hAnsi="Times New Roman"/>
          <w:sz w:val="28"/>
          <w:szCs w:val="28"/>
        </w:rPr>
        <w:t>m</w:t>
      </w:r>
      <w:r>
        <w:rPr>
          <w:rFonts w:ascii="Times New Roman" w:hAnsi="Times New Roman"/>
          <w:sz w:val="28"/>
          <w:szCs w:val="28"/>
          <w:vertAlign w:val="superscript"/>
        </w:rPr>
        <w:t>3</w:t>
      </w:r>
      <w:r>
        <w:rPr>
          <w:rFonts w:hint="eastAsia" w:ascii="Times New Roman" w:hAnsi="Times New Roman"/>
          <w:sz w:val="28"/>
          <w:szCs w:val="28"/>
        </w:rPr>
        <w:t>。</w:t>
      </w:r>
    </w:p>
    <w:p>
      <w:pPr>
        <w:ind w:firstLine="480" w:firstLineChars="200"/>
        <w:jc w:val="center"/>
        <w:rPr>
          <w:rFonts w:ascii="Times New Roman" w:hAnsi="Times New Roman"/>
          <w:bCs/>
          <w:sz w:val="24"/>
          <w:szCs w:val="24"/>
        </w:rPr>
      </w:pPr>
      <w:r>
        <w:rPr>
          <w:rFonts w:hint="eastAsia" w:ascii="Times New Roman" w:hAnsi="Times New Roman"/>
          <w:bCs/>
          <w:sz w:val="24"/>
          <w:szCs w:val="24"/>
        </w:rPr>
        <w:t>表</w:t>
      </w:r>
      <w:r>
        <w:rPr>
          <w:rFonts w:ascii="Times New Roman" w:hAnsi="Times New Roman"/>
          <w:bCs/>
          <w:sz w:val="24"/>
          <w:szCs w:val="24"/>
        </w:rPr>
        <w:t xml:space="preserve">1-1 </w:t>
      </w:r>
      <w:r>
        <w:rPr>
          <w:rFonts w:hint="eastAsia" w:ascii="Times New Roman" w:hAnsi="Times New Roman"/>
          <w:bCs/>
          <w:sz w:val="24"/>
          <w:szCs w:val="24"/>
        </w:rPr>
        <w:t>渝北区</w:t>
      </w:r>
      <w:r>
        <w:rPr>
          <w:rFonts w:ascii="Times New Roman" w:hAnsi="Times New Roman"/>
          <w:bCs/>
          <w:sz w:val="24"/>
          <w:szCs w:val="24"/>
        </w:rPr>
        <w:t>“</w:t>
      </w:r>
      <w:r>
        <w:rPr>
          <w:rFonts w:hint="eastAsia" w:ascii="Times New Roman" w:hAnsi="Times New Roman"/>
          <w:bCs/>
          <w:sz w:val="24"/>
          <w:szCs w:val="24"/>
        </w:rPr>
        <w:t>十四五</w:t>
      </w:r>
      <w:r>
        <w:rPr>
          <w:rFonts w:ascii="Times New Roman" w:hAnsi="Times New Roman"/>
          <w:bCs/>
          <w:sz w:val="24"/>
          <w:szCs w:val="24"/>
        </w:rPr>
        <w:t>”</w:t>
      </w:r>
      <w:r>
        <w:rPr>
          <w:rFonts w:hint="eastAsia" w:ascii="Times New Roman" w:hAnsi="Times New Roman"/>
          <w:bCs/>
          <w:sz w:val="24"/>
          <w:szCs w:val="24"/>
        </w:rPr>
        <w:t>农业年节水潜力计算成果表</w:t>
      </w:r>
    </w:p>
    <w:tbl>
      <w:tblPr>
        <w:tblStyle w:val="21"/>
        <w:tblW w:w="8390"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242"/>
        <w:gridCol w:w="1560"/>
        <w:gridCol w:w="1417"/>
        <w:gridCol w:w="1985"/>
        <w:gridCol w:w="2186"/>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3" w:hRule="atLeast"/>
        </w:trPr>
        <w:tc>
          <w:tcPr>
            <w:tcW w:w="1242" w:type="dxa"/>
            <w:vAlign w:val="center"/>
          </w:tcPr>
          <w:p>
            <w:pPr>
              <w:jc w:val="center"/>
              <w:rPr>
                <w:rFonts w:ascii="Times New Roman" w:hAnsi="Times New Roman"/>
                <w:b/>
                <w:sz w:val="24"/>
                <w:szCs w:val="24"/>
              </w:rPr>
            </w:pPr>
            <w:r>
              <w:rPr>
                <w:rFonts w:hint="eastAsia" w:ascii="Times New Roman" w:hAnsi="Times New Roman"/>
                <w:b/>
                <w:sz w:val="24"/>
                <w:szCs w:val="24"/>
              </w:rPr>
              <w:t>水平年</w:t>
            </w:r>
          </w:p>
        </w:tc>
        <w:tc>
          <w:tcPr>
            <w:tcW w:w="1560" w:type="dxa"/>
            <w:vAlign w:val="center"/>
          </w:tcPr>
          <w:p>
            <w:pPr>
              <w:jc w:val="center"/>
              <w:rPr>
                <w:rFonts w:ascii="Times New Roman" w:hAnsi="Times New Roman"/>
                <w:b/>
                <w:sz w:val="24"/>
                <w:szCs w:val="24"/>
              </w:rPr>
            </w:pPr>
            <w:r>
              <w:rPr>
                <w:rFonts w:hint="eastAsia" w:ascii="Times New Roman" w:hAnsi="Times New Roman"/>
                <w:b/>
                <w:sz w:val="24"/>
                <w:szCs w:val="24"/>
              </w:rPr>
              <w:t>有效灌溉面积（万亩）</w:t>
            </w:r>
          </w:p>
        </w:tc>
        <w:tc>
          <w:tcPr>
            <w:tcW w:w="1417" w:type="dxa"/>
            <w:vAlign w:val="center"/>
          </w:tcPr>
          <w:p>
            <w:pPr>
              <w:jc w:val="center"/>
              <w:rPr>
                <w:rFonts w:ascii="Times New Roman" w:hAnsi="Times New Roman"/>
                <w:b/>
                <w:sz w:val="24"/>
                <w:szCs w:val="24"/>
              </w:rPr>
            </w:pPr>
            <w:r>
              <w:rPr>
                <w:rFonts w:hint="eastAsia" w:ascii="Times New Roman" w:hAnsi="Times New Roman"/>
                <w:b/>
                <w:sz w:val="24"/>
                <w:szCs w:val="24"/>
              </w:rPr>
              <w:t>灌溉水利用系数</w:t>
            </w:r>
          </w:p>
        </w:tc>
        <w:tc>
          <w:tcPr>
            <w:tcW w:w="1985" w:type="dxa"/>
            <w:vAlign w:val="center"/>
          </w:tcPr>
          <w:p>
            <w:pPr>
              <w:jc w:val="center"/>
              <w:rPr>
                <w:rFonts w:ascii="Times New Roman" w:hAnsi="Times New Roman"/>
                <w:b/>
                <w:sz w:val="24"/>
                <w:szCs w:val="24"/>
              </w:rPr>
            </w:pPr>
            <w:r>
              <w:rPr>
                <w:rFonts w:hint="eastAsia" w:ascii="Times New Roman" w:hAnsi="Times New Roman"/>
                <w:b/>
                <w:sz w:val="24"/>
                <w:szCs w:val="24"/>
              </w:rPr>
              <w:t>农业灌溉亩均用水量（</w:t>
            </w:r>
            <w:r>
              <w:rPr>
                <w:rFonts w:ascii="Times New Roman" w:hAnsi="Times New Roman"/>
                <w:b/>
                <w:sz w:val="24"/>
                <w:szCs w:val="24"/>
              </w:rPr>
              <w:t>m</w:t>
            </w:r>
            <w:r>
              <w:rPr>
                <w:rFonts w:ascii="Times New Roman" w:hAnsi="Times New Roman"/>
                <w:b/>
                <w:sz w:val="24"/>
                <w:szCs w:val="24"/>
                <w:vertAlign w:val="superscript"/>
              </w:rPr>
              <w:t>3</w:t>
            </w:r>
            <w:r>
              <w:rPr>
                <w:rFonts w:hint="eastAsia" w:ascii="Times New Roman" w:hAnsi="Times New Roman"/>
                <w:b/>
                <w:sz w:val="24"/>
                <w:szCs w:val="24"/>
              </w:rPr>
              <w:t>）</w:t>
            </w:r>
          </w:p>
        </w:tc>
        <w:tc>
          <w:tcPr>
            <w:tcW w:w="2186" w:type="dxa"/>
            <w:vAlign w:val="center"/>
          </w:tcPr>
          <w:p>
            <w:pPr>
              <w:jc w:val="center"/>
              <w:rPr>
                <w:rFonts w:ascii="Times New Roman" w:hAnsi="Times New Roman"/>
                <w:b/>
                <w:sz w:val="24"/>
                <w:szCs w:val="24"/>
              </w:rPr>
            </w:pPr>
            <w:r>
              <w:rPr>
                <w:rFonts w:hint="eastAsia" w:ascii="Times New Roman" w:hAnsi="Times New Roman"/>
                <w:b/>
                <w:sz w:val="24"/>
                <w:szCs w:val="24"/>
              </w:rPr>
              <w:t>农业节水潜力</w:t>
            </w:r>
          </w:p>
          <w:p>
            <w:pPr>
              <w:jc w:val="center"/>
              <w:rPr>
                <w:rFonts w:ascii="Times New Roman" w:hAnsi="Times New Roman"/>
                <w:b/>
                <w:sz w:val="24"/>
                <w:szCs w:val="24"/>
              </w:rPr>
            </w:pPr>
            <w:r>
              <w:rPr>
                <w:rFonts w:hint="eastAsia" w:ascii="Times New Roman" w:hAnsi="Times New Roman"/>
                <w:b/>
                <w:sz w:val="24"/>
                <w:szCs w:val="24"/>
              </w:rPr>
              <w:t>（万</w:t>
            </w:r>
            <w:r>
              <w:rPr>
                <w:rFonts w:ascii="Times New Roman" w:hAnsi="Times New Roman"/>
                <w:b/>
                <w:sz w:val="24"/>
                <w:szCs w:val="24"/>
              </w:rPr>
              <w:t xml:space="preserve"> m</w:t>
            </w:r>
            <w:r>
              <w:rPr>
                <w:rFonts w:ascii="Times New Roman" w:hAnsi="Times New Roman"/>
                <w:b/>
                <w:sz w:val="24"/>
                <w:szCs w:val="24"/>
                <w:vertAlign w:val="superscript"/>
              </w:rPr>
              <w:t>3</w:t>
            </w:r>
            <w:r>
              <w:rPr>
                <w:rFonts w:hint="eastAsia" w:ascii="Times New Roman" w:hAnsi="Times New Roman"/>
                <w:b/>
                <w:sz w:val="24"/>
                <w:szCs w:val="24"/>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74" w:hRule="atLeast"/>
        </w:trPr>
        <w:tc>
          <w:tcPr>
            <w:tcW w:w="1242" w:type="dxa"/>
            <w:vAlign w:val="center"/>
          </w:tcPr>
          <w:p>
            <w:pPr>
              <w:autoSpaceDE w:val="0"/>
              <w:autoSpaceDN w:val="0"/>
              <w:adjustRightInd w:val="0"/>
              <w:jc w:val="center"/>
              <w:rPr>
                <w:rFonts w:ascii="Times New Roman" w:hAnsi="Times New Roman"/>
                <w:color w:val="000000"/>
                <w:kern w:val="0"/>
                <w:sz w:val="24"/>
                <w:szCs w:val="24"/>
              </w:rPr>
            </w:pPr>
            <w:r>
              <w:rPr>
                <w:rFonts w:ascii="Times New Roman" w:hAnsi="Times New Roman"/>
                <w:color w:val="000000"/>
                <w:kern w:val="0"/>
                <w:sz w:val="24"/>
                <w:szCs w:val="24"/>
              </w:rPr>
              <w:t>2020</w:t>
            </w:r>
            <w:r>
              <w:rPr>
                <w:rFonts w:hint="eastAsia" w:ascii="Times New Roman" w:hAnsi="Times New Roman"/>
                <w:color w:val="000000"/>
                <w:kern w:val="0"/>
                <w:sz w:val="24"/>
                <w:szCs w:val="24"/>
              </w:rPr>
              <w:t>年</w:t>
            </w:r>
          </w:p>
        </w:tc>
        <w:tc>
          <w:tcPr>
            <w:tcW w:w="1560" w:type="dxa"/>
            <w:vAlign w:val="center"/>
          </w:tcPr>
          <w:p>
            <w:pPr>
              <w:autoSpaceDE w:val="0"/>
              <w:autoSpaceDN w:val="0"/>
              <w:adjustRightInd w:val="0"/>
              <w:jc w:val="center"/>
              <w:rPr>
                <w:rFonts w:ascii="Times New Roman" w:hAnsi="Times New Roman"/>
                <w:color w:val="000000"/>
                <w:kern w:val="0"/>
                <w:sz w:val="24"/>
                <w:szCs w:val="24"/>
              </w:rPr>
            </w:pPr>
            <w:r>
              <w:rPr>
                <w:rFonts w:ascii="Times New Roman" w:hAnsi="Times New Roman"/>
                <w:color w:val="000000"/>
                <w:kern w:val="0"/>
                <w:sz w:val="24"/>
                <w:szCs w:val="24"/>
              </w:rPr>
              <w:t>8.96</w:t>
            </w:r>
          </w:p>
        </w:tc>
        <w:tc>
          <w:tcPr>
            <w:tcW w:w="1417" w:type="dxa"/>
            <w:vAlign w:val="center"/>
          </w:tcPr>
          <w:p>
            <w:pPr>
              <w:autoSpaceDE w:val="0"/>
              <w:autoSpaceDN w:val="0"/>
              <w:adjustRightInd w:val="0"/>
              <w:jc w:val="center"/>
              <w:rPr>
                <w:rFonts w:ascii="Times New Roman" w:hAnsi="Times New Roman"/>
                <w:color w:val="000000"/>
                <w:kern w:val="0"/>
                <w:sz w:val="24"/>
                <w:szCs w:val="24"/>
              </w:rPr>
            </w:pPr>
            <w:r>
              <w:rPr>
                <w:rFonts w:ascii="Times New Roman" w:hAnsi="Times New Roman"/>
                <w:color w:val="000000"/>
                <w:kern w:val="0"/>
                <w:sz w:val="24"/>
                <w:szCs w:val="24"/>
              </w:rPr>
              <w:t>0.5043</w:t>
            </w:r>
          </w:p>
        </w:tc>
        <w:tc>
          <w:tcPr>
            <w:tcW w:w="1985" w:type="dxa"/>
            <w:vAlign w:val="center"/>
          </w:tcPr>
          <w:p>
            <w:pPr>
              <w:autoSpaceDE w:val="0"/>
              <w:autoSpaceDN w:val="0"/>
              <w:adjustRightInd w:val="0"/>
              <w:jc w:val="center"/>
              <w:rPr>
                <w:rFonts w:ascii="Times New Roman" w:hAnsi="Times New Roman"/>
                <w:color w:val="000000"/>
                <w:kern w:val="0"/>
                <w:sz w:val="24"/>
                <w:szCs w:val="24"/>
              </w:rPr>
            </w:pPr>
            <w:r>
              <w:rPr>
                <w:rFonts w:ascii="Times New Roman" w:hAnsi="Times New Roman"/>
                <w:color w:val="000000"/>
                <w:kern w:val="0"/>
                <w:sz w:val="24"/>
                <w:szCs w:val="24"/>
              </w:rPr>
              <w:t>322</w:t>
            </w:r>
          </w:p>
        </w:tc>
        <w:tc>
          <w:tcPr>
            <w:tcW w:w="2186" w:type="dxa"/>
            <w:vMerge w:val="restart"/>
            <w:vAlign w:val="center"/>
          </w:tcPr>
          <w:p>
            <w:pPr>
              <w:autoSpaceDE w:val="0"/>
              <w:autoSpaceDN w:val="0"/>
              <w:adjustRightInd w:val="0"/>
              <w:jc w:val="center"/>
              <w:rPr>
                <w:rFonts w:ascii="Times New Roman" w:hAnsi="Times New Roman"/>
                <w:color w:val="000000"/>
                <w:kern w:val="0"/>
                <w:sz w:val="24"/>
                <w:szCs w:val="24"/>
              </w:rPr>
            </w:pPr>
            <w:r>
              <w:rPr>
                <w:rFonts w:ascii="Times New Roman" w:hAnsi="Times New Roman"/>
                <w:color w:val="000000"/>
                <w:kern w:val="0"/>
                <w:sz w:val="24"/>
                <w:szCs w:val="24"/>
              </w:rPr>
              <w:t>659.50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74" w:hRule="atLeast"/>
        </w:trPr>
        <w:tc>
          <w:tcPr>
            <w:tcW w:w="1242" w:type="dxa"/>
            <w:vAlign w:val="center"/>
          </w:tcPr>
          <w:p>
            <w:pPr>
              <w:autoSpaceDE w:val="0"/>
              <w:autoSpaceDN w:val="0"/>
              <w:adjustRightInd w:val="0"/>
              <w:jc w:val="center"/>
              <w:rPr>
                <w:rFonts w:ascii="Times New Roman" w:hAnsi="Times New Roman"/>
                <w:color w:val="000000"/>
                <w:kern w:val="0"/>
                <w:sz w:val="24"/>
                <w:szCs w:val="24"/>
              </w:rPr>
            </w:pPr>
            <w:r>
              <w:rPr>
                <w:rFonts w:ascii="Times New Roman" w:hAnsi="Times New Roman"/>
                <w:color w:val="000000"/>
                <w:kern w:val="0"/>
                <w:sz w:val="24"/>
                <w:szCs w:val="24"/>
              </w:rPr>
              <w:t>2025</w:t>
            </w:r>
            <w:r>
              <w:rPr>
                <w:rFonts w:hint="eastAsia" w:ascii="Times New Roman" w:hAnsi="Times New Roman"/>
                <w:color w:val="000000"/>
                <w:kern w:val="0"/>
                <w:sz w:val="24"/>
                <w:szCs w:val="24"/>
              </w:rPr>
              <w:t>年</w:t>
            </w:r>
          </w:p>
        </w:tc>
        <w:tc>
          <w:tcPr>
            <w:tcW w:w="1560" w:type="dxa"/>
            <w:vAlign w:val="center"/>
          </w:tcPr>
          <w:p>
            <w:pPr>
              <w:autoSpaceDE w:val="0"/>
              <w:autoSpaceDN w:val="0"/>
              <w:adjustRightInd w:val="0"/>
              <w:jc w:val="center"/>
              <w:rPr>
                <w:rFonts w:ascii="Times New Roman" w:hAnsi="Times New Roman"/>
                <w:color w:val="000000"/>
                <w:kern w:val="0"/>
                <w:sz w:val="24"/>
                <w:szCs w:val="24"/>
              </w:rPr>
            </w:pPr>
            <w:r>
              <w:rPr>
                <w:rFonts w:ascii="Times New Roman" w:hAnsi="Times New Roman"/>
                <w:color w:val="000000"/>
                <w:kern w:val="0"/>
                <w:sz w:val="24"/>
                <w:szCs w:val="24"/>
              </w:rPr>
              <w:t>7.96</w:t>
            </w:r>
          </w:p>
        </w:tc>
        <w:tc>
          <w:tcPr>
            <w:tcW w:w="1417" w:type="dxa"/>
            <w:vAlign w:val="center"/>
          </w:tcPr>
          <w:p>
            <w:pPr>
              <w:autoSpaceDE w:val="0"/>
              <w:autoSpaceDN w:val="0"/>
              <w:adjustRightInd w:val="0"/>
              <w:jc w:val="center"/>
              <w:rPr>
                <w:rFonts w:ascii="Times New Roman" w:hAnsi="Times New Roman"/>
                <w:color w:val="000000"/>
                <w:kern w:val="0"/>
                <w:sz w:val="24"/>
                <w:szCs w:val="24"/>
              </w:rPr>
            </w:pPr>
            <w:r>
              <w:rPr>
                <w:rFonts w:ascii="Times New Roman" w:hAnsi="Times New Roman"/>
                <w:color w:val="000000"/>
                <w:kern w:val="0"/>
                <w:sz w:val="24"/>
                <w:szCs w:val="24"/>
              </w:rPr>
              <w:t>0.5160</w:t>
            </w:r>
          </w:p>
        </w:tc>
        <w:tc>
          <w:tcPr>
            <w:tcW w:w="1985" w:type="dxa"/>
            <w:vAlign w:val="center"/>
          </w:tcPr>
          <w:p>
            <w:pPr>
              <w:autoSpaceDE w:val="0"/>
              <w:autoSpaceDN w:val="0"/>
              <w:adjustRightInd w:val="0"/>
              <w:jc w:val="center"/>
              <w:rPr>
                <w:rFonts w:ascii="Times New Roman" w:hAnsi="Times New Roman"/>
                <w:color w:val="000000"/>
                <w:kern w:val="0"/>
                <w:sz w:val="24"/>
                <w:szCs w:val="24"/>
              </w:rPr>
            </w:pPr>
            <w:r>
              <w:rPr>
                <w:rFonts w:ascii="Times New Roman" w:hAnsi="Times New Roman"/>
                <w:color w:val="000000"/>
                <w:kern w:val="0"/>
                <w:sz w:val="24"/>
                <w:szCs w:val="24"/>
              </w:rPr>
              <w:t>300</w:t>
            </w:r>
          </w:p>
        </w:tc>
        <w:tc>
          <w:tcPr>
            <w:tcW w:w="2186" w:type="dxa"/>
            <w:vMerge w:val="continue"/>
            <w:vAlign w:val="center"/>
          </w:tcPr>
          <w:p>
            <w:pPr>
              <w:autoSpaceDE w:val="0"/>
              <w:autoSpaceDN w:val="0"/>
              <w:adjustRightInd w:val="0"/>
              <w:jc w:val="center"/>
              <w:rPr>
                <w:rFonts w:ascii="Times New Roman" w:hAnsi="Times New Roman"/>
                <w:color w:val="000000"/>
                <w:kern w:val="0"/>
                <w:sz w:val="24"/>
                <w:szCs w:val="24"/>
              </w:rPr>
            </w:pPr>
          </w:p>
        </w:tc>
      </w:tr>
    </w:tbl>
    <w:p>
      <w:pPr>
        <w:ind w:firstLine="560" w:firstLineChars="200"/>
        <w:rPr>
          <w:rFonts w:ascii="仿宋" w:eastAsia="仿宋" w:cs="仿宋"/>
          <w:sz w:val="28"/>
          <w:szCs w:val="28"/>
        </w:rPr>
      </w:pPr>
      <w:r>
        <w:rPr>
          <w:rFonts w:hint="eastAsia" w:ascii="Times New Roman" w:hAnsi="Times New Roman"/>
          <w:bCs/>
          <w:sz w:val="28"/>
          <w:szCs w:val="28"/>
        </w:rPr>
        <w:t>（</w:t>
      </w:r>
      <w:r>
        <w:rPr>
          <w:rFonts w:ascii="Times New Roman"/>
          <w:bCs/>
          <w:sz w:val="28"/>
          <w:szCs w:val="28"/>
        </w:rPr>
        <w:t>2</w:t>
      </w:r>
      <w:r>
        <w:rPr>
          <w:rFonts w:hint="eastAsia" w:ascii="Times New Roman" w:hAnsi="Times New Roman"/>
          <w:bCs/>
          <w:sz w:val="28"/>
          <w:szCs w:val="28"/>
        </w:rPr>
        <w:t>）</w:t>
      </w:r>
      <w:r>
        <w:rPr>
          <w:rFonts w:hint="eastAsia" w:ascii="仿宋" w:hAnsi="仿宋" w:cs="仿宋"/>
          <w:sz w:val="28"/>
          <w:szCs w:val="28"/>
        </w:rPr>
        <w:t>工业节水潜力</w:t>
      </w:r>
    </w:p>
    <w:p>
      <w:pPr>
        <w:spacing w:line="680" w:lineRule="exact"/>
        <w:ind w:firstLine="560" w:firstLineChars="200"/>
        <w:rPr>
          <w:rFonts w:ascii="Times New Roman" w:hAnsi="Times New Roman"/>
          <w:kern w:val="0"/>
          <w:sz w:val="28"/>
          <w:szCs w:val="28"/>
        </w:rPr>
      </w:pPr>
      <w:r>
        <w:rPr>
          <w:rFonts w:hint="eastAsia" w:ascii="Times New Roman" w:hAnsi="Times New Roman"/>
          <w:kern w:val="0"/>
          <w:sz w:val="28"/>
          <w:szCs w:val="28"/>
        </w:rPr>
        <w:t>通过调整产业结构、工艺设备改造更新可以有效的提高工业用水重复利用率、减少单位工业增加值用水量和管网漏损率，具有很大的节水潜力。根据《重庆市水资源公报（</w:t>
      </w:r>
      <w:r>
        <w:rPr>
          <w:rFonts w:ascii="Times New Roman" w:hAnsi="Times New Roman"/>
          <w:kern w:val="0"/>
          <w:sz w:val="28"/>
          <w:szCs w:val="28"/>
        </w:rPr>
        <w:t>2020</w:t>
      </w:r>
      <w:r>
        <w:rPr>
          <w:rFonts w:hint="eastAsia" w:ascii="Times New Roman" w:hAnsi="Times New Roman"/>
          <w:kern w:val="0"/>
          <w:sz w:val="28"/>
          <w:szCs w:val="28"/>
        </w:rPr>
        <w:t>年）》和《</w:t>
      </w:r>
      <w:r>
        <w:rPr>
          <w:rFonts w:ascii="Times New Roman" w:hAnsi="Times New Roman"/>
          <w:kern w:val="0"/>
          <w:sz w:val="28"/>
          <w:szCs w:val="28"/>
        </w:rPr>
        <w:t>2020</w:t>
      </w:r>
      <w:r>
        <w:rPr>
          <w:rFonts w:hint="eastAsia" w:ascii="Times New Roman" w:hAnsi="Times New Roman"/>
          <w:kern w:val="0"/>
          <w:sz w:val="28"/>
          <w:szCs w:val="28"/>
        </w:rPr>
        <w:t>年重庆市渝北区国民经济和社会发展统计公报》，现状年全区工业增加值</w:t>
      </w:r>
      <w:r>
        <w:rPr>
          <w:rFonts w:ascii="Times New Roman" w:hAnsi="Times New Roman"/>
          <w:kern w:val="0"/>
          <w:sz w:val="28"/>
          <w:szCs w:val="28"/>
        </w:rPr>
        <w:t>538.42</w:t>
      </w:r>
      <w:r>
        <w:rPr>
          <w:rFonts w:hint="eastAsia" w:ascii="Times New Roman" w:hAnsi="Times New Roman"/>
          <w:kern w:val="0"/>
          <w:sz w:val="28"/>
          <w:szCs w:val="28"/>
        </w:rPr>
        <w:t>亿元，万元工业增加值用水量为</w:t>
      </w:r>
      <w:r>
        <w:rPr>
          <w:rFonts w:ascii="Times New Roman" w:hAnsi="Times New Roman"/>
          <w:kern w:val="0"/>
          <w:sz w:val="28"/>
          <w:szCs w:val="28"/>
        </w:rPr>
        <w:t>12m</w:t>
      </w:r>
      <w:r>
        <w:rPr>
          <w:rFonts w:ascii="Times New Roman" w:hAnsi="Times New Roman"/>
          <w:kern w:val="0"/>
          <w:sz w:val="28"/>
          <w:szCs w:val="28"/>
          <w:vertAlign w:val="superscript"/>
        </w:rPr>
        <w:t>3</w:t>
      </w:r>
      <w:r>
        <w:rPr>
          <w:rFonts w:ascii="Times New Roman" w:hAnsi="Times New Roman"/>
          <w:kern w:val="0"/>
          <w:sz w:val="28"/>
          <w:szCs w:val="28"/>
        </w:rPr>
        <w:t>/</w:t>
      </w:r>
      <w:r>
        <w:rPr>
          <w:rFonts w:hint="eastAsia" w:ascii="Times New Roman" w:hAnsi="Times New Roman"/>
          <w:kern w:val="0"/>
          <w:sz w:val="28"/>
          <w:szCs w:val="28"/>
        </w:rPr>
        <w:t>万元。从下图可以看出，从</w:t>
      </w:r>
      <w:r>
        <w:rPr>
          <w:rFonts w:ascii="Times New Roman" w:hAnsi="Times New Roman"/>
          <w:kern w:val="0"/>
          <w:sz w:val="28"/>
          <w:szCs w:val="28"/>
        </w:rPr>
        <w:t>2015-2020</w:t>
      </w:r>
      <w:r>
        <w:rPr>
          <w:rFonts w:hint="eastAsia" w:ascii="Times New Roman" w:hAnsi="Times New Roman"/>
          <w:kern w:val="0"/>
          <w:sz w:val="28"/>
          <w:szCs w:val="28"/>
        </w:rPr>
        <w:t>年，渝北区万元工业增加值波动较大，随着产业结构升级，以及全球疫情的逐步好转，经济复苏的影响，“十四五”期间渝北区工业增加值将呈上升趋势。按</w:t>
      </w:r>
      <w:r>
        <w:rPr>
          <w:rFonts w:ascii="Times New Roman" w:hAnsi="Times New Roman"/>
          <w:kern w:val="0"/>
          <w:sz w:val="28"/>
          <w:szCs w:val="28"/>
        </w:rPr>
        <w:t>5%</w:t>
      </w:r>
      <w:r>
        <w:rPr>
          <w:rFonts w:hint="eastAsia" w:ascii="Times New Roman" w:hAnsi="Times New Roman"/>
          <w:kern w:val="0"/>
          <w:sz w:val="28"/>
          <w:szCs w:val="28"/>
        </w:rPr>
        <w:t>平均增速，预计到</w:t>
      </w:r>
      <w:r>
        <w:rPr>
          <w:rFonts w:ascii="Times New Roman" w:hAnsi="Times New Roman"/>
          <w:kern w:val="0"/>
          <w:sz w:val="28"/>
          <w:szCs w:val="28"/>
        </w:rPr>
        <w:t>2025</w:t>
      </w:r>
      <w:r>
        <w:rPr>
          <w:rFonts w:hint="eastAsia" w:ascii="Times New Roman" w:hAnsi="Times New Roman"/>
          <w:kern w:val="0"/>
          <w:sz w:val="28"/>
          <w:szCs w:val="28"/>
        </w:rPr>
        <w:t>年，渝北区工业增加值将达到</w:t>
      </w:r>
      <w:r>
        <w:rPr>
          <w:rFonts w:ascii="Times New Roman" w:hAnsi="Times New Roman"/>
          <w:kern w:val="0"/>
          <w:sz w:val="28"/>
          <w:szCs w:val="28"/>
        </w:rPr>
        <w:t>687.18</w:t>
      </w:r>
      <w:r>
        <w:rPr>
          <w:rFonts w:hint="eastAsia" w:ascii="Times New Roman" w:hAnsi="Times New Roman"/>
          <w:kern w:val="0"/>
          <w:sz w:val="28"/>
          <w:szCs w:val="28"/>
        </w:rPr>
        <w:t>亿元。</w:t>
      </w:r>
    </w:p>
    <w:p>
      <w:pPr>
        <w:ind w:firstLine="420" w:firstLineChars="200"/>
        <w:rPr>
          <w:rFonts w:ascii="Times New Roman" w:hAnsi="Times New Roman"/>
          <w:kern w:val="0"/>
          <w:sz w:val="28"/>
          <w:szCs w:val="28"/>
        </w:rPr>
      </w:pPr>
      <w:r>
        <w:object>
          <v:shape id="_x0000_i1026" o:spt="75" type="#_x0000_t75" style="height:216.6pt;width:361.2pt;" o:ole="t" filled="f" o:preferrelative="t" stroked="f" coordsize="21600,21600">
            <v:path/>
            <v:fill on="f" focussize="0,0"/>
            <v:stroke on="f" joinstyle="miter"/>
            <v:imagedata r:id="rId7" o:title=""/>
            <o:lock v:ext="edit" aspectratio="f"/>
            <w10:wrap type="none"/>
            <w10:anchorlock/>
          </v:shape>
          <o:OLEObject Type="Embed" ProgID="Excel.Chart.8" ShapeID="_x0000_i1026" DrawAspect="Content" ObjectID="_1468075725" r:id="rId6">
            <o:LockedField>false</o:LockedField>
          </o:OLEObject>
        </w:object>
      </w:r>
    </w:p>
    <w:p>
      <w:pPr>
        <w:ind w:firstLine="480" w:firstLineChars="200"/>
        <w:jc w:val="center"/>
        <w:rPr>
          <w:rFonts w:ascii="Times New Roman" w:hAnsi="Times New Roman"/>
          <w:kern w:val="0"/>
          <w:sz w:val="24"/>
          <w:szCs w:val="24"/>
        </w:rPr>
      </w:pPr>
      <w:r>
        <w:rPr>
          <w:rFonts w:hint="eastAsia" w:ascii="Times New Roman" w:hAnsi="Times New Roman"/>
          <w:kern w:val="0"/>
          <w:sz w:val="24"/>
          <w:szCs w:val="24"/>
        </w:rPr>
        <w:t>图</w:t>
      </w:r>
      <w:r>
        <w:rPr>
          <w:rFonts w:ascii="Times New Roman" w:hAnsi="Times New Roman"/>
          <w:kern w:val="0"/>
          <w:sz w:val="24"/>
          <w:szCs w:val="24"/>
        </w:rPr>
        <w:t xml:space="preserve">1-1 </w:t>
      </w:r>
      <w:r>
        <w:rPr>
          <w:rFonts w:hint="eastAsia" w:ascii="Times New Roman" w:hAnsi="Times New Roman"/>
          <w:kern w:val="0"/>
          <w:sz w:val="24"/>
          <w:szCs w:val="24"/>
        </w:rPr>
        <w:t>渝北区</w:t>
      </w:r>
      <w:r>
        <w:rPr>
          <w:rFonts w:ascii="Times New Roman" w:hAnsi="Times New Roman"/>
          <w:kern w:val="0"/>
          <w:sz w:val="24"/>
          <w:szCs w:val="24"/>
        </w:rPr>
        <w:t>2015-2020</w:t>
      </w:r>
      <w:r>
        <w:rPr>
          <w:rFonts w:hint="eastAsia" w:ascii="Times New Roman" w:hAnsi="Times New Roman"/>
          <w:kern w:val="0"/>
          <w:sz w:val="24"/>
          <w:szCs w:val="24"/>
        </w:rPr>
        <w:t>年工业增加值变化情况</w:t>
      </w:r>
    </w:p>
    <w:p>
      <w:pPr>
        <w:ind w:firstLine="480" w:firstLineChars="200"/>
        <w:jc w:val="center"/>
        <w:rPr>
          <w:rFonts w:ascii="Times New Roman" w:hAnsi="Times New Roman"/>
          <w:kern w:val="0"/>
          <w:sz w:val="24"/>
          <w:szCs w:val="24"/>
        </w:rPr>
      </w:pPr>
      <w:r>
        <w:rPr>
          <w:rFonts w:hint="eastAsia" w:ascii="Times New Roman" w:hAnsi="Times New Roman"/>
          <w:kern w:val="0"/>
          <w:sz w:val="24"/>
          <w:szCs w:val="24"/>
        </w:rPr>
        <w:t>（数据来源于</w:t>
      </w:r>
      <w:r>
        <w:rPr>
          <w:rFonts w:ascii="Times New Roman" w:hAnsi="Times New Roman"/>
          <w:kern w:val="0"/>
          <w:sz w:val="24"/>
          <w:szCs w:val="24"/>
        </w:rPr>
        <w:t>2015-2020</w:t>
      </w:r>
      <w:r>
        <w:rPr>
          <w:rFonts w:hint="eastAsia" w:ascii="Times New Roman" w:hAnsi="Times New Roman"/>
          <w:kern w:val="0"/>
          <w:sz w:val="24"/>
          <w:szCs w:val="24"/>
        </w:rPr>
        <w:t>年渝北区国民经济和社会发展统计公报）</w:t>
      </w:r>
    </w:p>
    <w:p>
      <w:pPr>
        <w:spacing w:line="680" w:lineRule="exact"/>
        <w:ind w:firstLine="560" w:firstLineChars="200"/>
        <w:rPr>
          <w:rFonts w:ascii="Times New Roman" w:hAnsi="Times New Roman"/>
          <w:kern w:val="0"/>
          <w:sz w:val="28"/>
          <w:szCs w:val="28"/>
        </w:rPr>
      </w:pPr>
      <w:r>
        <w:rPr>
          <w:rFonts w:hint="eastAsia" w:ascii="Times New Roman" w:hAnsi="Times New Roman"/>
          <w:kern w:val="0"/>
          <w:sz w:val="28"/>
          <w:szCs w:val="28"/>
        </w:rPr>
        <w:t>根据万元工业增加值用水量变化，结合渝北区实际情况，确定渝北区</w:t>
      </w:r>
      <w:r>
        <w:rPr>
          <w:rFonts w:ascii="Times New Roman" w:hAnsi="Times New Roman"/>
          <w:kern w:val="0"/>
          <w:sz w:val="28"/>
          <w:szCs w:val="28"/>
        </w:rPr>
        <w:t>2025</w:t>
      </w:r>
      <w:r>
        <w:rPr>
          <w:rFonts w:hint="eastAsia" w:ascii="Times New Roman" w:hAnsi="Times New Roman"/>
          <w:kern w:val="0"/>
          <w:sz w:val="28"/>
          <w:szCs w:val="28"/>
        </w:rPr>
        <w:t>年工业增加值取水量为</w:t>
      </w:r>
      <w:r>
        <w:rPr>
          <w:rFonts w:ascii="Times New Roman" w:hAnsi="Times New Roman"/>
          <w:kern w:val="0"/>
          <w:sz w:val="28"/>
          <w:szCs w:val="28"/>
        </w:rPr>
        <w:t>11.40</w:t>
      </w:r>
      <w:r>
        <w:rPr>
          <w:rFonts w:hint="eastAsia" w:ascii="Times New Roman" w:hAnsi="Times New Roman"/>
          <w:kern w:val="0"/>
          <w:sz w:val="28"/>
          <w:szCs w:val="28"/>
        </w:rPr>
        <w:t>立方米</w:t>
      </w:r>
      <w:r>
        <w:rPr>
          <w:rFonts w:ascii="Times New Roman" w:hAnsi="Times New Roman"/>
          <w:kern w:val="0"/>
          <w:sz w:val="28"/>
          <w:szCs w:val="28"/>
        </w:rPr>
        <w:t>/</w:t>
      </w:r>
      <w:r>
        <w:rPr>
          <w:rFonts w:hint="eastAsia" w:ascii="Times New Roman" w:hAnsi="Times New Roman"/>
          <w:kern w:val="0"/>
          <w:sz w:val="28"/>
          <w:szCs w:val="28"/>
        </w:rPr>
        <w:t>万元，渝北区</w:t>
      </w:r>
      <w:r>
        <w:rPr>
          <w:rFonts w:ascii="Times New Roman" w:hAnsi="Times New Roman"/>
          <w:kern w:val="0"/>
          <w:sz w:val="28"/>
          <w:szCs w:val="28"/>
        </w:rPr>
        <w:t>“</w:t>
      </w:r>
      <w:r>
        <w:rPr>
          <w:rFonts w:hint="eastAsia" w:ascii="Times New Roman" w:hAnsi="Times New Roman"/>
          <w:kern w:val="0"/>
          <w:sz w:val="28"/>
          <w:szCs w:val="28"/>
        </w:rPr>
        <w:t>十四五</w:t>
      </w:r>
      <w:r>
        <w:rPr>
          <w:rFonts w:ascii="Times New Roman" w:hAnsi="Times New Roman"/>
          <w:kern w:val="0"/>
          <w:sz w:val="28"/>
          <w:szCs w:val="28"/>
        </w:rPr>
        <w:t>”</w:t>
      </w:r>
      <w:r>
        <w:rPr>
          <w:rFonts w:hint="eastAsia" w:ascii="Times New Roman" w:hAnsi="Times New Roman"/>
          <w:kern w:val="0"/>
          <w:sz w:val="28"/>
          <w:szCs w:val="28"/>
        </w:rPr>
        <w:t>期间工业年节水潜力</w:t>
      </w:r>
      <w:r>
        <w:rPr>
          <w:rFonts w:ascii="Times New Roman" w:hAnsi="Times New Roman"/>
          <w:kern w:val="0"/>
          <w:sz w:val="28"/>
          <w:szCs w:val="28"/>
        </w:rPr>
        <w:t>323.05</w:t>
      </w:r>
      <w:r>
        <w:rPr>
          <w:rFonts w:hint="eastAsia" w:ascii="Times New Roman" w:hAnsi="Times New Roman"/>
          <w:kern w:val="0"/>
          <w:sz w:val="28"/>
          <w:szCs w:val="28"/>
        </w:rPr>
        <w:t>万</w:t>
      </w:r>
      <w:r>
        <w:rPr>
          <w:rFonts w:ascii="Times New Roman" w:hAnsi="Times New Roman"/>
          <w:kern w:val="0"/>
          <w:sz w:val="28"/>
          <w:szCs w:val="28"/>
        </w:rPr>
        <w:t>m</w:t>
      </w:r>
      <w:r>
        <w:rPr>
          <w:rFonts w:ascii="Times New Roman" w:hAnsi="Times New Roman"/>
          <w:kern w:val="0"/>
          <w:sz w:val="28"/>
          <w:szCs w:val="28"/>
          <w:vertAlign w:val="superscript"/>
        </w:rPr>
        <w:t>3</w:t>
      </w:r>
      <w:r>
        <w:rPr>
          <w:rFonts w:hint="eastAsia" w:ascii="Times New Roman" w:hAnsi="Times New Roman"/>
          <w:kern w:val="0"/>
          <w:sz w:val="28"/>
          <w:szCs w:val="28"/>
        </w:rPr>
        <w:t>。</w:t>
      </w:r>
    </w:p>
    <w:p>
      <w:pPr>
        <w:spacing w:line="500" w:lineRule="exact"/>
        <w:ind w:firstLine="723" w:firstLineChars="300"/>
        <w:jc w:val="center"/>
        <w:rPr>
          <w:rFonts w:ascii="Times New Roman" w:hAnsi="Times New Roman"/>
          <w:b/>
          <w:sz w:val="24"/>
          <w:szCs w:val="24"/>
        </w:rPr>
      </w:pPr>
      <w:r>
        <w:rPr>
          <w:rFonts w:hint="eastAsia" w:ascii="Times New Roman" w:hAnsi="Times New Roman"/>
          <w:b/>
          <w:sz w:val="24"/>
          <w:szCs w:val="24"/>
        </w:rPr>
        <w:t>表</w:t>
      </w:r>
      <w:r>
        <w:rPr>
          <w:rFonts w:ascii="Times New Roman" w:hAnsi="Times New Roman"/>
          <w:b/>
          <w:sz w:val="24"/>
          <w:szCs w:val="24"/>
        </w:rPr>
        <w:t xml:space="preserve">1-2 </w:t>
      </w:r>
      <w:r>
        <w:rPr>
          <w:rFonts w:hint="eastAsia" w:ascii="Times New Roman" w:hAnsi="Times New Roman"/>
          <w:b/>
          <w:sz w:val="24"/>
          <w:szCs w:val="24"/>
        </w:rPr>
        <w:t>渝北区</w:t>
      </w:r>
      <w:r>
        <w:rPr>
          <w:rFonts w:ascii="Times New Roman" w:hAnsi="Times New Roman"/>
          <w:b/>
          <w:sz w:val="24"/>
          <w:szCs w:val="24"/>
        </w:rPr>
        <w:t>“</w:t>
      </w:r>
      <w:r>
        <w:rPr>
          <w:rFonts w:hint="eastAsia" w:ascii="Times New Roman" w:hAnsi="Times New Roman"/>
          <w:b/>
          <w:sz w:val="24"/>
          <w:szCs w:val="24"/>
        </w:rPr>
        <w:t>十四五</w:t>
      </w:r>
      <w:r>
        <w:rPr>
          <w:rFonts w:ascii="Times New Roman" w:hAnsi="Times New Roman"/>
          <w:b/>
          <w:sz w:val="24"/>
          <w:szCs w:val="24"/>
        </w:rPr>
        <w:t>”</w:t>
      </w:r>
      <w:r>
        <w:rPr>
          <w:rFonts w:hint="eastAsia" w:ascii="Times New Roman" w:hAnsi="Times New Roman"/>
          <w:b/>
          <w:sz w:val="24"/>
          <w:szCs w:val="24"/>
        </w:rPr>
        <w:t>工业年节水潜力计算成果表</w:t>
      </w:r>
    </w:p>
    <w:tbl>
      <w:tblPr>
        <w:tblStyle w:val="21"/>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384"/>
        <w:gridCol w:w="2268"/>
        <w:gridCol w:w="2410"/>
        <w:gridCol w:w="199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7" w:hRule="atLeast"/>
        </w:trPr>
        <w:tc>
          <w:tcPr>
            <w:tcW w:w="1384" w:type="dxa"/>
            <w:vAlign w:val="center"/>
          </w:tcPr>
          <w:p>
            <w:pPr>
              <w:autoSpaceDE w:val="0"/>
              <w:autoSpaceDN w:val="0"/>
              <w:adjustRightInd w:val="0"/>
              <w:spacing w:line="500" w:lineRule="exact"/>
              <w:jc w:val="center"/>
              <w:rPr>
                <w:rFonts w:ascii="Times New Roman" w:hAnsi="Times New Roman"/>
                <w:b/>
                <w:color w:val="000000"/>
                <w:kern w:val="0"/>
                <w:sz w:val="24"/>
                <w:szCs w:val="24"/>
              </w:rPr>
            </w:pPr>
            <w:r>
              <w:rPr>
                <w:rFonts w:hint="eastAsia" w:ascii="Times New Roman" w:hAnsi="Times New Roman"/>
                <w:b/>
                <w:color w:val="000000"/>
                <w:kern w:val="0"/>
                <w:sz w:val="24"/>
                <w:szCs w:val="24"/>
              </w:rPr>
              <w:t>水平年</w:t>
            </w:r>
          </w:p>
        </w:tc>
        <w:tc>
          <w:tcPr>
            <w:tcW w:w="2268" w:type="dxa"/>
            <w:vAlign w:val="center"/>
          </w:tcPr>
          <w:p>
            <w:pPr>
              <w:autoSpaceDE w:val="0"/>
              <w:autoSpaceDN w:val="0"/>
              <w:adjustRightInd w:val="0"/>
              <w:spacing w:line="500" w:lineRule="exact"/>
              <w:jc w:val="center"/>
              <w:rPr>
                <w:rFonts w:ascii="Times New Roman" w:hAnsi="Times New Roman"/>
                <w:b/>
                <w:color w:val="000000"/>
                <w:kern w:val="0"/>
                <w:sz w:val="24"/>
                <w:szCs w:val="24"/>
              </w:rPr>
            </w:pPr>
            <w:r>
              <w:rPr>
                <w:rFonts w:hint="eastAsia" w:ascii="Times New Roman" w:hAnsi="Times New Roman"/>
                <w:b/>
                <w:color w:val="000000"/>
                <w:kern w:val="0"/>
                <w:sz w:val="24"/>
                <w:szCs w:val="24"/>
              </w:rPr>
              <w:t>工业增加值（亿元）</w:t>
            </w:r>
          </w:p>
        </w:tc>
        <w:tc>
          <w:tcPr>
            <w:tcW w:w="2410" w:type="dxa"/>
            <w:vAlign w:val="center"/>
          </w:tcPr>
          <w:p>
            <w:pPr>
              <w:autoSpaceDE w:val="0"/>
              <w:autoSpaceDN w:val="0"/>
              <w:adjustRightInd w:val="0"/>
              <w:spacing w:line="500" w:lineRule="exact"/>
              <w:jc w:val="center"/>
              <w:rPr>
                <w:rFonts w:ascii="Times New Roman" w:hAnsi="Times New Roman"/>
                <w:b/>
                <w:color w:val="000000"/>
                <w:kern w:val="0"/>
                <w:sz w:val="24"/>
                <w:szCs w:val="24"/>
              </w:rPr>
            </w:pPr>
            <w:r>
              <w:rPr>
                <w:rFonts w:hint="eastAsia" w:ascii="Times New Roman" w:hAnsi="Times New Roman"/>
                <w:b/>
                <w:color w:val="000000"/>
                <w:kern w:val="0"/>
                <w:sz w:val="24"/>
                <w:szCs w:val="24"/>
              </w:rPr>
              <w:t>万元增加值用水量（</w:t>
            </w:r>
            <w:r>
              <w:rPr>
                <w:rFonts w:ascii="Times New Roman" w:hAnsi="Times New Roman"/>
                <w:b/>
                <w:color w:val="000000"/>
                <w:kern w:val="0"/>
                <w:sz w:val="24"/>
                <w:szCs w:val="24"/>
              </w:rPr>
              <w:t>m</w:t>
            </w:r>
            <w:r>
              <w:rPr>
                <w:rFonts w:ascii="Times New Roman" w:hAnsi="Times New Roman"/>
                <w:b/>
                <w:color w:val="000000"/>
                <w:kern w:val="0"/>
                <w:sz w:val="24"/>
                <w:szCs w:val="24"/>
                <w:vertAlign w:val="superscript"/>
              </w:rPr>
              <w:t>3</w:t>
            </w:r>
            <w:r>
              <w:rPr>
                <w:rFonts w:ascii="Times New Roman" w:hAnsi="Times New Roman"/>
                <w:b/>
                <w:color w:val="000000"/>
                <w:kern w:val="0"/>
                <w:sz w:val="24"/>
                <w:szCs w:val="24"/>
              </w:rPr>
              <w:t>/</w:t>
            </w:r>
            <w:r>
              <w:rPr>
                <w:rFonts w:hint="eastAsia" w:ascii="Times New Roman" w:hAnsi="Times New Roman"/>
                <w:b/>
                <w:color w:val="000000"/>
                <w:kern w:val="0"/>
                <w:sz w:val="24"/>
                <w:szCs w:val="24"/>
              </w:rPr>
              <w:t>万元）</w:t>
            </w:r>
          </w:p>
        </w:tc>
        <w:tc>
          <w:tcPr>
            <w:tcW w:w="1994" w:type="dxa"/>
            <w:vAlign w:val="center"/>
          </w:tcPr>
          <w:p>
            <w:pPr>
              <w:autoSpaceDE w:val="0"/>
              <w:autoSpaceDN w:val="0"/>
              <w:adjustRightInd w:val="0"/>
              <w:spacing w:line="500" w:lineRule="exact"/>
              <w:jc w:val="center"/>
              <w:rPr>
                <w:rFonts w:ascii="Times New Roman" w:hAnsi="Times New Roman"/>
                <w:b/>
                <w:color w:val="000000"/>
                <w:kern w:val="0"/>
                <w:sz w:val="24"/>
                <w:szCs w:val="24"/>
              </w:rPr>
            </w:pPr>
            <w:r>
              <w:rPr>
                <w:rFonts w:hint="eastAsia" w:ascii="Times New Roman" w:hAnsi="Times New Roman"/>
                <w:b/>
                <w:color w:val="000000"/>
                <w:kern w:val="0"/>
                <w:sz w:val="24"/>
                <w:szCs w:val="24"/>
              </w:rPr>
              <w:t>工业年节水潜力（万</w:t>
            </w:r>
            <w:r>
              <w:rPr>
                <w:rFonts w:ascii="Times New Roman" w:hAnsi="Times New Roman"/>
                <w:b/>
                <w:color w:val="000000"/>
                <w:kern w:val="0"/>
                <w:sz w:val="24"/>
                <w:szCs w:val="24"/>
              </w:rPr>
              <w:t>m</w:t>
            </w:r>
            <w:r>
              <w:rPr>
                <w:rFonts w:ascii="Times New Roman" w:hAnsi="Times New Roman"/>
                <w:b/>
                <w:color w:val="000000"/>
                <w:kern w:val="0"/>
                <w:sz w:val="24"/>
                <w:szCs w:val="24"/>
                <w:vertAlign w:val="superscript"/>
              </w:rPr>
              <w:t>3</w:t>
            </w:r>
            <w:r>
              <w:rPr>
                <w:rFonts w:hint="eastAsia" w:ascii="Times New Roman" w:hAnsi="Times New Roman"/>
                <w:b/>
                <w:color w:val="000000"/>
                <w:kern w:val="0"/>
                <w:sz w:val="24"/>
                <w:szCs w:val="24"/>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5" w:hRule="atLeast"/>
        </w:trPr>
        <w:tc>
          <w:tcPr>
            <w:tcW w:w="1384" w:type="dxa"/>
            <w:vAlign w:val="center"/>
          </w:tcPr>
          <w:p>
            <w:pPr>
              <w:autoSpaceDE w:val="0"/>
              <w:autoSpaceDN w:val="0"/>
              <w:adjustRightInd w:val="0"/>
              <w:spacing w:line="500" w:lineRule="exact"/>
              <w:jc w:val="center"/>
              <w:rPr>
                <w:rFonts w:ascii="Times New Roman" w:hAnsi="Times New Roman"/>
                <w:color w:val="000000"/>
                <w:kern w:val="0"/>
                <w:sz w:val="24"/>
                <w:szCs w:val="24"/>
              </w:rPr>
            </w:pPr>
            <w:r>
              <w:rPr>
                <w:rFonts w:ascii="Times New Roman" w:hAnsi="Times New Roman"/>
                <w:color w:val="000000"/>
                <w:kern w:val="0"/>
                <w:sz w:val="24"/>
                <w:szCs w:val="24"/>
              </w:rPr>
              <w:t>2020</w:t>
            </w:r>
            <w:r>
              <w:rPr>
                <w:rFonts w:hint="eastAsia" w:ascii="Times New Roman" w:hAnsi="Times New Roman"/>
                <w:color w:val="000000"/>
                <w:kern w:val="0"/>
                <w:sz w:val="24"/>
                <w:szCs w:val="24"/>
              </w:rPr>
              <w:t>年</w:t>
            </w:r>
          </w:p>
        </w:tc>
        <w:tc>
          <w:tcPr>
            <w:tcW w:w="2268" w:type="dxa"/>
            <w:vAlign w:val="center"/>
          </w:tcPr>
          <w:p>
            <w:pPr>
              <w:autoSpaceDE w:val="0"/>
              <w:autoSpaceDN w:val="0"/>
              <w:adjustRightInd w:val="0"/>
              <w:spacing w:line="500" w:lineRule="exact"/>
              <w:jc w:val="center"/>
              <w:rPr>
                <w:rFonts w:ascii="Times New Roman" w:hAnsi="Times New Roman"/>
                <w:color w:val="000000"/>
                <w:kern w:val="0"/>
                <w:sz w:val="24"/>
                <w:szCs w:val="24"/>
              </w:rPr>
            </w:pPr>
            <w:r>
              <w:rPr>
                <w:rFonts w:ascii="Times New Roman" w:hAnsi="Times New Roman"/>
                <w:color w:val="000000"/>
                <w:kern w:val="0"/>
                <w:sz w:val="24"/>
                <w:szCs w:val="24"/>
              </w:rPr>
              <w:t>538.42</w:t>
            </w:r>
          </w:p>
        </w:tc>
        <w:tc>
          <w:tcPr>
            <w:tcW w:w="2410" w:type="dxa"/>
            <w:vAlign w:val="center"/>
          </w:tcPr>
          <w:p>
            <w:pPr>
              <w:autoSpaceDE w:val="0"/>
              <w:autoSpaceDN w:val="0"/>
              <w:adjustRightInd w:val="0"/>
              <w:spacing w:line="500" w:lineRule="exact"/>
              <w:jc w:val="center"/>
              <w:rPr>
                <w:rFonts w:ascii="Times New Roman" w:hAnsi="Times New Roman"/>
                <w:color w:val="000000"/>
                <w:kern w:val="0"/>
                <w:sz w:val="24"/>
                <w:szCs w:val="24"/>
              </w:rPr>
            </w:pPr>
            <w:r>
              <w:rPr>
                <w:rFonts w:ascii="Times New Roman" w:hAnsi="Times New Roman"/>
                <w:color w:val="000000"/>
                <w:kern w:val="0"/>
                <w:sz w:val="24"/>
                <w:szCs w:val="24"/>
              </w:rPr>
              <w:t>12</w:t>
            </w:r>
          </w:p>
        </w:tc>
        <w:tc>
          <w:tcPr>
            <w:tcW w:w="1994" w:type="dxa"/>
            <w:vMerge w:val="restart"/>
            <w:vAlign w:val="center"/>
          </w:tcPr>
          <w:p>
            <w:pPr>
              <w:autoSpaceDE w:val="0"/>
              <w:autoSpaceDN w:val="0"/>
              <w:adjustRightInd w:val="0"/>
              <w:spacing w:line="500" w:lineRule="exact"/>
              <w:jc w:val="center"/>
              <w:rPr>
                <w:rFonts w:ascii="Times New Roman" w:hAnsi="Times New Roman"/>
                <w:color w:val="000000"/>
                <w:kern w:val="0"/>
                <w:sz w:val="24"/>
                <w:szCs w:val="24"/>
              </w:rPr>
            </w:pPr>
            <w:r>
              <w:rPr>
                <w:rFonts w:ascii="Times New Roman" w:hAnsi="Times New Roman"/>
                <w:color w:val="000000"/>
                <w:kern w:val="0"/>
                <w:sz w:val="24"/>
                <w:szCs w:val="24"/>
              </w:rPr>
              <w:t>323.05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53" w:hRule="atLeast"/>
        </w:trPr>
        <w:tc>
          <w:tcPr>
            <w:tcW w:w="1384" w:type="dxa"/>
            <w:vAlign w:val="center"/>
          </w:tcPr>
          <w:p>
            <w:pPr>
              <w:autoSpaceDE w:val="0"/>
              <w:autoSpaceDN w:val="0"/>
              <w:adjustRightInd w:val="0"/>
              <w:spacing w:line="500" w:lineRule="exact"/>
              <w:jc w:val="center"/>
              <w:rPr>
                <w:rFonts w:ascii="Times New Roman" w:hAnsi="Times New Roman"/>
                <w:color w:val="000000"/>
                <w:kern w:val="0"/>
                <w:sz w:val="24"/>
                <w:szCs w:val="24"/>
              </w:rPr>
            </w:pPr>
            <w:r>
              <w:rPr>
                <w:rFonts w:ascii="Times New Roman" w:hAnsi="Times New Roman"/>
                <w:color w:val="000000"/>
                <w:kern w:val="0"/>
                <w:sz w:val="24"/>
                <w:szCs w:val="24"/>
              </w:rPr>
              <w:t>2025</w:t>
            </w:r>
            <w:r>
              <w:rPr>
                <w:rFonts w:hint="eastAsia" w:ascii="Times New Roman" w:hAnsi="Times New Roman"/>
                <w:color w:val="000000"/>
                <w:kern w:val="0"/>
                <w:sz w:val="24"/>
                <w:szCs w:val="24"/>
              </w:rPr>
              <w:t>年</w:t>
            </w:r>
          </w:p>
        </w:tc>
        <w:tc>
          <w:tcPr>
            <w:tcW w:w="2268" w:type="dxa"/>
            <w:vAlign w:val="center"/>
          </w:tcPr>
          <w:p>
            <w:pPr>
              <w:autoSpaceDE w:val="0"/>
              <w:autoSpaceDN w:val="0"/>
              <w:adjustRightInd w:val="0"/>
              <w:spacing w:line="500" w:lineRule="exact"/>
              <w:jc w:val="center"/>
              <w:rPr>
                <w:rFonts w:ascii="Times New Roman" w:hAnsi="Times New Roman"/>
                <w:color w:val="000000"/>
                <w:kern w:val="0"/>
                <w:sz w:val="24"/>
                <w:szCs w:val="24"/>
              </w:rPr>
            </w:pPr>
            <w:r>
              <w:rPr>
                <w:rFonts w:ascii="Times New Roman" w:hAnsi="Times New Roman"/>
                <w:color w:val="000000"/>
                <w:kern w:val="0"/>
                <w:sz w:val="24"/>
                <w:szCs w:val="24"/>
              </w:rPr>
              <w:t>687.18</w:t>
            </w:r>
          </w:p>
        </w:tc>
        <w:tc>
          <w:tcPr>
            <w:tcW w:w="2410" w:type="dxa"/>
            <w:vAlign w:val="center"/>
          </w:tcPr>
          <w:p>
            <w:pPr>
              <w:autoSpaceDE w:val="0"/>
              <w:autoSpaceDN w:val="0"/>
              <w:adjustRightInd w:val="0"/>
              <w:spacing w:line="500" w:lineRule="exact"/>
              <w:jc w:val="center"/>
              <w:rPr>
                <w:rFonts w:ascii="Times New Roman" w:hAnsi="Times New Roman"/>
                <w:color w:val="000000"/>
                <w:kern w:val="0"/>
                <w:sz w:val="24"/>
                <w:szCs w:val="24"/>
              </w:rPr>
            </w:pPr>
            <w:r>
              <w:rPr>
                <w:rFonts w:ascii="Times New Roman" w:hAnsi="Times New Roman"/>
                <w:color w:val="000000"/>
                <w:kern w:val="0"/>
                <w:sz w:val="24"/>
                <w:szCs w:val="24"/>
              </w:rPr>
              <w:t>11.4</w:t>
            </w:r>
          </w:p>
        </w:tc>
        <w:tc>
          <w:tcPr>
            <w:tcW w:w="1994" w:type="dxa"/>
            <w:vMerge w:val="continue"/>
          </w:tcPr>
          <w:p>
            <w:pPr>
              <w:autoSpaceDE w:val="0"/>
              <w:autoSpaceDN w:val="0"/>
              <w:adjustRightInd w:val="0"/>
              <w:spacing w:line="500" w:lineRule="exact"/>
              <w:jc w:val="left"/>
              <w:rPr>
                <w:rFonts w:ascii="Romantic" w:hAnsi="Romantic" w:cs="Romantic"/>
                <w:color w:val="000000"/>
                <w:kern w:val="0"/>
                <w:sz w:val="24"/>
                <w:szCs w:val="24"/>
              </w:rPr>
            </w:pPr>
          </w:p>
        </w:tc>
      </w:tr>
    </w:tbl>
    <w:p>
      <w:pPr>
        <w:spacing w:line="680" w:lineRule="exact"/>
        <w:ind w:firstLine="560" w:firstLineChars="200"/>
        <w:rPr>
          <w:rFonts w:ascii="仿宋" w:eastAsia="仿宋" w:cs="仿宋"/>
          <w:kern w:val="0"/>
          <w:sz w:val="28"/>
          <w:szCs w:val="28"/>
        </w:rPr>
      </w:pPr>
      <w:r>
        <w:rPr>
          <w:rFonts w:hint="eastAsia" w:ascii="Times New Roman" w:hAnsi="Times New Roman"/>
          <w:bCs/>
          <w:sz w:val="28"/>
          <w:szCs w:val="28"/>
        </w:rPr>
        <w:t>（</w:t>
      </w:r>
      <w:r>
        <w:rPr>
          <w:rFonts w:ascii="Times New Roman" w:hAnsi="Times New Roman"/>
          <w:bCs/>
          <w:sz w:val="28"/>
          <w:szCs w:val="28"/>
        </w:rPr>
        <w:t>3</w:t>
      </w:r>
      <w:r>
        <w:rPr>
          <w:rFonts w:hint="eastAsia" w:ascii="Times New Roman" w:hAnsi="Times New Roman"/>
          <w:bCs/>
          <w:sz w:val="28"/>
          <w:szCs w:val="28"/>
        </w:rPr>
        <w:t>）</w:t>
      </w:r>
      <w:r>
        <w:rPr>
          <w:rFonts w:hint="eastAsia" w:ascii="仿宋" w:hAnsi="仿宋" w:cs="仿宋"/>
          <w:kern w:val="0"/>
          <w:sz w:val="28"/>
          <w:szCs w:val="28"/>
        </w:rPr>
        <w:t>城镇生活节水潜力</w:t>
      </w:r>
    </w:p>
    <w:p>
      <w:pPr>
        <w:autoSpaceDE w:val="0"/>
        <w:autoSpaceDN w:val="0"/>
        <w:adjustRightInd w:val="0"/>
        <w:spacing w:line="680" w:lineRule="exact"/>
        <w:ind w:firstLine="560" w:firstLineChars="200"/>
        <w:jc w:val="left"/>
        <w:rPr>
          <w:rFonts w:ascii="Times New Roman" w:hAnsi="Times New Roman"/>
          <w:kern w:val="0"/>
          <w:sz w:val="28"/>
          <w:szCs w:val="28"/>
        </w:rPr>
      </w:pPr>
      <w:r>
        <w:rPr>
          <w:rFonts w:hint="eastAsia" w:ascii="Times New Roman" w:hAnsi="Times New Roman"/>
          <w:kern w:val="0"/>
          <w:sz w:val="28"/>
          <w:szCs w:val="28"/>
        </w:rPr>
        <w:t>管网漏损控制。通过节水工程措施如新建、改造、更新供水管网等的实施能够有效的降低管网漏损率，本规划主要根据管网漏损率的变化来分析城镇用水的节水潜力。截止</w:t>
      </w:r>
      <w:r>
        <w:rPr>
          <w:rFonts w:ascii="Times New Roman" w:hAnsi="Times New Roman"/>
          <w:kern w:val="0"/>
          <w:sz w:val="28"/>
          <w:szCs w:val="28"/>
        </w:rPr>
        <w:t xml:space="preserve">2020 </w:t>
      </w:r>
      <w:r>
        <w:rPr>
          <w:rFonts w:hint="eastAsia" w:ascii="Times New Roman" w:hAnsi="Times New Roman"/>
          <w:kern w:val="0"/>
          <w:sz w:val="28"/>
          <w:szCs w:val="28"/>
        </w:rPr>
        <w:t>年渝北区管网损失率为</w:t>
      </w:r>
      <w:r>
        <w:rPr>
          <w:rFonts w:ascii="Times New Roman" w:hAnsi="Times New Roman"/>
          <w:kern w:val="0"/>
          <w:sz w:val="28"/>
          <w:szCs w:val="28"/>
        </w:rPr>
        <w:t>9.39 %</w:t>
      </w:r>
      <w:r>
        <w:rPr>
          <w:rFonts w:hint="eastAsia" w:ascii="Times New Roman" w:hAnsi="Times New Roman"/>
          <w:kern w:val="0"/>
          <w:sz w:val="28"/>
          <w:szCs w:val="28"/>
        </w:rPr>
        <w:t>，到</w:t>
      </w:r>
      <w:r>
        <w:rPr>
          <w:rFonts w:ascii="Times New Roman" w:hAnsi="Times New Roman"/>
          <w:kern w:val="0"/>
          <w:sz w:val="28"/>
          <w:szCs w:val="28"/>
        </w:rPr>
        <w:t>2025</w:t>
      </w:r>
      <w:r>
        <w:rPr>
          <w:rFonts w:hint="eastAsia" w:ascii="Times New Roman" w:hAnsi="Times New Roman"/>
          <w:kern w:val="0"/>
          <w:sz w:val="28"/>
          <w:szCs w:val="28"/>
        </w:rPr>
        <w:t>年渝北区管网漏损率不超过</w:t>
      </w:r>
      <w:r>
        <w:rPr>
          <w:rFonts w:ascii="Times New Roman" w:hAnsi="Times New Roman"/>
          <w:kern w:val="0"/>
          <w:sz w:val="28"/>
          <w:szCs w:val="28"/>
        </w:rPr>
        <w:t>9 %</w:t>
      </w:r>
      <w:r>
        <w:rPr>
          <w:rFonts w:hint="eastAsia" w:ascii="Times New Roman" w:hAnsi="Times New Roman"/>
          <w:kern w:val="0"/>
          <w:sz w:val="28"/>
          <w:szCs w:val="28"/>
        </w:rPr>
        <w:t>，初步估算城镇管网节水潜力为</w:t>
      </w:r>
      <w:r>
        <w:rPr>
          <w:rFonts w:ascii="Times New Roman" w:hAnsi="Times New Roman"/>
          <w:kern w:val="0"/>
          <w:sz w:val="28"/>
          <w:szCs w:val="28"/>
        </w:rPr>
        <w:t>47.90</w:t>
      </w:r>
      <w:r>
        <w:rPr>
          <w:rFonts w:hint="eastAsia" w:ascii="Times New Roman" w:hAnsi="Times New Roman"/>
          <w:kern w:val="0"/>
          <w:sz w:val="28"/>
          <w:szCs w:val="28"/>
        </w:rPr>
        <w:t>万</w:t>
      </w:r>
      <w:r>
        <w:rPr>
          <w:rFonts w:ascii="Times New Roman" w:hAnsi="Times New Roman"/>
          <w:kern w:val="0"/>
          <w:sz w:val="28"/>
          <w:szCs w:val="28"/>
        </w:rPr>
        <w:t>m</w:t>
      </w:r>
      <w:r>
        <w:rPr>
          <w:rFonts w:ascii="Times New Roman" w:hAnsi="Times New Roman"/>
          <w:kern w:val="0"/>
          <w:sz w:val="28"/>
          <w:szCs w:val="28"/>
          <w:vertAlign w:val="superscript"/>
        </w:rPr>
        <w:t>3</w:t>
      </w:r>
      <w:r>
        <w:rPr>
          <w:rFonts w:hint="eastAsia" w:ascii="Times New Roman" w:hAnsi="Times New Roman"/>
          <w:kern w:val="0"/>
          <w:sz w:val="28"/>
          <w:szCs w:val="28"/>
        </w:rPr>
        <w:t>。</w:t>
      </w:r>
    </w:p>
    <w:p>
      <w:pPr>
        <w:spacing w:line="500" w:lineRule="exact"/>
        <w:ind w:firstLine="482" w:firstLineChars="200"/>
        <w:jc w:val="center"/>
        <w:rPr>
          <w:rFonts w:ascii="Times New Roman" w:hAnsi="Times New Roman"/>
          <w:b/>
          <w:bCs/>
          <w:kern w:val="0"/>
          <w:sz w:val="24"/>
          <w:szCs w:val="24"/>
        </w:rPr>
      </w:pPr>
      <w:r>
        <w:rPr>
          <w:rFonts w:hint="eastAsia" w:ascii="Times New Roman" w:hAnsi="Times New Roman"/>
          <w:b/>
          <w:bCs/>
          <w:kern w:val="0"/>
          <w:sz w:val="24"/>
          <w:szCs w:val="24"/>
        </w:rPr>
        <w:t>表</w:t>
      </w:r>
      <w:r>
        <w:rPr>
          <w:rFonts w:ascii="Times New Roman" w:hAnsi="Times New Roman"/>
          <w:b/>
          <w:bCs/>
          <w:kern w:val="0"/>
          <w:sz w:val="24"/>
          <w:szCs w:val="24"/>
        </w:rPr>
        <w:t>1-3</w:t>
      </w:r>
      <w:r>
        <w:rPr>
          <w:rFonts w:hint="eastAsia" w:ascii="Times New Roman" w:hAnsi="Times New Roman"/>
          <w:b/>
          <w:bCs/>
          <w:kern w:val="0"/>
          <w:sz w:val="24"/>
          <w:szCs w:val="24"/>
        </w:rPr>
        <w:t>管网漏损控制年节水潜力计算成果表</w:t>
      </w:r>
    </w:p>
    <w:tbl>
      <w:tblPr>
        <w:tblStyle w:val="21"/>
        <w:tblW w:w="8330" w:type="dxa"/>
        <w:tblInd w:w="0" w:type="dxa"/>
        <w:tblLayout w:type="fixed"/>
        <w:tblCellMar>
          <w:top w:w="0" w:type="dxa"/>
          <w:left w:w="108" w:type="dxa"/>
          <w:bottom w:w="0" w:type="dxa"/>
          <w:right w:w="108" w:type="dxa"/>
        </w:tblCellMar>
      </w:tblPr>
      <w:tblGrid>
        <w:gridCol w:w="1242"/>
        <w:gridCol w:w="2694"/>
        <w:gridCol w:w="1984"/>
        <w:gridCol w:w="2410"/>
      </w:tblGrid>
      <w:tr>
        <w:tblPrEx>
          <w:tblCellMar>
            <w:top w:w="0" w:type="dxa"/>
            <w:left w:w="108" w:type="dxa"/>
            <w:bottom w:w="0" w:type="dxa"/>
            <w:right w:w="108" w:type="dxa"/>
          </w:tblCellMar>
        </w:tblPrEx>
        <w:trPr>
          <w:trHeight w:val="283" w:hRule="atLeast"/>
        </w:trPr>
        <w:tc>
          <w:tcPr>
            <w:tcW w:w="1242" w:type="dxa"/>
            <w:tcBorders>
              <w:top w:val="single" w:color="auto" w:sz="4" w:space="0"/>
              <w:left w:val="single" w:color="auto" w:sz="4" w:space="0"/>
              <w:bottom w:val="single" w:color="auto" w:sz="4" w:space="0"/>
              <w:right w:val="single" w:color="auto" w:sz="4" w:space="0"/>
            </w:tcBorders>
            <w:vAlign w:val="center"/>
          </w:tcPr>
          <w:p>
            <w:pPr>
              <w:autoSpaceDE w:val="0"/>
              <w:autoSpaceDN w:val="0"/>
              <w:adjustRightInd w:val="0"/>
              <w:spacing w:line="500" w:lineRule="exact"/>
              <w:jc w:val="center"/>
              <w:rPr>
                <w:rFonts w:ascii="Times New Roman" w:hAnsi="Times New Roman"/>
                <w:b/>
                <w:color w:val="000000"/>
                <w:kern w:val="0"/>
                <w:sz w:val="23"/>
                <w:szCs w:val="23"/>
              </w:rPr>
            </w:pPr>
            <w:r>
              <w:rPr>
                <w:rFonts w:hint="eastAsia" w:ascii="Times New Roman" w:hAnsi="Times New Roman"/>
                <w:b/>
                <w:color w:val="000000"/>
                <w:kern w:val="0"/>
                <w:sz w:val="23"/>
                <w:szCs w:val="23"/>
              </w:rPr>
              <w:t>水平年</w:t>
            </w:r>
          </w:p>
        </w:tc>
        <w:tc>
          <w:tcPr>
            <w:tcW w:w="2694" w:type="dxa"/>
            <w:tcBorders>
              <w:top w:val="single" w:color="auto" w:sz="4" w:space="0"/>
              <w:left w:val="single" w:color="auto" w:sz="4" w:space="0"/>
              <w:bottom w:val="single" w:color="auto" w:sz="4" w:space="0"/>
              <w:right w:val="single" w:color="auto" w:sz="4" w:space="0"/>
            </w:tcBorders>
            <w:vAlign w:val="center"/>
          </w:tcPr>
          <w:p>
            <w:pPr>
              <w:autoSpaceDE w:val="0"/>
              <w:autoSpaceDN w:val="0"/>
              <w:adjustRightInd w:val="0"/>
              <w:spacing w:line="500" w:lineRule="exact"/>
              <w:jc w:val="center"/>
              <w:rPr>
                <w:rFonts w:ascii="Times New Roman" w:hAnsi="Times New Roman"/>
                <w:b/>
                <w:color w:val="000000"/>
                <w:kern w:val="0"/>
                <w:sz w:val="23"/>
                <w:szCs w:val="23"/>
              </w:rPr>
            </w:pPr>
            <w:r>
              <w:rPr>
                <w:rFonts w:hint="eastAsia" w:ascii="Times New Roman" w:hAnsi="Times New Roman"/>
                <w:b/>
                <w:color w:val="000000"/>
                <w:kern w:val="0"/>
                <w:sz w:val="23"/>
                <w:szCs w:val="23"/>
              </w:rPr>
              <w:t>综合用水量（万</w:t>
            </w:r>
            <w:r>
              <w:rPr>
                <w:rFonts w:ascii="Times New Roman" w:hAnsi="Times New Roman"/>
                <w:b/>
                <w:color w:val="000000"/>
                <w:kern w:val="0"/>
                <w:sz w:val="23"/>
                <w:szCs w:val="23"/>
              </w:rPr>
              <w:t>m</w:t>
            </w:r>
            <w:r>
              <w:rPr>
                <w:rFonts w:ascii="Times New Roman" w:hAnsi="Times New Roman"/>
                <w:b/>
                <w:color w:val="000000"/>
                <w:kern w:val="0"/>
                <w:sz w:val="23"/>
                <w:szCs w:val="23"/>
                <w:vertAlign w:val="superscript"/>
              </w:rPr>
              <w:t>3</w:t>
            </w:r>
            <w:r>
              <w:rPr>
                <w:rFonts w:hint="eastAsia" w:ascii="Times New Roman" w:hAnsi="Times New Roman"/>
                <w:b/>
                <w:color w:val="000000"/>
                <w:kern w:val="0"/>
                <w:sz w:val="23"/>
                <w:szCs w:val="23"/>
              </w:rPr>
              <w:t>）</w:t>
            </w:r>
          </w:p>
        </w:tc>
        <w:tc>
          <w:tcPr>
            <w:tcW w:w="1984" w:type="dxa"/>
            <w:tcBorders>
              <w:top w:val="single" w:color="auto" w:sz="4" w:space="0"/>
              <w:left w:val="single" w:color="auto" w:sz="4" w:space="0"/>
              <w:bottom w:val="single" w:color="auto" w:sz="4" w:space="0"/>
              <w:right w:val="single" w:color="auto" w:sz="4" w:space="0"/>
            </w:tcBorders>
            <w:vAlign w:val="center"/>
          </w:tcPr>
          <w:p>
            <w:pPr>
              <w:autoSpaceDE w:val="0"/>
              <w:autoSpaceDN w:val="0"/>
              <w:adjustRightInd w:val="0"/>
              <w:spacing w:line="500" w:lineRule="exact"/>
              <w:jc w:val="center"/>
              <w:rPr>
                <w:rFonts w:ascii="Times New Roman" w:hAnsi="Times New Roman"/>
                <w:b/>
                <w:color w:val="000000"/>
                <w:kern w:val="0"/>
                <w:sz w:val="23"/>
                <w:szCs w:val="23"/>
              </w:rPr>
            </w:pPr>
            <w:r>
              <w:rPr>
                <w:rFonts w:hint="eastAsia" w:ascii="Times New Roman" w:hAnsi="Times New Roman"/>
                <w:b/>
                <w:color w:val="000000"/>
                <w:kern w:val="0"/>
                <w:sz w:val="23"/>
                <w:szCs w:val="23"/>
              </w:rPr>
              <w:t>管网损失率（</w:t>
            </w:r>
            <w:r>
              <w:rPr>
                <w:rFonts w:ascii="Times New Roman" w:hAnsi="Times New Roman"/>
                <w:b/>
                <w:color w:val="000000"/>
                <w:kern w:val="0"/>
                <w:sz w:val="23"/>
                <w:szCs w:val="23"/>
              </w:rPr>
              <w:t>%</w:t>
            </w:r>
            <w:r>
              <w:rPr>
                <w:rFonts w:hint="eastAsia" w:ascii="Times New Roman" w:hAnsi="Times New Roman"/>
                <w:b/>
                <w:color w:val="000000"/>
                <w:kern w:val="0"/>
                <w:sz w:val="23"/>
                <w:szCs w:val="23"/>
              </w:rPr>
              <w:t>）</w:t>
            </w:r>
          </w:p>
        </w:tc>
        <w:tc>
          <w:tcPr>
            <w:tcW w:w="2410" w:type="dxa"/>
            <w:tcBorders>
              <w:top w:val="single" w:color="auto" w:sz="4" w:space="0"/>
              <w:left w:val="single" w:color="auto" w:sz="4" w:space="0"/>
              <w:bottom w:val="single" w:color="auto" w:sz="4" w:space="0"/>
              <w:right w:val="single" w:color="auto" w:sz="4" w:space="0"/>
            </w:tcBorders>
            <w:vAlign w:val="center"/>
          </w:tcPr>
          <w:p>
            <w:pPr>
              <w:autoSpaceDE w:val="0"/>
              <w:autoSpaceDN w:val="0"/>
              <w:adjustRightInd w:val="0"/>
              <w:spacing w:line="500" w:lineRule="exact"/>
              <w:jc w:val="center"/>
              <w:rPr>
                <w:rFonts w:ascii="Times New Roman" w:hAnsi="Times New Roman"/>
                <w:b/>
                <w:color w:val="000000"/>
                <w:kern w:val="0"/>
                <w:sz w:val="22"/>
              </w:rPr>
            </w:pPr>
            <w:r>
              <w:rPr>
                <w:rFonts w:hint="eastAsia" w:ascii="Times New Roman" w:hAnsi="Times New Roman"/>
                <w:b/>
                <w:color w:val="000000"/>
                <w:kern w:val="0"/>
                <w:sz w:val="22"/>
              </w:rPr>
              <w:t>城镇供水管网节水潜力（</w:t>
            </w:r>
            <w:r>
              <w:rPr>
                <w:rFonts w:hint="eastAsia" w:ascii="Times New Roman" w:hAnsi="Times New Roman"/>
                <w:b/>
                <w:color w:val="000000"/>
                <w:kern w:val="0"/>
                <w:sz w:val="23"/>
                <w:szCs w:val="23"/>
              </w:rPr>
              <w:t>万</w:t>
            </w:r>
            <w:r>
              <w:rPr>
                <w:rFonts w:ascii="Times New Roman" w:hAnsi="Times New Roman"/>
                <w:b/>
                <w:color w:val="000000"/>
                <w:kern w:val="0"/>
                <w:sz w:val="23"/>
                <w:szCs w:val="23"/>
              </w:rPr>
              <w:t>m</w:t>
            </w:r>
            <w:r>
              <w:rPr>
                <w:rFonts w:ascii="Times New Roman" w:hAnsi="Times New Roman"/>
                <w:b/>
                <w:color w:val="000000"/>
                <w:kern w:val="0"/>
                <w:sz w:val="23"/>
                <w:szCs w:val="23"/>
                <w:vertAlign w:val="superscript"/>
              </w:rPr>
              <w:t>3</w:t>
            </w:r>
            <w:r>
              <w:rPr>
                <w:rFonts w:hint="eastAsia" w:ascii="Times New Roman" w:hAnsi="Times New Roman"/>
                <w:b/>
                <w:color w:val="000000"/>
                <w:kern w:val="0"/>
                <w:sz w:val="23"/>
                <w:szCs w:val="23"/>
              </w:rPr>
              <w:t>）</w:t>
            </w:r>
          </w:p>
        </w:tc>
      </w:tr>
      <w:tr>
        <w:tblPrEx>
          <w:tblCellMar>
            <w:top w:w="0" w:type="dxa"/>
            <w:left w:w="108" w:type="dxa"/>
            <w:bottom w:w="0" w:type="dxa"/>
            <w:right w:w="108" w:type="dxa"/>
          </w:tblCellMar>
        </w:tblPrEx>
        <w:trPr>
          <w:trHeight w:val="502" w:hRule="atLeast"/>
        </w:trPr>
        <w:tc>
          <w:tcPr>
            <w:tcW w:w="1242" w:type="dxa"/>
            <w:tcBorders>
              <w:top w:val="single" w:color="auto" w:sz="4" w:space="0"/>
              <w:left w:val="single" w:color="auto" w:sz="4" w:space="0"/>
              <w:bottom w:val="single" w:color="auto" w:sz="4" w:space="0"/>
              <w:right w:val="single" w:color="auto" w:sz="4" w:space="0"/>
            </w:tcBorders>
            <w:vAlign w:val="center"/>
          </w:tcPr>
          <w:p>
            <w:pPr>
              <w:autoSpaceDE w:val="0"/>
              <w:autoSpaceDN w:val="0"/>
              <w:adjustRightInd w:val="0"/>
              <w:spacing w:line="500" w:lineRule="exact"/>
              <w:jc w:val="center"/>
              <w:rPr>
                <w:rFonts w:ascii="Times New Roman" w:hAnsi="Times New Roman"/>
                <w:color w:val="000000"/>
                <w:kern w:val="0"/>
                <w:sz w:val="23"/>
                <w:szCs w:val="23"/>
              </w:rPr>
            </w:pPr>
            <w:r>
              <w:rPr>
                <w:rFonts w:ascii="Times New Roman" w:hAnsi="Times New Roman"/>
                <w:color w:val="000000"/>
                <w:kern w:val="0"/>
                <w:sz w:val="23"/>
                <w:szCs w:val="23"/>
              </w:rPr>
              <w:t>2020</w:t>
            </w:r>
            <w:r>
              <w:rPr>
                <w:rFonts w:hint="eastAsia" w:ascii="Times New Roman" w:hAnsi="Times New Roman"/>
                <w:color w:val="000000"/>
                <w:kern w:val="0"/>
                <w:sz w:val="23"/>
                <w:szCs w:val="23"/>
              </w:rPr>
              <w:t>年</w:t>
            </w:r>
          </w:p>
        </w:tc>
        <w:tc>
          <w:tcPr>
            <w:tcW w:w="2694" w:type="dxa"/>
            <w:tcBorders>
              <w:top w:val="single" w:color="auto" w:sz="4" w:space="0"/>
              <w:left w:val="single" w:color="auto" w:sz="4" w:space="0"/>
              <w:bottom w:val="single" w:color="auto" w:sz="4" w:space="0"/>
              <w:right w:val="single" w:color="auto" w:sz="4" w:space="0"/>
            </w:tcBorders>
            <w:vAlign w:val="center"/>
          </w:tcPr>
          <w:p>
            <w:pPr>
              <w:autoSpaceDE w:val="0"/>
              <w:autoSpaceDN w:val="0"/>
              <w:adjustRightInd w:val="0"/>
              <w:spacing w:line="500" w:lineRule="exact"/>
              <w:jc w:val="center"/>
              <w:rPr>
                <w:rFonts w:ascii="Times New Roman" w:hAnsi="Times New Roman"/>
                <w:color w:val="000000"/>
                <w:kern w:val="0"/>
                <w:sz w:val="23"/>
                <w:szCs w:val="23"/>
              </w:rPr>
            </w:pPr>
            <w:r>
              <w:rPr>
                <w:rFonts w:ascii="Times New Roman" w:hAnsi="Times New Roman"/>
                <w:color w:val="000000"/>
                <w:kern w:val="0"/>
                <w:sz w:val="23"/>
                <w:szCs w:val="23"/>
              </w:rPr>
              <w:t>11178</w:t>
            </w:r>
          </w:p>
        </w:tc>
        <w:tc>
          <w:tcPr>
            <w:tcW w:w="1984" w:type="dxa"/>
            <w:tcBorders>
              <w:top w:val="single" w:color="auto" w:sz="4" w:space="0"/>
              <w:left w:val="single" w:color="auto" w:sz="4" w:space="0"/>
              <w:bottom w:val="single" w:color="auto" w:sz="4" w:space="0"/>
              <w:right w:val="single" w:color="auto" w:sz="4" w:space="0"/>
            </w:tcBorders>
            <w:vAlign w:val="center"/>
          </w:tcPr>
          <w:p>
            <w:pPr>
              <w:autoSpaceDE w:val="0"/>
              <w:autoSpaceDN w:val="0"/>
              <w:adjustRightInd w:val="0"/>
              <w:spacing w:line="500" w:lineRule="exact"/>
              <w:jc w:val="center"/>
              <w:rPr>
                <w:rFonts w:ascii="Times New Roman" w:hAnsi="Times New Roman"/>
                <w:color w:val="000000"/>
                <w:kern w:val="0"/>
                <w:sz w:val="23"/>
                <w:szCs w:val="23"/>
              </w:rPr>
            </w:pPr>
            <w:r>
              <w:rPr>
                <w:rFonts w:ascii="Times New Roman" w:hAnsi="Times New Roman"/>
                <w:color w:val="000000"/>
                <w:kern w:val="0"/>
                <w:sz w:val="23"/>
                <w:szCs w:val="23"/>
              </w:rPr>
              <w:t>9.39</w:t>
            </w:r>
          </w:p>
        </w:tc>
        <w:tc>
          <w:tcPr>
            <w:tcW w:w="2410" w:type="dxa"/>
            <w:vMerge w:val="restart"/>
            <w:tcBorders>
              <w:top w:val="single" w:color="auto" w:sz="4" w:space="0"/>
              <w:left w:val="single" w:color="auto" w:sz="4" w:space="0"/>
              <w:right w:val="single" w:color="auto" w:sz="4" w:space="0"/>
            </w:tcBorders>
            <w:vAlign w:val="center"/>
          </w:tcPr>
          <w:p>
            <w:pPr>
              <w:autoSpaceDE w:val="0"/>
              <w:autoSpaceDN w:val="0"/>
              <w:adjustRightInd w:val="0"/>
              <w:spacing w:line="500" w:lineRule="exact"/>
              <w:jc w:val="center"/>
              <w:rPr>
                <w:rFonts w:ascii="Times New Roman" w:hAnsi="Times New Roman"/>
                <w:color w:val="000000"/>
                <w:kern w:val="0"/>
                <w:sz w:val="23"/>
                <w:szCs w:val="23"/>
              </w:rPr>
            </w:pPr>
            <w:r>
              <w:rPr>
                <w:rFonts w:ascii="Times New Roman" w:hAnsi="Times New Roman"/>
                <w:kern w:val="0"/>
                <w:sz w:val="23"/>
                <w:szCs w:val="23"/>
              </w:rPr>
              <w:t>47.90</w:t>
            </w:r>
          </w:p>
        </w:tc>
      </w:tr>
      <w:tr>
        <w:tblPrEx>
          <w:tblCellMar>
            <w:top w:w="0" w:type="dxa"/>
            <w:left w:w="108" w:type="dxa"/>
            <w:bottom w:w="0" w:type="dxa"/>
            <w:right w:w="108" w:type="dxa"/>
          </w:tblCellMar>
        </w:tblPrEx>
        <w:trPr>
          <w:trHeight w:val="410" w:hRule="atLeast"/>
        </w:trPr>
        <w:tc>
          <w:tcPr>
            <w:tcW w:w="1242" w:type="dxa"/>
            <w:tcBorders>
              <w:top w:val="single" w:color="auto" w:sz="4" w:space="0"/>
              <w:left w:val="single" w:color="auto" w:sz="4" w:space="0"/>
              <w:bottom w:val="single" w:color="auto" w:sz="4" w:space="0"/>
              <w:right w:val="single" w:color="auto" w:sz="4" w:space="0"/>
            </w:tcBorders>
            <w:vAlign w:val="center"/>
          </w:tcPr>
          <w:p>
            <w:pPr>
              <w:autoSpaceDE w:val="0"/>
              <w:autoSpaceDN w:val="0"/>
              <w:adjustRightInd w:val="0"/>
              <w:spacing w:line="500" w:lineRule="exact"/>
              <w:jc w:val="center"/>
              <w:rPr>
                <w:rFonts w:ascii="Times New Roman" w:hAnsi="Times New Roman"/>
                <w:color w:val="000000"/>
                <w:kern w:val="0"/>
                <w:sz w:val="23"/>
                <w:szCs w:val="23"/>
              </w:rPr>
            </w:pPr>
            <w:r>
              <w:rPr>
                <w:rFonts w:ascii="Times New Roman" w:hAnsi="Times New Roman"/>
                <w:color w:val="000000"/>
                <w:kern w:val="0"/>
                <w:sz w:val="23"/>
                <w:szCs w:val="23"/>
              </w:rPr>
              <w:t>2025</w:t>
            </w:r>
            <w:r>
              <w:rPr>
                <w:rFonts w:hint="eastAsia" w:ascii="Times New Roman" w:hAnsi="Times New Roman"/>
                <w:color w:val="000000"/>
                <w:kern w:val="0"/>
                <w:sz w:val="23"/>
                <w:szCs w:val="23"/>
              </w:rPr>
              <w:t>年</w:t>
            </w:r>
          </w:p>
        </w:tc>
        <w:tc>
          <w:tcPr>
            <w:tcW w:w="2694" w:type="dxa"/>
            <w:tcBorders>
              <w:top w:val="single" w:color="auto" w:sz="4" w:space="0"/>
              <w:left w:val="single" w:color="auto" w:sz="4" w:space="0"/>
              <w:bottom w:val="single" w:color="auto" w:sz="4" w:space="0"/>
              <w:right w:val="single" w:color="auto" w:sz="4" w:space="0"/>
            </w:tcBorders>
            <w:vAlign w:val="center"/>
          </w:tcPr>
          <w:p>
            <w:pPr>
              <w:autoSpaceDE w:val="0"/>
              <w:autoSpaceDN w:val="0"/>
              <w:adjustRightInd w:val="0"/>
              <w:spacing w:line="500" w:lineRule="exact"/>
              <w:jc w:val="center"/>
              <w:rPr>
                <w:rFonts w:ascii="Times New Roman" w:hAnsi="Times New Roman"/>
                <w:color w:val="000000"/>
                <w:kern w:val="0"/>
                <w:sz w:val="23"/>
                <w:szCs w:val="23"/>
              </w:rPr>
            </w:pPr>
            <w:r>
              <w:rPr>
                <w:rFonts w:ascii="Times New Roman" w:hAnsi="Times New Roman"/>
                <w:color w:val="000000"/>
                <w:kern w:val="0"/>
                <w:sz w:val="23"/>
                <w:szCs w:val="23"/>
              </w:rPr>
              <w:t>10060</w:t>
            </w:r>
          </w:p>
        </w:tc>
        <w:tc>
          <w:tcPr>
            <w:tcW w:w="1984" w:type="dxa"/>
            <w:tcBorders>
              <w:top w:val="single" w:color="auto" w:sz="4" w:space="0"/>
              <w:left w:val="single" w:color="auto" w:sz="4" w:space="0"/>
              <w:bottom w:val="single" w:color="auto" w:sz="4" w:space="0"/>
              <w:right w:val="single" w:color="auto" w:sz="4" w:space="0"/>
            </w:tcBorders>
            <w:vAlign w:val="center"/>
          </w:tcPr>
          <w:p>
            <w:pPr>
              <w:autoSpaceDE w:val="0"/>
              <w:autoSpaceDN w:val="0"/>
              <w:adjustRightInd w:val="0"/>
              <w:spacing w:line="500" w:lineRule="exact"/>
              <w:jc w:val="center"/>
              <w:rPr>
                <w:rFonts w:ascii="Times New Roman" w:hAnsi="Times New Roman"/>
                <w:color w:val="000000"/>
                <w:kern w:val="0"/>
                <w:sz w:val="23"/>
                <w:szCs w:val="23"/>
              </w:rPr>
            </w:pPr>
            <w:r>
              <w:rPr>
                <w:rFonts w:ascii="Times New Roman" w:hAnsi="Times New Roman"/>
                <w:color w:val="000000"/>
                <w:kern w:val="0"/>
                <w:sz w:val="23"/>
                <w:szCs w:val="23"/>
              </w:rPr>
              <w:t>9</w:t>
            </w:r>
          </w:p>
        </w:tc>
        <w:tc>
          <w:tcPr>
            <w:tcW w:w="2410" w:type="dxa"/>
            <w:vMerge w:val="continue"/>
            <w:tcBorders>
              <w:left w:val="single" w:color="auto" w:sz="4" w:space="0"/>
              <w:bottom w:val="single" w:color="auto" w:sz="4" w:space="0"/>
              <w:right w:val="single" w:color="auto" w:sz="4" w:space="0"/>
            </w:tcBorders>
          </w:tcPr>
          <w:p>
            <w:pPr>
              <w:autoSpaceDE w:val="0"/>
              <w:autoSpaceDN w:val="0"/>
              <w:adjustRightInd w:val="0"/>
              <w:spacing w:line="500" w:lineRule="exact"/>
              <w:jc w:val="left"/>
              <w:rPr>
                <w:rFonts w:ascii="Romantic" w:hAnsi="Romantic" w:cs="Romantic"/>
                <w:color w:val="000000"/>
                <w:kern w:val="0"/>
                <w:sz w:val="23"/>
                <w:szCs w:val="23"/>
              </w:rPr>
            </w:pPr>
          </w:p>
        </w:tc>
      </w:tr>
    </w:tbl>
    <w:p>
      <w:pPr>
        <w:autoSpaceDE w:val="0"/>
        <w:autoSpaceDN w:val="0"/>
        <w:adjustRightInd w:val="0"/>
        <w:spacing w:line="680" w:lineRule="exact"/>
        <w:ind w:firstLine="560" w:firstLineChars="200"/>
        <w:jc w:val="left"/>
        <w:rPr>
          <w:rFonts w:ascii="Times New Roman" w:hAnsi="Times New Roman"/>
          <w:color w:val="000000"/>
          <w:kern w:val="0"/>
          <w:sz w:val="28"/>
          <w:szCs w:val="28"/>
        </w:rPr>
      </w:pPr>
      <w:r>
        <w:rPr>
          <w:rFonts w:hint="eastAsia" w:ascii="Times New Roman" w:hAnsi="Times New Roman"/>
          <w:bCs/>
          <w:color w:val="000000"/>
          <w:kern w:val="0"/>
          <w:sz w:val="28"/>
          <w:szCs w:val="28"/>
        </w:rPr>
        <w:t>再生水回用。根</w:t>
      </w:r>
      <w:r>
        <w:rPr>
          <w:rFonts w:hint="eastAsia" w:ascii="Times New Roman" w:hAnsi="Times New Roman"/>
          <w:color w:val="000000"/>
          <w:kern w:val="0"/>
          <w:sz w:val="28"/>
          <w:szCs w:val="28"/>
        </w:rPr>
        <w:t>据《重庆渝北统计年鉴</w:t>
      </w:r>
      <w:r>
        <w:rPr>
          <w:rFonts w:hint="eastAsia" w:ascii="Times New Roman" w:hAnsi="Times New Roman"/>
          <w:sz w:val="28"/>
          <w:szCs w:val="28"/>
        </w:rPr>
        <w:t>（</w:t>
      </w:r>
      <w:r>
        <w:rPr>
          <w:rFonts w:ascii="Times New Roman" w:hAnsi="Times New Roman"/>
          <w:sz w:val="28"/>
          <w:szCs w:val="28"/>
        </w:rPr>
        <w:t>2021</w:t>
      </w:r>
      <w:r>
        <w:rPr>
          <w:rFonts w:hint="eastAsia" w:ascii="Times New Roman" w:hAnsi="Times New Roman"/>
          <w:sz w:val="28"/>
          <w:szCs w:val="28"/>
        </w:rPr>
        <w:t>年）</w:t>
      </w:r>
      <w:r>
        <w:rPr>
          <w:rFonts w:hint="eastAsia" w:ascii="Times New Roman" w:hAnsi="Times New Roman"/>
          <w:color w:val="000000"/>
          <w:kern w:val="0"/>
          <w:sz w:val="28"/>
          <w:szCs w:val="28"/>
        </w:rPr>
        <w:t>》，</w:t>
      </w:r>
      <w:r>
        <w:rPr>
          <w:rFonts w:ascii="Times New Roman" w:hAnsi="Times New Roman"/>
          <w:color w:val="000000"/>
          <w:kern w:val="0"/>
          <w:sz w:val="28"/>
          <w:szCs w:val="28"/>
        </w:rPr>
        <w:t>2019</w:t>
      </w:r>
      <w:r>
        <w:rPr>
          <w:rFonts w:hint="eastAsia" w:ascii="Times New Roman" w:hAnsi="Times New Roman"/>
          <w:color w:val="000000"/>
          <w:kern w:val="0"/>
          <w:sz w:val="28"/>
          <w:szCs w:val="28"/>
        </w:rPr>
        <w:t>年渝北区</w:t>
      </w:r>
      <w:r>
        <w:rPr>
          <w:rFonts w:hint="eastAsia" w:ascii="Times New Roman" w:hAnsi="Times New Roman"/>
          <w:bCs/>
          <w:sz w:val="28"/>
          <w:szCs w:val="28"/>
        </w:rPr>
        <w:t>城区污水处理厂污水处理量为</w:t>
      </w:r>
      <w:r>
        <w:rPr>
          <w:rFonts w:ascii="Times New Roman" w:hAnsi="Times New Roman"/>
          <w:bCs/>
          <w:sz w:val="28"/>
          <w:szCs w:val="28"/>
        </w:rPr>
        <w:t>5403.07</w:t>
      </w:r>
      <w:r>
        <w:rPr>
          <w:rFonts w:hint="eastAsia" w:ascii="Times New Roman" w:hAnsi="Times New Roman"/>
          <w:bCs/>
          <w:sz w:val="28"/>
          <w:szCs w:val="28"/>
        </w:rPr>
        <w:t>万</w:t>
      </w:r>
      <w:r>
        <w:rPr>
          <w:rFonts w:ascii="Times New Roman" w:hAnsi="Times New Roman"/>
          <w:color w:val="000000"/>
          <w:kern w:val="0"/>
          <w:sz w:val="28"/>
          <w:szCs w:val="28"/>
        </w:rPr>
        <w:t>m</w:t>
      </w:r>
      <w:r>
        <w:rPr>
          <w:rFonts w:ascii="Times New Roman" w:hAnsi="Times New Roman"/>
          <w:color w:val="000000"/>
          <w:kern w:val="0"/>
          <w:sz w:val="28"/>
          <w:szCs w:val="28"/>
          <w:vertAlign w:val="superscript"/>
        </w:rPr>
        <w:t>3</w:t>
      </w:r>
      <w:r>
        <w:rPr>
          <w:rFonts w:hint="eastAsia" w:ascii="Times New Roman" w:hAnsi="Times New Roman"/>
          <w:bCs/>
          <w:sz w:val="28"/>
          <w:szCs w:val="28"/>
        </w:rPr>
        <w:t>。随着城市发展和人口增长，结合渝北区“十三五”期间污水处理规模增涨趋势，预计到</w:t>
      </w:r>
      <w:r>
        <w:rPr>
          <w:rFonts w:ascii="Times New Roman" w:hAnsi="Times New Roman"/>
          <w:bCs/>
          <w:sz w:val="28"/>
          <w:szCs w:val="28"/>
        </w:rPr>
        <w:t>2025</w:t>
      </w:r>
      <w:r>
        <w:rPr>
          <w:rFonts w:hint="eastAsia" w:ascii="Times New Roman" w:hAnsi="Times New Roman"/>
          <w:bCs/>
          <w:sz w:val="28"/>
          <w:szCs w:val="28"/>
        </w:rPr>
        <w:t>年，污水处理量增至</w:t>
      </w:r>
      <w:r>
        <w:rPr>
          <w:rFonts w:ascii="Times New Roman" w:hAnsi="Times New Roman"/>
          <w:bCs/>
          <w:sz w:val="28"/>
          <w:szCs w:val="28"/>
        </w:rPr>
        <w:t>9137</w:t>
      </w:r>
      <w:r>
        <w:rPr>
          <w:rFonts w:hint="eastAsia" w:ascii="Times New Roman" w:hAnsi="Times New Roman"/>
          <w:bCs/>
          <w:sz w:val="28"/>
          <w:szCs w:val="28"/>
        </w:rPr>
        <w:t>万</w:t>
      </w:r>
      <w:r>
        <w:rPr>
          <w:rFonts w:ascii="Times New Roman" w:hAnsi="Times New Roman"/>
          <w:color w:val="000000"/>
          <w:kern w:val="0"/>
          <w:sz w:val="28"/>
          <w:szCs w:val="28"/>
        </w:rPr>
        <w:t>m</w:t>
      </w:r>
      <w:r>
        <w:rPr>
          <w:rFonts w:ascii="Times New Roman" w:hAnsi="Times New Roman"/>
          <w:color w:val="000000"/>
          <w:kern w:val="0"/>
          <w:sz w:val="28"/>
          <w:szCs w:val="28"/>
          <w:vertAlign w:val="superscript"/>
        </w:rPr>
        <w:t>3</w:t>
      </w:r>
      <w:r>
        <w:rPr>
          <w:rFonts w:hint="eastAsia" w:ascii="Times New Roman" w:hAnsi="Times New Roman"/>
          <w:bCs/>
          <w:sz w:val="28"/>
          <w:szCs w:val="28"/>
        </w:rPr>
        <w:t>，污水再生利用率达到</w:t>
      </w:r>
      <w:r>
        <w:rPr>
          <w:rFonts w:ascii="Times New Roman" w:hAnsi="Times New Roman"/>
          <w:bCs/>
          <w:sz w:val="28"/>
          <w:szCs w:val="28"/>
        </w:rPr>
        <w:t xml:space="preserve"> 15%</w:t>
      </w:r>
      <w:r>
        <w:rPr>
          <w:rFonts w:hint="eastAsia" w:ascii="Times New Roman" w:hAnsi="Times New Roman"/>
          <w:bCs/>
          <w:sz w:val="28"/>
          <w:szCs w:val="28"/>
        </w:rPr>
        <w:t>，则可利用再生水量达到</w:t>
      </w:r>
      <w:r>
        <w:rPr>
          <w:rFonts w:ascii="Times New Roman" w:hAnsi="Times New Roman"/>
          <w:bCs/>
          <w:sz w:val="28"/>
          <w:szCs w:val="28"/>
        </w:rPr>
        <w:t>1370</w:t>
      </w:r>
      <w:r>
        <w:rPr>
          <w:rFonts w:hint="eastAsia" w:ascii="Times New Roman" w:hAnsi="Times New Roman"/>
          <w:bCs/>
          <w:sz w:val="28"/>
          <w:szCs w:val="28"/>
        </w:rPr>
        <w:t>万</w:t>
      </w:r>
      <w:r>
        <w:rPr>
          <w:rFonts w:ascii="Times New Roman" w:hAnsi="Times New Roman"/>
          <w:color w:val="000000"/>
          <w:kern w:val="0"/>
          <w:sz w:val="28"/>
          <w:szCs w:val="28"/>
        </w:rPr>
        <w:t>m</w:t>
      </w:r>
      <w:r>
        <w:rPr>
          <w:rFonts w:ascii="Times New Roman" w:hAnsi="Times New Roman"/>
          <w:color w:val="000000"/>
          <w:kern w:val="0"/>
          <w:sz w:val="28"/>
          <w:szCs w:val="28"/>
          <w:vertAlign w:val="superscript"/>
        </w:rPr>
        <w:t>3</w:t>
      </w:r>
      <w:r>
        <w:rPr>
          <w:rFonts w:hint="eastAsia" w:ascii="Times New Roman" w:hAnsi="Times New Roman"/>
          <w:color w:val="000000"/>
          <w:kern w:val="0"/>
          <w:sz w:val="28"/>
          <w:szCs w:val="28"/>
        </w:rPr>
        <w:t>。</w:t>
      </w:r>
    </w:p>
    <w:p>
      <w:pPr>
        <w:spacing w:line="680" w:lineRule="exact"/>
        <w:ind w:firstLine="560" w:firstLineChars="200"/>
        <w:rPr>
          <w:rFonts w:ascii="仿宋" w:eastAsia="仿宋" w:cs="仿宋"/>
          <w:kern w:val="0"/>
          <w:sz w:val="28"/>
          <w:szCs w:val="28"/>
        </w:rPr>
      </w:pPr>
      <w:r>
        <w:rPr>
          <w:rFonts w:hint="eastAsia" w:ascii="Times New Roman" w:hAnsi="Times New Roman"/>
          <w:bCs/>
          <w:sz w:val="28"/>
          <w:szCs w:val="28"/>
        </w:rPr>
        <w:t>（</w:t>
      </w:r>
      <w:r>
        <w:rPr>
          <w:rFonts w:ascii="Times New Roman" w:hAnsi="Times New Roman"/>
          <w:bCs/>
          <w:sz w:val="28"/>
          <w:szCs w:val="28"/>
        </w:rPr>
        <w:t>4</w:t>
      </w:r>
      <w:r>
        <w:rPr>
          <w:rFonts w:hint="eastAsia" w:ascii="Times New Roman" w:hAnsi="Times New Roman"/>
          <w:bCs/>
          <w:sz w:val="28"/>
          <w:szCs w:val="28"/>
        </w:rPr>
        <w:t>）</w:t>
      </w:r>
      <w:r>
        <w:rPr>
          <w:rFonts w:hint="eastAsia" w:ascii="仿宋" w:hAnsi="仿宋" w:cs="仿宋"/>
          <w:kern w:val="0"/>
          <w:sz w:val="28"/>
          <w:szCs w:val="28"/>
        </w:rPr>
        <w:t>总节水潜力</w:t>
      </w:r>
    </w:p>
    <w:p>
      <w:pPr>
        <w:spacing w:line="680" w:lineRule="exact"/>
        <w:ind w:firstLine="560" w:firstLineChars="200"/>
        <w:rPr>
          <w:rFonts w:ascii="Times New Roman" w:hAnsi="Times New Roman"/>
          <w:kern w:val="0"/>
          <w:sz w:val="28"/>
          <w:szCs w:val="28"/>
        </w:rPr>
      </w:pPr>
      <w:r>
        <w:rPr>
          <w:rFonts w:hint="eastAsia" w:ascii="Times New Roman" w:hAnsi="Times New Roman"/>
          <w:kern w:val="0"/>
          <w:sz w:val="28"/>
          <w:szCs w:val="28"/>
        </w:rPr>
        <w:t>渝北区总节水潜力由城镇节水潜力、工业节水潜力和农业节水潜力三部分组成。经计算分析，预计在</w:t>
      </w:r>
      <w:r>
        <w:rPr>
          <w:rFonts w:ascii="Times New Roman" w:hAnsi="Times New Roman"/>
          <w:kern w:val="0"/>
          <w:sz w:val="28"/>
          <w:szCs w:val="28"/>
        </w:rPr>
        <w:t>2025</w:t>
      </w:r>
      <w:r>
        <w:rPr>
          <w:rFonts w:hint="eastAsia" w:ascii="Times New Roman" w:hAnsi="Times New Roman"/>
          <w:kern w:val="0"/>
          <w:sz w:val="28"/>
          <w:szCs w:val="28"/>
        </w:rPr>
        <w:t>年节水水平情况下总节水潜力为</w:t>
      </w:r>
      <w:r>
        <w:rPr>
          <w:rFonts w:ascii="Times New Roman" w:hAnsi="Times New Roman"/>
          <w:kern w:val="0"/>
          <w:sz w:val="28"/>
          <w:szCs w:val="28"/>
        </w:rPr>
        <w:t>2400.45</w:t>
      </w:r>
      <w:r>
        <w:rPr>
          <w:rFonts w:hint="eastAsia" w:ascii="Times New Roman" w:hAnsi="Times New Roman"/>
          <w:kern w:val="0"/>
          <w:sz w:val="28"/>
          <w:szCs w:val="28"/>
        </w:rPr>
        <w:t>万</w:t>
      </w:r>
      <w:r>
        <w:rPr>
          <w:rFonts w:ascii="Times New Roman" w:hAnsi="Times New Roman"/>
          <w:color w:val="000000"/>
          <w:kern w:val="0"/>
          <w:sz w:val="28"/>
          <w:szCs w:val="28"/>
        </w:rPr>
        <w:t>m</w:t>
      </w:r>
      <w:r>
        <w:rPr>
          <w:rFonts w:ascii="Times New Roman" w:hAnsi="Times New Roman"/>
          <w:color w:val="000000"/>
          <w:kern w:val="0"/>
          <w:sz w:val="28"/>
          <w:szCs w:val="28"/>
          <w:vertAlign w:val="superscript"/>
        </w:rPr>
        <w:t>3</w:t>
      </w:r>
      <w:r>
        <w:rPr>
          <w:rFonts w:hint="eastAsia" w:ascii="Times New Roman" w:hAnsi="Times New Roman"/>
          <w:kern w:val="0"/>
          <w:sz w:val="28"/>
          <w:szCs w:val="28"/>
        </w:rPr>
        <w:t>，其中农业节水潜力为</w:t>
      </w:r>
      <w:r>
        <w:rPr>
          <w:rFonts w:ascii="Times New Roman" w:hAnsi="Times New Roman"/>
          <w:sz w:val="28"/>
          <w:szCs w:val="28"/>
        </w:rPr>
        <w:t>659.50</w:t>
      </w:r>
      <w:r>
        <w:rPr>
          <w:rFonts w:hint="eastAsia" w:ascii="Times New Roman" w:hAnsi="Times New Roman"/>
          <w:kern w:val="0"/>
          <w:sz w:val="28"/>
          <w:szCs w:val="28"/>
        </w:rPr>
        <w:t>万</w:t>
      </w:r>
      <w:r>
        <w:rPr>
          <w:rFonts w:ascii="Times New Roman" w:hAnsi="Times New Roman"/>
          <w:color w:val="000000"/>
          <w:kern w:val="0"/>
          <w:sz w:val="28"/>
          <w:szCs w:val="28"/>
        </w:rPr>
        <w:t>m</w:t>
      </w:r>
      <w:r>
        <w:rPr>
          <w:rFonts w:ascii="Times New Roman" w:hAnsi="Times New Roman"/>
          <w:color w:val="000000"/>
          <w:kern w:val="0"/>
          <w:sz w:val="28"/>
          <w:szCs w:val="28"/>
          <w:vertAlign w:val="superscript"/>
        </w:rPr>
        <w:t>3</w:t>
      </w:r>
      <w:r>
        <w:rPr>
          <w:rFonts w:hint="eastAsia" w:ascii="Times New Roman" w:hAnsi="Times New Roman"/>
          <w:kern w:val="0"/>
          <w:sz w:val="28"/>
          <w:szCs w:val="28"/>
        </w:rPr>
        <w:t>，工业节水潜力为</w:t>
      </w:r>
      <w:r>
        <w:rPr>
          <w:rFonts w:ascii="Times New Roman" w:hAnsi="Times New Roman"/>
          <w:kern w:val="0"/>
          <w:sz w:val="28"/>
          <w:szCs w:val="28"/>
        </w:rPr>
        <w:t>323.05</w:t>
      </w:r>
      <w:r>
        <w:rPr>
          <w:rFonts w:hint="eastAsia" w:ascii="Times New Roman" w:hAnsi="Times New Roman"/>
          <w:kern w:val="0"/>
          <w:sz w:val="28"/>
          <w:szCs w:val="28"/>
        </w:rPr>
        <w:t>万</w:t>
      </w:r>
      <w:r>
        <w:rPr>
          <w:rFonts w:ascii="Times New Roman" w:hAnsi="Times New Roman"/>
          <w:color w:val="000000"/>
          <w:kern w:val="0"/>
          <w:sz w:val="28"/>
          <w:szCs w:val="28"/>
        </w:rPr>
        <w:t>m</w:t>
      </w:r>
      <w:r>
        <w:rPr>
          <w:rFonts w:ascii="Times New Roman" w:hAnsi="Times New Roman"/>
          <w:color w:val="000000"/>
          <w:kern w:val="0"/>
          <w:sz w:val="28"/>
          <w:szCs w:val="28"/>
          <w:vertAlign w:val="superscript"/>
        </w:rPr>
        <w:t>3</w:t>
      </w:r>
      <w:r>
        <w:rPr>
          <w:rFonts w:hint="eastAsia" w:ascii="Times New Roman" w:hAnsi="Times New Roman"/>
          <w:kern w:val="0"/>
          <w:sz w:val="28"/>
          <w:szCs w:val="28"/>
        </w:rPr>
        <w:t>，城镇节水潜力为</w:t>
      </w:r>
      <w:r>
        <w:rPr>
          <w:rFonts w:ascii="Times New Roman" w:hAnsi="Times New Roman"/>
          <w:kern w:val="0"/>
          <w:sz w:val="28"/>
          <w:szCs w:val="28"/>
        </w:rPr>
        <w:t>1417.90</w:t>
      </w:r>
      <w:r>
        <w:rPr>
          <w:rFonts w:hint="eastAsia" w:ascii="Times New Roman" w:hAnsi="Times New Roman"/>
          <w:kern w:val="0"/>
          <w:sz w:val="28"/>
          <w:szCs w:val="28"/>
        </w:rPr>
        <w:t>万</w:t>
      </w:r>
      <w:r>
        <w:rPr>
          <w:rFonts w:ascii="Times New Roman" w:hAnsi="Times New Roman"/>
          <w:color w:val="000000"/>
          <w:kern w:val="0"/>
          <w:sz w:val="28"/>
          <w:szCs w:val="28"/>
        </w:rPr>
        <w:t>m</w:t>
      </w:r>
      <w:r>
        <w:rPr>
          <w:rFonts w:ascii="Times New Roman" w:hAnsi="Times New Roman"/>
          <w:color w:val="000000"/>
          <w:kern w:val="0"/>
          <w:sz w:val="28"/>
          <w:szCs w:val="28"/>
          <w:vertAlign w:val="superscript"/>
        </w:rPr>
        <w:t>3</w:t>
      </w:r>
      <w:r>
        <w:rPr>
          <w:rFonts w:hint="eastAsia" w:ascii="Times New Roman" w:hAnsi="Times New Roman"/>
          <w:kern w:val="0"/>
          <w:sz w:val="28"/>
          <w:szCs w:val="28"/>
        </w:rPr>
        <w:t>。</w:t>
      </w:r>
    </w:p>
    <w:p>
      <w:pPr>
        <w:ind w:firstLine="482" w:firstLineChars="200"/>
        <w:jc w:val="center"/>
        <w:rPr>
          <w:rFonts w:ascii="仿宋" w:eastAsia="仿宋" w:cs="仿宋"/>
          <w:b/>
          <w:bCs/>
          <w:kern w:val="0"/>
          <w:sz w:val="24"/>
          <w:szCs w:val="24"/>
        </w:rPr>
      </w:pPr>
    </w:p>
    <w:p>
      <w:pPr>
        <w:ind w:firstLine="482" w:firstLineChars="200"/>
        <w:jc w:val="center"/>
        <w:rPr>
          <w:rFonts w:ascii="仿宋" w:eastAsia="仿宋" w:cs="仿宋"/>
          <w:b/>
          <w:bCs/>
          <w:kern w:val="0"/>
          <w:sz w:val="24"/>
          <w:szCs w:val="24"/>
        </w:rPr>
      </w:pPr>
      <w:r>
        <w:rPr>
          <w:rFonts w:hint="eastAsia" w:ascii="仿宋" w:hAnsi="仿宋" w:cs="仿宋"/>
          <w:b/>
          <w:bCs/>
          <w:kern w:val="0"/>
          <w:sz w:val="24"/>
          <w:szCs w:val="24"/>
        </w:rPr>
        <w:t>表</w:t>
      </w:r>
      <w:r>
        <w:rPr>
          <w:rFonts w:ascii="Times New Roman" w:hAnsi="Times New Roman"/>
          <w:b/>
          <w:bCs/>
          <w:kern w:val="0"/>
          <w:sz w:val="24"/>
          <w:szCs w:val="24"/>
        </w:rPr>
        <w:t xml:space="preserve">1-4 </w:t>
      </w:r>
      <w:r>
        <w:rPr>
          <w:rFonts w:hint="eastAsia" w:ascii="仿宋" w:hAnsi="仿宋" w:cs="仿宋"/>
          <w:b/>
          <w:bCs/>
          <w:kern w:val="0"/>
          <w:sz w:val="24"/>
          <w:szCs w:val="24"/>
        </w:rPr>
        <w:t>渝北区“十四五”节水潜力分析计算成果表</w:t>
      </w:r>
    </w:p>
    <w:tbl>
      <w:tblPr>
        <w:tblStyle w:val="21"/>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093"/>
        <w:gridCol w:w="1594"/>
        <w:gridCol w:w="1595"/>
        <w:gridCol w:w="1595"/>
        <w:gridCol w:w="159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34" w:hRule="atLeast"/>
        </w:trPr>
        <w:tc>
          <w:tcPr>
            <w:tcW w:w="2093" w:type="dxa"/>
            <w:vMerge w:val="restart"/>
            <w:vAlign w:val="center"/>
          </w:tcPr>
          <w:p>
            <w:pPr>
              <w:autoSpaceDE w:val="0"/>
              <w:autoSpaceDN w:val="0"/>
              <w:adjustRightInd w:val="0"/>
              <w:jc w:val="center"/>
              <w:rPr>
                <w:rFonts w:ascii="Times New Roman" w:hAnsi="Times New Roman"/>
                <w:b/>
                <w:color w:val="000000"/>
                <w:kern w:val="0"/>
                <w:sz w:val="23"/>
                <w:szCs w:val="23"/>
              </w:rPr>
            </w:pPr>
            <w:r>
              <w:rPr>
                <w:rFonts w:hint="eastAsia" w:ascii="Times New Roman" w:hAnsi="Times New Roman"/>
                <w:b/>
                <w:color w:val="000000"/>
                <w:kern w:val="0"/>
                <w:sz w:val="23"/>
                <w:szCs w:val="23"/>
              </w:rPr>
              <w:t>节水水平</w:t>
            </w:r>
          </w:p>
        </w:tc>
        <w:tc>
          <w:tcPr>
            <w:tcW w:w="6379" w:type="dxa"/>
            <w:gridSpan w:val="4"/>
            <w:vAlign w:val="center"/>
          </w:tcPr>
          <w:p>
            <w:pPr>
              <w:autoSpaceDE w:val="0"/>
              <w:autoSpaceDN w:val="0"/>
              <w:adjustRightInd w:val="0"/>
              <w:jc w:val="center"/>
              <w:rPr>
                <w:rFonts w:ascii="Times New Roman" w:hAnsi="Times New Roman"/>
                <w:b/>
                <w:color w:val="000000"/>
                <w:kern w:val="0"/>
                <w:sz w:val="23"/>
                <w:szCs w:val="23"/>
              </w:rPr>
            </w:pPr>
            <w:r>
              <w:rPr>
                <w:rFonts w:hint="eastAsia" w:ascii="Times New Roman" w:hAnsi="Times New Roman"/>
                <w:b/>
                <w:color w:val="000000"/>
                <w:kern w:val="0"/>
                <w:sz w:val="23"/>
                <w:szCs w:val="23"/>
              </w:rPr>
              <w:t>节水潜力（万</w:t>
            </w:r>
            <w:r>
              <w:rPr>
                <w:rFonts w:ascii="Times New Roman" w:hAnsi="Times New Roman"/>
                <w:b/>
                <w:color w:val="000000"/>
                <w:kern w:val="0"/>
                <w:sz w:val="23"/>
                <w:szCs w:val="23"/>
              </w:rPr>
              <w:t>m</w:t>
            </w:r>
            <w:r>
              <w:rPr>
                <w:rFonts w:ascii="Times New Roman" w:hAnsi="Times New Roman"/>
                <w:b/>
                <w:color w:val="000000"/>
                <w:kern w:val="0"/>
                <w:sz w:val="23"/>
                <w:szCs w:val="23"/>
                <w:vertAlign w:val="superscript"/>
              </w:rPr>
              <w:t>3</w:t>
            </w:r>
            <w:r>
              <w:rPr>
                <w:rFonts w:hint="eastAsia" w:ascii="Times New Roman" w:hAnsi="Times New Roman"/>
                <w:b/>
                <w:color w:val="000000"/>
                <w:kern w:val="0"/>
                <w:sz w:val="23"/>
                <w:szCs w:val="23"/>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34" w:hRule="atLeast"/>
        </w:trPr>
        <w:tc>
          <w:tcPr>
            <w:tcW w:w="2093" w:type="dxa"/>
            <w:vMerge w:val="continue"/>
            <w:vAlign w:val="center"/>
          </w:tcPr>
          <w:p>
            <w:pPr>
              <w:autoSpaceDE w:val="0"/>
              <w:autoSpaceDN w:val="0"/>
              <w:adjustRightInd w:val="0"/>
              <w:jc w:val="center"/>
              <w:rPr>
                <w:rFonts w:ascii="Times New Roman" w:hAnsi="Times New Roman"/>
                <w:b/>
                <w:color w:val="000000"/>
                <w:kern w:val="0"/>
                <w:sz w:val="23"/>
                <w:szCs w:val="23"/>
              </w:rPr>
            </w:pPr>
          </w:p>
        </w:tc>
        <w:tc>
          <w:tcPr>
            <w:tcW w:w="1594" w:type="dxa"/>
            <w:vAlign w:val="center"/>
          </w:tcPr>
          <w:p>
            <w:pPr>
              <w:autoSpaceDE w:val="0"/>
              <w:autoSpaceDN w:val="0"/>
              <w:adjustRightInd w:val="0"/>
              <w:jc w:val="center"/>
              <w:rPr>
                <w:rFonts w:ascii="Times New Roman" w:hAnsi="Times New Roman"/>
                <w:b/>
                <w:color w:val="000000"/>
                <w:kern w:val="0"/>
                <w:sz w:val="23"/>
                <w:szCs w:val="23"/>
              </w:rPr>
            </w:pPr>
            <w:r>
              <w:rPr>
                <w:rFonts w:hint="eastAsia" w:ascii="Times New Roman" w:hAnsi="Times New Roman"/>
                <w:b/>
                <w:color w:val="000000"/>
                <w:kern w:val="0"/>
                <w:sz w:val="23"/>
                <w:szCs w:val="23"/>
              </w:rPr>
              <w:t>农业</w:t>
            </w:r>
          </w:p>
        </w:tc>
        <w:tc>
          <w:tcPr>
            <w:tcW w:w="1595" w:type="dxa"/>
            <w:vAlign w:val="center"/>
          </w:tcPr>
          <w:p>
            <w:pPr>
              <w:autoSpaceDE w:val="0"/>
              <w:autoSpaceDN w:val="0"/>
              <w:adjustRightInd w:val="0"/>
              <w:jc w:val="center"/>
              <w:rPr>
                <w:rFonts w:ascii="Times New Roman" w:hAnsi="Times New Roman"/>
                <w:b/>
                <w:color w:val="000000"/>
                <w:kern w:val="0"/>
                <w:sz w:val="23"/>
                <w:szCs w:val="23"/>
              </w:rPr>
            </w:pPr>
            <w:r>
              <w:rPr>
                <w:rFonts w:hint="eastAsia" w:ascii="Times New Roman" w:hAnsi="Times New Roman"/>
                <w:b/>
                <w:color w:val="000000"/>
                <w:kern w:val="0"/>
                <w:sz w:val="23"/>
                <w:szCs w:val="23"/>
              </w:rPr>
              <w:t>工业</w:t>
            </w:r>
          </w:p>
        </w:tc>
        <w:tc>
          <w:tcPr>
            <w:tcW w:w="1595" w:type="dxa"/>
            <w:vAlign w:val="center"/>
          </w:tcPr>
          <w:p>
            <w:pPr>
              <w:autoSpaceDE w:val="0"/>
              <w:autoSpaceDN w:val="0"/>
              <w:adjustRightInd w:val="0"/>
              <w:jc w:val="center"/>
              <w:rPr>
                <w:rFonts w:ascii="Times New Roman" w:hAnsi="Times New Roman"/>
                <w:b/>
                <w:color w:val="000000"/>
                <w:kern w:val="0"/>
                <w:sz w:val="23"/>
                <w:szCs w:val="23"/>
              </w:rPr>
            </w:pPr>
            <w:r>
              <w:rPr>
                <w:rFonts w:hint="eastAsia" w:ascii="Times New Roman" w:hAnsi="Times New Roman"/>
                <w:b/>
                <w:color w:val="000000"/>
                <w:kern w:val="0"/>
                <w:sz w:val="23"/>
                <w:szCs w:val="23"/>
              </w:rPr>
              <w:t>城镇</w:t>
            </w:r>
          </w:p>
        </w:tc>
        <w:tc>
          <w:tcPr>
            <w:tcW w:w="1595" w:type="dxa"/>
            <w:vAlign w:val="center"/>
          </w:tcPr>
          <w:p>
            <w:pPr>
              <w:autoSpaceDE w:val="0"/>
              <w:autoSpaceDN w:val="0"/>
              <w:adjustRightInd w:val="0"/>
              <w:jc w:val="center"/>
              <w:rPr>
                <w:rFonts w:ascii="Times New Roman" w:hAnsi="Times New Roman"/>
                <w:b/>
                <w:color w:val="000000"/>
                <w:kern w:val="0"/>
                <w:sz w:val="23"/>
                <w:szCs w:val="23"/>
              </w:rPr>
            </w:pPr>
            <w:r>
              <w:rPr>
                <w:rFonts w:hint="eastAsia" w:ascii="Times New Roman" w:hAnsi="Times New Roman"/>
                <w:b/>
                <w:color w:val="000000"/>
                <w:kern w:val="0"/>
                <w:sz w:val="23"/>
                <w:szCs w:val="23"/>
              </w:rPr>
              <w:t>合计</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69" w:hRule="atLeast"/>
        </w:trPr>
        <w:tc>
          <w:tcPr>
            <w:tcW w:w="2093" w:type="dxa"/>
            <w:vAlign w:val="center"/>
          </w:tcPr>
          <w:p>
            <w:pPr>
              <w:autoSpaceDE w:val="0"/>
              <w:autoSpaceDN w:val="0"/>
              <w:adjustRightInd w:val="0"/>
              <w:jc w:val="center"/>
              <w:rPr>
                <w:rFonts w:ascii="Times New Roman" w:hAnsi="Times New Roman"/>
                <w:color w:val="000000"/>
                <w:kern w:val="0"/>
                <w:sz w:val="23"/>
                <w:szCs w:val="23"/>
              </w:rPr>
            </w:pPr>
            <w:r>
              <w:rPr>
                <w:rFonts w:ascii="Times New Roman" w:hAnsi="Times New Roman"/>
                <w:color w:val="000000"/>
                <w:kern w:val="0"/>
                <w:sz w:val="23"/>
                <w:szCs w:val="23"/>
              </w:rPr>
              <w:t>2025</w:t>
            </w:r>
            <w:r>
              <w:rPr>
                <w:rFonts w:hint="eastAsia" w:ascii="Times New Roman" w:hAnsi="Times New Roman"/>
                <w:color w:val="000000"/>
                <w:kern w:val="0"/>
                <w:sz w:val="23"/>
                <w:szCs w:val="23"/>
              </w:rPr>
              <w:t>年节水水平</w:t>
            </w:r>
          </w:p>
        </w:tc>
        <w:tc>
          <w:tcPr>
            <w:tcW w:w="1594" w:type="dxa"/>
            <w:vAlign w:val="center"/>
          </w:tcPr>
          <w:p>
            <w:pPr>
              <w:autoSpaceDE w:val="0"/>
              <w:autoSpaceDN w:val="0"/>
              <w:adjustRightInd w:val="0"/>
              <w:jc w:val="center"/>
              <w:rPr>
                <w:rFonts w:ascii="Times New Roman" w:hAnsi="Times New Roman"/>
                <w:color w:val="000000"/>
                <w:kern w:val="0"/>
                <w:sz w:val="23"/>
                <w:szCs w:val="23"/>
              </w:rPr>
            </w:pPr>
            <w:r>
              <w:rPr>
                <w:rFonts w:ascii="Times New Roman" w:hAnsi="Times New Roman"/>
                <w:color w:val="000000"/>
                <w:kern w:val="0"/>
                <w:sz w:val="23"/>
                <w:szCs w:val="23"/>
              </w:rPr>
              <w:t>659.50</w:t>
            </w:r>
          </w:p>
        </w:tc>
        <w:tc>
          <w:tcPr>
            <w:tcW w:w="1595" w:type="dxa"/>
            <w:vAlign w:val="center"/>
          </w:tcPr>
          <w:p>
            <w:pPr>
              <w:autoSpaceDE w:val="0"/>
              <w:autoSpaceDN w:val="0"/>
              <w:adjustRightInd w:val="0"/>
              <w:jc w:val="center"/>
              <w:rPr>
                <w:rFonts w:ascii="Times New Roman" w:hAnsi="Times New Roman"/>
                <w:color w:val="000000"/>
                <w:kern w:val="0"/>
                <w:sz w:val="23"/>
                <w:szCs w:val="23"/>
              </w:rPr>
            </w:pPr>
            <w:r>
              <w:rPr>
                <w:rFonts w:ascii="Times New Roman" w:hAnsi="Times New Roman"/>
                <w:color w:val="000000"/>
                <w:kern w:val="0"/>
                <w:sz w:val="23"/>
                <w:szCs w:val="23"/>
              </w:rPr>
              <w:t>323.05</w:t>
            </w:r>
          </w:p>
        </w:tc>
        <w:tc>
          <w:tcPr>
            <w:tcW w:w="1595" w:type="dxa"/>
            <w:vAlign w:val="center"/>
          </w:tcPr>
          <w:p>
            <w:pPr>
              <w:autoSpaceDE w:val="0"/>
              <w:autoSpaceDN w:val="0"/>
              <w:adjustRightInd w:val="0"/>
              <w:jc w:val="center"/>
              <w:rPr>
                <w:rFonts w:ascii="Times New Roman" w:hAnsi="Times New Roman"/>
                <w:color w:val="000000"/>
                <w:kern w:val="0"/>
                <w:sz w:val="23"/>
                <w:szCs w:val="23"/>
              </w:rPr>
            </w:pPr>
            <w:r>
              <w:rPr>
                <w:rFonts w:ascii="Times New Roman" w:hAnsi="Times New Roman"/>
                <w:color w:val="000000"/>
                <w:kern w:val="0"/>
                <w:sz w:val="23"/>
                <w:szCs w:val="23"/>
              </w:rPr>
              <w:t>1417.90</w:t>
            </w:r>
          </w:p>
        </w:tc>
        <w:tc>
          <w:tcPr>
            <w:tcW w:w="1595" w:type="dxa"/>
            <w:vAlign w:val="center"/>
          </w:tcPr>
          <w:p>
            <w:pPr>
              <w:autoSpaceDE w:val="0"/>
              <w:autoSpaceDN w:val="0"/>
              <w:adjustRightInd w:val="0"/>
              <w:jc w:val="center"/>
              <w:rPr>
                <w:rFonts w:ascii="Times New Roman" w:hAnsi="Times New Roman"/>
                <w:color w:val="000000"/>
                <w:kern w:val="0"/>
                <w:sz w:val="23"/>
                <w:szCs w:val="23"/>
              </w:rPr>
            </w:pPr>
            <w:r>
              <w:rPr>
                <w:rFonts w:ascii="Times New Roman" w:hAnsi="Times New Roman"/>
                <w:color w:val="000000"/>
                <w:kern w:val="0"/>
                <w:sz w:val="23"/>
                <w:szCs w:val="23"/>
              </w:rPr>
              <w:t>2400.45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18" w:hRule="atLeast"/>
        </w:trPr>
        <w:tc>
          <w:tcPr>
            <w:tcW w:w="2093" w:type="dxa"/>
            <w:vAlign w:val="center"/>
          </w:tcPr>
          <w:p>
            <w:pPr>
              <w:autoSpaceDE w:val="0"/>
              <w:autoSpaceDN w:val="0"/>
              <w:adjustRightInd w:val="0"/>
              <w:jc w:val="center"/>
              <w:rPr>
                <w:rFonts w:ascii="Times New Roman" w:hAnsi="Times New Roman"/>
                <w:color w:val="000000"/>
                <w:kern w:val="0"/>
                <w:sz w:val="23"/>
                <w:szCs w:val="23"/>
              </w:rPr>
            </w:pPr>
            <w:r>
              <w:rPr>
                <w:rFonts w:hint="eastAsia" w:ascii="Times New Roman" w:hAnsi="Times New Roman"/>
                <w:color w:val="000000"/>
                <w:kern w:val="0"/>
                <w:sz w:val="23"/>
                <w:szCs w:val="23"/>
              </w:rPr>
              <w:t>所占比例</w:t>
            </w:r>
          </w:p>
        </w:tc>
        <w:tc>
          <w:tcPr>
            <w:tcW w:w="1594" w:type="dxa"/>
            <w:vAlign w:val="center"/>
          </w:tcPr>
          <w:p>
            <w:pPr>
              <w:autoSpaceDE w:val="0"/>
              <w:autoSpaceDN w:val="0"/>
              <w:adjustRightInd w:val="0"/>
              <w:jc w:val="center"/>
              <w:rPr>
                <w:rFonts w:ascii="Times New Roman" w:hAnsi="Times New Roman"/>
                <w:color w:val="000000"/>
                <w:kern w:val="0"/>
                <w:sz w:val="23"/>
                <w:szCs w:val="23"/>
              </w:rPr>
            </w:pPr>
            <w:r>
              <w:rPr>
                <w:rFonts w:ascii="Times New Roman" w:hAnsi="Times New Roman"/>
                <w:color w:val="000000"/>
                <w:kern w:val="0"/>
                <w:sz w:val="23"/>
                <w:szCs w:val="23"/>
              </w:rPr>
              <w:t>27.47%</w:t>
            </w:r>
          </w:p>
        </w:tc>
        <w:tc>
          <w:tcPr>
            <w:tcW w:w="1595" w:type="dxa"/>
            <w:vAlign w:val="center"/>
          </w:tcPr>
          <w:p>
            <w:pPr>
              <w:autoSpaceDE w:val="0"/>
              <w:autoSpaceDN w:val="0"/>
              <w:adjustRightInd w:val="0"/>
              <w:jc w:val="center"/>
              <w:rPr>
                <w:rFonts w:ascii="Times New Roman" w:hAnsi="Times New Roman"/>
                <w:color w:val="000000"/>
                <w:kern w:val="0"/>
                <w:sz w:val="23"/>
                <w:szCs w:val="23"/>
              </w:rPr>
            </w:pPr>
            <w:r>
              <w:rPr>
                <w:rFonts w:ascii="Times New Roman" w:hAnsi="Times New Roman"/>
                <w:color w:val="000000"/>
                <w:kern w:val="0"/>
                <w:sz w:val="23"/>
                <w:szCs w:val="23"/>
              </w:rPr>
              <w:t>13.46%</w:t>
            </w:r>
          </w:p>
        </w:tc>
        <w:tc>
          <w:tcPr>
            <w:tcW w:w="1595" w:type="dxa"/>
            <w:vAlign w:val="center"/>
          </w:tcPr>
          <w:p>
            <w:pPr>
              <w:autoSpaceDE w:val="0"/>
              <w:autoSpaceDN w:val="0"/>
              <w:adjustRightInd w:val="0"/>
              <w:jc w:val="center"/>
              <w:rPr>
                <w:rFonts w:ascii="Times New Roman" w:hAnsi="Times New Roman"/>
                <w:color w:val="000000"/>
                <w:kern w:val="0"/>
                <w:sz w:val="23"/>
                <w:szCs w:val="23"/>
              </w:rPr>
            </w:pPr>
            <w:r>
              <w:rPr>
                <w:rFonts w:ascii="Times New Roman" w:hAnsi="Times New Roman"/>
                <w:color w:val="000000"/>
                <w:kern w:val="0"/>
                <w:sz w:val="23"/>
                <w:szCs w:val="23"/>
              </w:rPr>
              <w:t>59.07%</w:t>
            </w:r>
          </w:p>
        </w:tc>
        <w:tc>
          <w:tcPr>
            <w:tcW w:w="1595" w:type="dxa"/>
            <w:vAlign w:val="center"/>
          </w:tcPr>
          <w:p>
            <w:pPr>
              <w:autoSpaceDE w:val="0"/>
              <w:autoSpaceDN w:val="0"/>
              <w:adjustRightInd w:val="0"/>
              <w:jc w:val="center"/>
              <w:rPr>
                <w:rFonts w:ascii="Times New Roman" w:hAnsi="Times New Roman"/>
                <w:color w:val="000000"/>
                <w:kern w:val="0"/>
                <w:sz w:val="23"/>
                <w:szCs w:val="23"/>
              </w:rPr>
            </w:pPr>
            <w:r>
              <w:rPr>
                <w:rFonts w:ascii="Times New Roman" w:hAnsi="Times New Roman"/>
                <w:color w:val="000000"/>
                <w:kern w:val="0"/>
                <w:sz w:val="23"/>
                <w:szCs w:val="23"/>
              </w:rPr>
              <w:t>100%</w:t>
            </w:r>
          </w:p>
        </w:tc>
      </w:tr>
    </w:tbl>
    <w:p/>
    <w:p>
      <w:pPr>
        <w:widowControl/>
        <w:jc w:val="left"/>
        <w:rPr>
          <w:rFonts w:ascii="Times New Roman" w:hAnsi="Times New Roman"/>
          <w:color w:val="0070C0"/>
        </w:rPr>
      </w:pPr>
      <w:r>
        <w:rPr>
          <w:rFonts w:ascii="Times New Roman" w:hAnsi="Times New Roman"/>
          <w:color w:val="0070C0"/>
        </w:rPr>
        <w:br w:type="page"/>
      </w:r>
    </w:p>
    <w:p>
      <w:pPr>
        <w:keepNext/>
        <w:keepLines/>
        <w:spacing w:before="340" w:after="330" w:line="576" w:lineRule="auto"/>
        <w:ind w:firstLine="723" w:firstLineChars="200"/>
        <w:jc w:val="center"/>
        <w:outlineLvl w:val="0"/>
        <w:rPr>
          <w:rFonts w:ascii="Times New Roman" w:hAnsi="Times New Roman"/>
          <w:b/>
          <w:bCs/>
          <w:kern w:val="44"/>
          <w:sz w:val="36"/>
          <w:szCs w:val="36"/>
        </w:rPr>
      </w:pPr>
      <w:bookmarkStart w:id="48" w:name="_Toc90482766"/>
      <w:r>
        <w:rPr>
          <w:rFonts w:ascii="Times New Roman" w:hAnsi="Times New Roman"/>
          <w:b/>
          <w:bCs/>
          <w:kern w:val="44"/>
          <w:sz w:val="36"/>
          <w:szCs w:val="36"/>
        </w:rPr>
        <w:t xml:space="preserve">2 </w:t>
      </w:r>
      <w:r>
        <w:rPr>
          <w:rFonts w:hint="eastAsia" w:ascii="Times New Roman" w:hAnsi="Times New Roman"/>
          <w:b/>
          <w:bCs/>
          <w:kern w:val="44"/>
          <w:sz w:val="36"/>
          <w:szCs w:val="36"/>
        </w:rPr>
        <w:t>节水工作成效及存在的问题</w:t>
      </w:r>
      <w:bookmarkEnd w:id="48"/>
    </w:p>
    <w:p>
      <w:pPr>
        <w:keepNext/>
        <w:keepLines/>
        <w:tabs>
          <w:tab w:val="left" w:pos="6810"/>
        </w:tabs>
        <w:spacing w:before="260" w:after="260" w:line="413" w:lineRule="auto"/>
        <w:ind w:firstLine="281" w:firstLineChars="100"/>
        <w:outlineLvl w:val="1"/>
        <w:rPr>
          <w:rFonts w:ascii="Times New Roman" w:hAnsi="Times New Roman"/>
          <w:b/>
          <w:bCs/>
          <w:kern w:val="44"/>
          <w:sz w:val="28"/>
          <w:szCs w:val="28"/>
        </w:rPr>
      </w:pPr>
      <w:bookmarkStart w:id="49" w:name="_Toc90482767"/>
      <w:r>
        <w:rPr>
          <w:rFonts w:ascii="Times New Roman" w:hAnsi="Times New Roman"/>
          <w:b/>
          <w:bCs/>
          <w:kern w:val="44"/>
          <w:sz w:val="28"/>
          <w:szCs w:val="28"/>
        </w:rPr>
        <w:t>2.1 “</w:t>
      </w:r>
      <w:r>
        <w:rPr>
          <w:rFonts w:hint="eastAsia" w:ascii="Times New Roman" w:hAnsi="Times New Roman"/>
          <w:b/>
          <w:bCs/>
          <w:kern w:val="44"/>
          <w:sz w:val="28"/>
          <w:szCs w:val="28"/>
        </w:rPr>
        <w:t>十三五</w:t>
      </w:r>
      <w:r>
        <w:rPr>
          <w:rFonts w:ascii="Times New Roman" w:hAnsi="Times New Roman"/>
          <w:b/>
          <w:bCs/>
          <w:kern w:val="44"/>
          <w:sz w:val="28"/>
          <w:szCs w:val="28"/>
        </w:rPr>
        <w:t>”</w:t>
      </w:r>
      <w:r>
        <w:rPr>
          <w:rFonts w:hint="eastAsia" w:ascii="Times New Roman" w:hAnsi="Times New Roman"/>
          <w:b/>
          <w:bCs/>
          <w:kern w:val="44"/>
          <w:sz w:val="28"/>
          <w:szCs w:val="28"/>
        </w:rPr>
        <w:t>节水工作成效</w:t>
      </w:r>
      <w:bookmarkEnd w:id="49"/>
    </w:p>
    <w:p>
      <w:pPr>
        <w:ind w:firstLine="560" w:firstLineChars="200"/>
        <w:rPr>
          <w:rFonts w:ascii="Times New Roman" w:hAnsi="Times New Roman"/>
          <w:bCs/>
          <w:sz w:val="28"/>
          <w:szCs w:val="28"/>
        </w:rPr>
      </w:pPr>
      <w:r>
        <w:rPr>
          <w:rFonts w:hint="eastAsia" w:ascii="Times New Roman" w:hAnsi="Times New Roman"/>
          <w:bCs/>
          <w:sz w:val="28"/>
          <w:szCs w:val="28"/>
        </w:rPr>
        <w:t>区政府高度重视节水工作，牵头建立节水工作领导小组，各部门积极配合各司其职，渝北区节水工作取得一定成效，“十三五”期间的约束性目标全部完成</w:t>
      </w:r>
    </w:p>
    <w:p>
      <w:pPr>
        <w:jc w:val="center"/>
        <w:rPr>
          <w:rFonts w:ascii="Times New Roman" w:hAnsi="Times New Roman"/>
          <w:b/>
          <w:bCs/>
          <w:sz w:val="24"/>
          <w:szCs w:val="24"/>
        </w:rPr>
      </w:pPr>
      <w:r>
        <w:rPr>
          <w:rFonts w:hint="eastAsia" w:ascii="Times New Roman" w:hAnsi="Times New Roman"/>
          <w:b/>
          <w:bCs/>
          <w:sz w:val="24"/>
          <w:szCs w:val="24"/>
        </w:rPr>
        <w:t>表</w:t>
      </w:r>
      <w:r>
        <w:rPr>
          <w:rFonts w:ascii="Times New Roman" w:hAnsi="Times New Roman"/>
          <w:b/>
          <w:bCs/>
          <w:sz w:val="24"/>
          <w:szCs w:val="24"/>
        </w:rPr>
        <w:t xml:space="preserve"> 2-1 </w:t>
      </w:r>
      <w:r>
        <w:rPr>
          <w:rFonts w:hint="eastAsia" w:ascii="Times New Roman" w:hAnsi="Times New Roman"/>
          <w:b/>
          <w:bCs/>
          <w:sz w:val="24"/>
          <w:szCs w:val="24"/>
        </w:rPr>
        <w:t>渝北区节水型社会建设</w:t>
      </w:r>
      <w:r>
        <w:rPr>
          <w:rFonts w:ascii="Times New Roman" w:hAnsi="Times New Roman"/>
          <w:b/>
          <w:bCs/>
          <w:sz w:val="24"/>
          <w:szCs w:val="24"/>
        </w:rPr>
        <w:t>“</w:t>
      </w:r>
      <w:r>
        <w:rPr>
          <w:rFonts w:hint="eastAsia" w:ascii="Times New Roman" w:hAnsi="Times New Roman"/>
          <w:b/>
          <w:bCs/>
          <w:sz w:val="24"/>
          <w:szCs w:val="24"/>
        </w:rPr>
        <w:t>十三五</w:t>
      </w:r>
      <w:r>
        <w:rPr>
          <w:rFonts w:ascii="Times New Roman" w:hAnsi="Times New Roman"/>
          <w:b/>
          <w:bCs/>
          <w:sz w:val="24"/>
          <w:szCs w:val="24"/>
        </w:rPr>
        <w:t>”</w:t>
      </w:r>
      <w:r>
        <w:rPr>
          <w:rFonts w:hint="eastAsia" w:ascii="Times New Roman" w:hAnsi="Times New Roman"/>
          <w:b/>
          <w:bCs/>
          <w:sz w:val="24"/>
          <w:szCs w:val="24"/>
        </w:rPr>
        <w:t>规划指标完成情况</w:t>
      </w:r>
    </w:p>
    <w:tbl>
      <w:tblPr>
        <w:tblStyle w:val="21"/>
        <w:tblW w:w="0" w:type="auto"/>
        <w:jc w:val="center"/>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Layout w:type="autofit"/>
        <w:tblCellMar>
          <w:top w:w="0" w:type="dxa"/>
          <w:left w:w="108" w:type="dxa"/>
          <w:bottom w:w="0" w:type="dxa"/>
          <w:right w:w="108" w:type="dxa"/>
        </w:tblCellMar>
      </w:tblPr>
      <w:tblGrid>
        <w:gridCol w:w="893"/>
        <w:gridCol w:w="3000"/>
        <w:gridCol w:w="1064"/>
        <w:gridCol w:w="1275"/>
        <w:gridCol w:w="1134"/>
        <w:gridCol w:w="930"/>
      </w:tblGrid>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jc w:val="center"/>
        </w:trPr>
        <w:tc>
          <w:tcPr>
            <w:tcW w:w="893" w:type="dxa"/>
            <w:tcBorders>
              <w:top w:val="single" w:color="auto" w:sz="4" w:space="0"/>
              <w:left w:val="single" w:color="auto" w:sz="4" w:space="0"/>
              <w:bottom w:val="single" w:color="auto" w:sz="4" w:space="0"/>
              <w:right w:val="single" w:color="auto" w:sz="4" w:space="0"/>
            </w:tcBorders>
            <w:vAlign w:val="center"/>
          </w:tcPr>
          <w:p>
            <w:pPr>
              <w:widowControl/>
              <w:jc w:val="center"/>
              <w:rPr>
                <w:rFonts w:ascii="Times New Roman" w:hAnsi="Times New Roman"/>
                <w:kern w:val="0"/>
                <w:szCs w:val="21"/>
              </w:rPr>
            </w:pPr>
            <w:r>
              <w:rPr>
                <w:rFonts w:hint="eastAsia" w:ascii="Times New Roman" w:hAnsi="Times New Roman"/>
                <w:color w:val="000000"/>
                <w:kern w:val="0"/>
                <w:szCs w:val="21"/>
              </w:rPr>
              <w:t>序号</w:t>
            </w:r>
          </w:p>
        </w:tc>
        <w:tc>
          <w:tcPr>
            <w:tcW w:w="3000" w:type="dxa"/>
            <w:tcBorders>
              <w:top w:val="single" w:color="auto" w:sz="4" w:space="0"/>
              <w:left w:val="single" w:color="auto" w:sz="4" w:space="0"/>
              <w:bottom w:val="single" w:color="auto" w:sz="4" w:space="0"/>
              <w:right w:val="single" w:color="auto" w:sz="4" w:space="0"/>
            </w:tcBorders>
            <w:vAlign w:val="center"/>
          </w:tcPr>
          <w:p>
            <w:pPr>
              <w:widowControl/>
              <w:jc w:val="center"/>
              <w:rPr>
                <w:rFonts w:ascii="Times New Roman" w:hAnsi="Times New Roman"/>
                <w:kern w:val="0"/>
                <w:szCs w:val="21"/>
              </w:rPr>
            </w:pPr>
            <w:r>
              <w:rPr>
                <w:rFonts w:hint="eastAsia" w:ascii="Times New Roman" w:hAnsi="Times New Roman"/>
                <w:color w:val="000000"/>
                <w:kern w:val="0"/>
                <w:szCs w:val="21"/>
              </w:rPr>
              <w:t>指标名称</w:t>
            </w:r>
          </w:p>
        </w:tc>
        <w:tc>
          <w:tcPr>
            <w:tcW w:w="1064" w:type="dxa"/>
            <w:tcBorders>
              <w:top w:val="single" w:color="auto" w:sz="4" w:space="0"/>
              <w:left w:val="single" w:color="auto" w:sz="4" w:space="0"/>
              <w:bottom w:val="single" w:color="auto" w:sz="4" w:space="0"/>
              <w:right w:val="single" w:color="auto" w:sz="4" w:space="0"/>
            </w:tcBorders>
            <w:vAlign w:val="center"/>
          </w:tcPr>
          <w:p>
            <w:pPr>
              <w:widowControl/>
              <w:jc w:val="center"/>
              <w:rPr>
                <w:rFonts w:ascii="Times New Roman" w:hAnsi="Times New Roman"/>
                <w:kern w:val="0"/>
                <w:szCs w:val="21"/>
              </w:rPr>
            </w:pPr>
            <w:r>
              <w:rPr>
                <w:rFonts w:hint="eastAsia" w:ascii="Times New Roman" w:hAnsi="Times New Roman"/>
                <w:color w:val="000000"/>
                <w:kern w:val="0"/>
                <w:szCs w:val="21"/>
              </w:rPr>
              <w:t>单位</w:t>
            </w:r>
          </w:p>
        </w:tc>
        <w:tc>
          <w:tcPr>
            <w:tcW w:w="1275" w:type="dxa"/>
            <w:tcBorders>
              <w:top w:val="single" w:color="auto" w:sz="4" w:space="0"/>
              <w:left w:val="single" w:color="auto" w:sz="4" w:space="0"/>
              <w:bottom w:val="single" w:color="auto" w:sz="4" w:space="0"/>
              <w:right w:val="single" w:color="auto" w:sz="4" w:space="0"/>
            </w:tcBorders>
          </w:tcPr>
          <w:p>
            <w:pPr>
              <w:widowControl/>
              <w:jc w:val="center"/>
              <w:rPr>
                <w:rFonts w:ascii="Times New Roman" w:hAnsi="Times New Roman"/>
                <w:color w:val="000000"/>
                <w:kern w:val="0"/>
                <w:szCs w:val="21"/>
              </w:rPr>
            </w:pPr>
            <w:r>
              <w:rPr>
                <w:rFonts w:hint="eastAsia" w:ascii="Times New Roman" w:hAnsi="Times New Roman"/>
                <w:color w:val="000000"/>
                <w:kern w:val="0"/>
                <w:szCs w:val="21"/>
              </w:rPr>
              <w:t>“十二五”末期</w:t>
            </w:r>
          </w:p>
        </w:tc>
        <w:tc>
          <w:tcPr>
            <w:tcW w:w="1134" w:type="dxa"/>
            <w:tcBorders>
              <w:top w:val="single" w:color="auto" w:sz="4" w:space="0"/>
              <w:left w:val="single" w:color="auto" w:sz="4" w:space="0"/>
              <w:bottom w:val="single" w:color="auto" w:sz="4" w:space="0"/>
              <w:right w:val="single" w:color="auto" w:sz="4" w:space="0"/>
            </w:tcBorders>
            <w:vAlign w:val="center"/>
          </w:tcPr>
          <w:p>
            <w:pPr>
              <w:widowControl/>
              <w:jc w:val="center"/>
              <w:rPr>
                <w:rFonts w:ascii="Times New Roman" w:hAnsi="Times New Roman"/>
                <w:kern w:val="0"/>
                <w:szCs w:val="21"/>
              </w:rPr>
            </w:pPr>
            <w:r>
              <w:rPr>
                <w:rFonts w:ascii="Times New Roman" w:hAnsi="Times New Roman"/>
                <w:color w:val="000000"/>
                <w:kern w:val="0"/>
                <w:szCs w:val="21"/>
              </w:rPr>
              <w:t>“</w:t>
            </w:r>
            <w:r>
              <w:rPr>
                <w:rFonts w:hint="eastAsia" w:ascii="Times New Roman" w:hAnsi="Times New Roman"/>
                <w:color w:val="000000"/>
                <w:kern w:val="0"/>
                <w:szCs w:val="21"/>
              </w:rPr>
              <w:t>十三五</w:t>
            </w:r>
            <w:r>
              <w:rPr>
                <w:rFonts w:ascii="Times New Roman" w:hAnsi="Times New Roman"/>
                <w:color w:val="000000"/>
                <w:kern w:val="0"/>
                <w:szCs w:val="21"/>
              </w:rPr>
              <w:t>”</w:t>
            </w:r>
            <w:r>
              <w:rPr>
                <w:rFonts w:hint="eastAsia" w:ascii="Times New Roman" w:hAnsi="Times New Roman"/>
                <w:color w:val="000000"/>
                <w:kern w:val="0"/>
                <w:szCs w:val="21"/>
              </w:rPr>
              <w:t>规划目标</w:t>
            </w:r>
          </w:p>
        </w:tc>
        <w:tc>
          <w:tcPr>
            <w:tcW w:w="930" w:type="dxa"/>
            <w:tcBorders>
              <w:top w:val="single" w:color="auto" w:sz="4" w:space="0"/>
              <w:left w:val="single" w:color="auto" w:sz="4" w:space="0"/>
              <w:bottom w:val="single" w:color="auto" w:sz="4" w:space="0"/>
              <w:right w:val="single" w:color="auto" w:sz="4" w:space="0"/>
            </w:tcBorders>
            <w:vAlign w:val="center"/>
          </w:tcPr>
          <w:p>
            <w:pPr>
              <w:widowControl/>
              <w:jc w:val="center"/>
              <w:rPr>
                <w:rFonts w:ascii="Times New Roman" w:hAnsi="Times New Roman"/>
                <w:kern w:val="0"/>
                <w:szCs w:val="21"/>
              </w:rPr>
            </w:pPr>
            <w:r>
              <w:rPr>
                <w:rFonts w:ascii="Times New Roman" w:hAnsi="Times New Roman"/>
                <w:color w:val="000000"/>
                <w:kern w:val="0"/>
                <w:szCs w:val="21"/>
              </w:rPr>
              <w:t xml:space="preserve">2020 </w:t>
            </w:r>
            <w:r>
              <w:rPr>
                <w:rFonts w:hint="eastAsia" w:ascii="Times New Roman" w:hAnsi="Times New Roman"/>
                <w:color w:val="000000"/>
                <w:kern w:val="0"/>
                <w:szCs w:val="21"/>
              </w:rPr>
              <w:t>年</w:t>
            </w: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jc w:val="center"/>
        </w:trPr>
        <w:tc>
          <w:tcPr>
            <w:tcW w:w="893" w:type="dxa"/>
            <w:tcBorders>
              <w:top w:val="single" w:color="auto" w:sz="4" w:space="0"/>
              <w:left w:val="single" w:color="auto" w:sz="4" w:space="0"/>
              <w:bottom w:val="single" w:color="auto" w:sz="4" w:space="0"/>
              <w:right w:val="single" w:color="auto" w:sz="4" w:space="0"/>
            </w:tcBorders>
            <w:vAlign w:val="center"/>
          </w:tcPr>
          <w:p>
            <w:pPr>
              <w:widowControl/>
              <w:jc w:val="center"/>
              <w:rPr>
                <w:rFonts w:ascii="Times New Roman" w:hAnsi="Times New Roman"/>
                <w:kern w:val="0"/>
                <w:szCs w:val="21"/>
              </w:rPr>
            </w:pPr>
            <w:r>
              <w:rPr>
                <w:rFonts w:ascii="Times New Roman" w:hAnsi="Times New Roman"/>
                <w:color w:val="000000"/>
                <w:kern w:val="0"/>
                <w:szCs w:val="21"/>
              </w:rPr>
              <w:t>1</w:t>
            </w:r>
          </w:p>
        </w:tc>
        <w:tc>
          <w:tcPr>
            <w:tcW w:w="3000" w:type="dxa"/>
            <w:tcBorders>
              <w:top w:val="single" w:color="auto" w:sz="4" w:space="0"/>
              <w:left w:val="single" w:color="auto" w:sz="4" w:space="0"/>
              <w:bottom w:val="single" w:color="auto" w:sz="4" w:space="0"/>
              <w:right w:val="single" w:color="auto" w:sz="4" w:space="0"/>
            </w:tcBorders>
            <w:vAlign w:val="center"/>
          </w:tcPr>
          <w:p>
            <w:pPr>
              <w:widowControl/>
              <w:jc w:val="center"/>
              <w:rPr>
                <w:rFonts w:ascii="Times New Roman" w:hAnsi="Times New Roman"/>
                <w:kern w:val="0"/>
                <w:szCs w:val="21"/>
              </w:rPr>
            </w:pPr>
            <w:r>
              <w:rPr>
                <w:rFonts w:hint="eastAsia" w:ascii="Times New Roman" w:hAnsi="Times New Roman"/>
                <w:color w:val="000000"/>
                <w:kern w:val="0"/>
                <w:szCs w:val="21"/>
              </w:rPr>
              <w:t>用水总量</w:t>
            </w:r>
          </w:p>
        </w:tc>
        <w:tc>
          <w:tcPr>
            <w:tcW w:w="1064" w:type="dxa"/>
            <w:tcBorders>
              <w:top w:val="single" w:color="auto" w:sz="4" w:space="0"/>
              <w:left w:val="single" w:color="auto" w:sz="4" w:space="0"/>
              <w:bottom w:val="single" w:color="auto" w:sz="4" w:space="0"/>
              <w:right w:val="single" w:color="auto" w:sz="4" w:space="0"/>
            </w:tcBorders>
            <w:vAlign w:val="center"/>
          </w:tcPr>
          <w:p>
            <w:pPr>
              <w:widowControl/>
              <w:jc w:val="center"/>
              <w:rPr>
                <w:rFonts w:ascii="Times New Roman" w:hAnsi="Times New Roman"/>
                <w:kern w:val="0"/>
                <w:szCs w:val="21"/>
              </w:rPr>
            </w:pPr>
            <w:r>
              <w:rPr>
                <w:rFonts w:hint="eastAsia" w:ascii="Times New Roman" w:hAnsi="Times New Roman"/>
                <w:kern w:val="0"/>
                <w:szCs w:val="21"/>
              </w:rPr>
              <w:t>亿</w:t>
            </w:r>
            <w:r>
              <w:rPr>
                <w:rFonts w:ascii="Times New Roman" w:hAnsi="Times New Roman"/>
                <w:kern w:val="0"/>
                <w:szCs w:val="21"/>
              </w:rPr>
              <w:t xml:space="preserve"> m</w:t>
            </w:r>
            <w:r>
              <w:rPr>
                <w:rFonts w:ascii="Times New Roman" w:hAnsi="Times New Roman"/>
                <w:kern w:val="0"/>
                <w:szCs w:val="21"/>
                <w:vertAlign w:val="superscript"/>
              </w:rPr>
              <w:t>3</w:t>
            </w:r>
          </w:p>
        </w:tc>
        <w:tc>
          <w:tcPr>
            <w:tcW w:w="1275" w:type="dxa"/>
            <w:tcBorders>
              <w:top w:val="single" w:color="auto" w:sz="4" w:space="0"/>
              <w:left w:val="single" w:color="auto" w:sz="4" w:space="0"/>
              <w:bottom w:val="single" w:color="auto" w:sz="4" w:space="0"/>
              <w:right w:val="single" w:color="auto" w:sz="4" w:space="0"/>
            </w:tcBorders>
          </w:tcPr>
          <w:p>
            <w:pPr>
              <w:widowControl/>
              <w:jc w:val="center"/>
              <w:rPr>
                <w:rFonts w:ascii="Times New Roman" w:hAnsi="Times New Roman"/>
                <w:kern w:val="0"/>
                <w:szCs w:val="21"/>
              </w:rPr>
            </w:pPr>
            <w:r>
              <w:rPr>
                <w:rFonts w:ascii="Times New Roman" w:hAnsi="Times New Roman"/>
                <w:kern w:val="0"/>
                <w:szCs w:val="21"/>
              </w:rPr>
              <w:t>2.7441</w:t>
            </w:r>
          </w:p>
        </w:tc>
        <w:tc>
          <w:tcPr>
            <w:tcW w:w="1134" w:type="dxa"/>
            <w:tcBorders>
              <w:top w:val="single" w:color="auto" w:sz="4" w:space="0"/>
              <w:left w:val="single" w:color="auto" w:sz="4" w:space="0"/>
              <w:bottom w:val="single" w:color="auto" w:sz="4" w:space="0"/>
              <w:right w:val="single" w:color="auto" w:sz="4" w:space="0"/>
            </w:tcBorders>
            <w:vAlign w:val="center"/>
          </w:tcPr>
          <w:p>
            <w:pPr>
              <w:widowControl/>
              <w:jc w:val="center"/>
              <w:rPr>
                <w:rFonts w:ascii="Times New Roman" w:hAnsi="Times New Roman"/>
                <w:kern w:val="0"/>
                <w:szCs w:val="21"/>
              </w:rPr>
            </w:pPr>
            <w:r>
              <w:rPr>
                <w:rFonts w:ascii="Times New Roman" w:hAnsi="Times New Roman"/>
                <w:kern w:val="0"/>
                <w:szCs w:val="21"/>
              </w:rPr>
              <w:t>3.45</w:t>
            </w:r>
          </w:p>
        </w:tc>
        <w:tc>
          <w:tcPr>
            <w:tcW w:w="930" w:type="dxa"/>
            <w:tcBorders>
              <w:top w:val="single" w:color="auto" w:sz="4" w:space="0"/>
              <w:left w:val="single" w:color="auto" w:sz="4" w:space="0"/>
              <w:bottom w:val="single" w:color="auto" w:sz="4" w:space="0"/>
              <w:right w:val="single" w:color="auto" w:sz="4" w:space="0"/>
            </w:tcBorders>
            <w:vAlign w:val="center"/>
          </w:tcPr>
          <w:p>
            <w:pPr>
              <w:widowControl/>
              <w:jc w:val="center"/>
              <w:rPr>
                <w:rFonts w:ascii="Times New Roman" w:hAnsi="Times New Roman"/>
                <w:kern w:val="0"/>
                <w:szCs w:val="21"/>
              </w:rPr>
            </w:pPr>
            <w:r>
              <w:rPr>
                <w:rFonts w:ascii="Times New Roman" w:hAnsi="Times New Roman"/>
                <w:kern w:val="0"/>
                <w:szCs w:val="21"/>
              </w:rPr>
              <w:t>2.4843</w:t>
            </w: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jc w:val="center"/>
        </w:trPr>
        <w:tc>
          <w:tcPr>
            <w:tcW w:w="893" w:type="dxa"/>
            <w:tcBorders>
              <w:top w:val="single" w:color="auto" w:sz="4" w:space="0"/>
              <w:left w:val="single" w:color="auto" w:sz="4" w:space="0"/>
              <w:bottom w:val="single" w:color="auto" w:sz="4" w:space="0"/>
              <w:right w:val="single" w:color="auto" w:sz="4" w:space="0"/>
            </w:tcBorders>
            <w:vAlign w:val="center"/>
          </w:tcPr>
          <w:p>
            <w:pPr>
              <w:widowControl/>
              <w:jc w:val="center"/>
              <w:rPr>
                <w:rFonts w:ascii="Times New Roman" w:hAnsi="Times New Roman"/>
                <w:kern w:val="0"/>
                <w:szCs w:val="21"/>
              </w:rPr>
            </w:pPr>
            <w:r>
              <w:rPr>
                <w:rFonts w:ascii="Times New Roman" w:hAnsi="Times New Roman"/>
                <w:color w:val="000000"/>
                <w:kern w:val="0"/>
                <w:szCs w:val="21"/>
              </w:rPr>
              <w:t>2</w:t>
            </w:r>
          </w:p>
        </w:tc>
        <w:tc>
          <w:tcPr>
            <w:tcW w:w="3000" w:type="dxa"/>
            <w:tcBorders>
              <w:top w:val="single" w:color="auto" w:sz="4" w:space="0"/>
              <w:left w:val="single" w:color="auto" w:sz="4" w:space="0"/>
              <w:bottom w:val="single" w:color="auto" w:sz="4" w:space="0"/>
              <w:right w:val="single" w:color="auto" w:sz="4" w:space="0"/>
            </w:tcBorders>
            <w:vAlign w:val="center"/>
          </w:tcPr>
          <w:p>
            <w:pPr>
              <w:widowControl/>
              <w:jc w:val="center"/>
              <w:rPr>
                <w:rFonts w:ascii="Times New Roman" w:hAnsi="Times New Roman"/>
                <w:kern w:val="0"/>
                <w:szCs w:val="21"/>
              </w:rPr>
            </w:pPr>
            <w:r>
              <w:rPr>
                <w:rFonts w:hint="eastAsia" w:ascii="Times New Roman" w:hAnsi="Times New Roman"/>
                <w:color w:val="000000"/>
                <w:kern w:val="0"/>
                <w:szCs w:val="21"/>
              </w:rPr>
              <w:t>万元国内生产总值用水量下降</w:t>
            </w:r>
          </w:p>
        </w:tc>
        <w:tc>
          <w:tcPr>
            <w:tcW w:w="1064" w:type="dxa"/>
            <w:tcBorders>
              <w:top w:val="single" w:color="auto" w:sz="4" w:space="0"/>
              <w:left w:val="single" w:color="auto" w:sz="4" w:space="0"/>
              <w:bottom w:val="single" w:color="auto" w:sz="4" w:space="0"/>
              <w:right w:val="single" w:color="auto" w:sz="4" w:space="0"/>
            </w:tcBorders>
            <w:vAlign w:val="center"/>
          </w:tcPr>
          <w:p>
            <w:pPr>
              <w:widowControl/>
              <w:jc w:val="center"/>
              <w:rPr>
                <w:rFonts w:ascii="Times New Roman" w:hAnsi="Times New Roman"/>
                <w:kern w:val="0"/>
                <w:szCs w:val="21"/>
              </w:rPr>
            </w:pPr>
            <w:r>
              <w:rPr>
                <w:rFonts w:ascii="Times New Roman" w:hAnsi="Times New Roman"/>
                <w:color w:val="000000"/>
                <w:kern w:val="0"/>
                <w:szCs w:val="21"/>
              </w:rPr>
              <w:t>%</w:t>
            </w:r>
          </w:p>
        </w:tc>
        <w:tc>
          <w:tcPr>
            <w:tcW w:w="1275" w:type="dxa"/>
            <w:tcBorders>
              <w:top w:val="single" w:color="auto" w:sz="4" w:space="0"/>
              <w:left w:val="single" w:color="auto" w:sz="4" w:space="0"/>
              <w:bottom w:val="single" w:color="auto" w:sz="4" w:space="0"/>
              <w:right w:val="single" w:color="auto" w:sz="4" w:space="0"/>
            </w:tcBorders>
          </w:tcPr>
          <w:p>
            <w:pPr>
              <w:widowControl/>
              <w:jc w:val="center"/>
              <w:rPr>
                <w:rFonts w:ascii="Times New Roman" w:hAnsi="Times New Roman"/>
                <w:kern w:val="0"/>
                <w:szCs w:val="21"/>
              </w:rPr>
            </w:pPr>
            <w:r>
              <w:rPr>
                <w:rFonts w:ascii="Times New Roman" w:hAnsi="Times New Roman"/>
                <w:kern w:val="0"/>
                <w:szCs w:val="21"/>
              </w:rPr>
              <w:t>23m</w:t>
            </w:r>
            <w:r>
              <w:rPr>
                <w:rFonts w:ascii="Times New Roman" w:hAnsi="Times New Roman"/>
                <w:kern w:val="0"/>
                <w:szCs w:val="21"/>
                <w:vertAlign w:val="superscript"/>
              </w:rPr>
              <w:t>3</w:t>
            </w:r>
            <w:r>
              <w:rPr>
                <w:rFonts w:ascii="Times New Roman" w:hAnsi="Times New Roman"/>
                <w:kern w:val="0"/>
                <w:szCs w:val="21"/>
              </w:rPr>
              <w:t>/</w:t>
            </w:r>
            <w:r>
              <w:rPr>
                <w:rFonts w:hint="eastAsia" w:ascii="Times New Roman" w:hAnsi="Times New Roman"/>
                <w:kern w:val="0"/>
                <w:szCs w:val="21"/>
              </w:rPr>
              <w:t>万</w:t>
            </w:r>
          </w:p>
        </w:tc>
        <w:tc>
          <w:tcPr>
            <w:tcW w:w="1134" w:type="dxa"/>
            <w:tcBorders>
              <w:top w:val="single" w:color="auto" w:sz="4" w:space="0"/>
              <w:left w:val="single" w:color="auto" w:sz="4" w:space="0"/>
              <w:bottom w:val="single" w:color="auto" w:sz="4" w:space="0"/>
              <w:right w:val="single" w:color="auto" w:sz="4" w:space="0"/>
            </w:tcBorders>
            <w:vAlign w:val="center"/>
          </w:tcPr>
          <w:p>
            <w:pPr>
              <w:widowControl/>
              <w:jc w:val="center"/>
              <w:rPr>
                <w:rFonts w:ascii="Times New Roman" w:hAnsi="Times New Roman"/>
                <w:kern w:val="0"/>
                <w:szCs w:val="21"/>
              </w:rPr>
            </w:pPr>
            <w:r>
              <w:rPr>
                <w:rFonts w:ascii="Times New Roman" w:hAnsi="Times New Roman"/>
                <w:kern w:val="0"/>
                <w:szCs w:val="21"/>
              </w:rPr>
              <w:t>25%</w:t>
            </w:r>
          </w:p>
        </w:tc>
        <w:tc>
          <w:tcPr>
            <w:tcW w:w="930" w:type="dxa"/>
            <w:vAlign w:val="center"/>
          </w:tcPr>
          <w:p>
            <w:pPr>
              <w:widowControl/>
              <w:jc w:val="center"/>
              <w:rPr>
                <w:rFonts w:ascii="Times New Roman" w:hAnsi="Times New Roman"/>
                <w:kern w:val="0"/>
                <w:szCs w:val="21"/>
              </w:rPr>
            </w:pPr>
            <w:r>
              <w:rPr>
                <w:rFonts w:ascii="Times New Roman" w:hAnsi="Times New Roman"/>
                <w:kern w:val="0"/>
                <w:szCs w:val="21"/>
              </w:rPr>
              <w:t>25.04%</w:t>
            </w: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jc w:val="center"/>
        </w:trPr>
        <w:tc>
          <w:tcPr>
            <w:tcW w:w="893" w:type="dxa"/>
            <w:tcBorders>
              <w:top w:val="single" w:color="auto" w:sz="4" w:space="0"/>
              <w:left w:val="single" w:color="auto" w:sz="4" w:space="0"/>
              <w:bottom w:val="single" w:color="auto" w:sz="4" w:space="0"/>
              <w:right w:val="single" w:color="auto" w:sz="4" w:space="0"/>
            </w:tcBorders>
            <w:vAlign w:val="center"/>
          </w:tcPr>
          <w:p>
            <w:pPr>
              <w:widowControl/>
              <w:jc w:val="center"/>
              <w:rPr>
                <w:rFonts w:ascii="Times New Roman" w:hAnsi="Times New Roman"/>
                <w:kern w:val="0"/>
                <w:szCs w:val="21"/>
              </w:rPr>
            </w:pPr>
            <w:r>
              <w:rPr>
                <w:rFonts w:ascii="Times New Roman" w:hAnsi="Times New Roman"/>
                <w:color w:val="000000"/>
                <w:kern w:val="0"/>
                <w:szCs w:val="21"/>
              </w:rPr>
              <w:t>3</w:t>
            </w:r>
          </w:p>
        </w:tc>
        <w:tc>
          <w:tcPr>
            <w:tcW w:w="3000" w:type="dxa"/>
            <w:tcBorders>
              <w:top w:val="single" w:color="auto" w:sz="4" w:space="0"/>
              <w:left w:val="single" w:color="auto" w:sz="4" w:space="0"/>
              <w:bottom w:val="single" w:color="auto" w:sz="4" w:space="0"/>
              <w:right w:val="single" w:color="auto" w:sz="4" w:space="0"/>
            </w:tcBorders>
            <w:vAlign w:val="center"/>
          </w:tcPr>
          <w:p>
            <w:pPr>
              <w:widowControl/>
              <w:jc w:val="center"/>
              <w:rPr>
                <w:rFonts w:ascii="Times New Roman" w:hAnsi="Times New Roman"/>
                <w:kern w:val="0"/>
                <w:szCs w:val="21"/>
              </w:rPr>
            </w:pPr>
            <w:r>
              <w:rPr>
                <w:rFonts w:hint="eastAsia" w:ascii="Times New Roman" w:hAnsi="Times New Roman"/>
                <w:color w:val="000000"/>
                <w:kern w:val="0"/>
                <w:szCs w:val="21"/>
              </w:rPr>
              <w:t>万元工业增加值用水量下降</w:t>
            </w:r>
          </w:p>
        </w:tc>
        <w:tc>
          <w:tcPr>
            <w:tcW w:w="1064" w:type="dxa"/>
            <w:tcBorders>
              <w:top w:val="single" w:color="auto" w:sz="4" w:space="0"/>
              <w:left w:val="single" w:color="auto" w:sz="4" w:space="0"/>
              <w:bottom w:val="single" w:color="auto" w:sz="4" w:space="0"/>
              <w:right w:val="single" w:color="auto" w:sz="4" w:space="0"/>
            </w:tcBorders>
            <w:vAlign w:val="center"/>
          </w:tcPr>
          <w:p>
            <w:pPr>
              <w:widowControl/>
              <w:jc w:val="center"/>
              <w:rPr>
                <w:rFonts w:ascii="Times New Roman" w:hAnsi="Times New Roman"/>
                <w:kern w:val="0"/>
                <w:szCs w:val="21"/>
              </w:rPr>
            </w:pPr>
            <w:r>
              <w:rPr>
                <w:rFonts w:ascii="Times New Roman" w:hAnsi="Times New Roman"/>
                <w:color w:val="000000"/>
                <w:kern w:val="0"/>
                <w:szCs w:val="21"/>
              </w:rPr>
              <w:t>%</w:t>
            </w:r>
          </w:p>
        </w:tc>
        <w:tc>
          <w:tcPr>
            <w:tcW w:w="1275" w:type="dxa"/>
            <w:tcBorders>
              <w:top w:val="single" w:color="auto" w:sz="4" w:space="0"/>
              <w:left w:val="single" w:color="auto" w:sz="4" w:space="0"/>
              <w:bottom w:val="single" w:color="auto" w:sz="4" w:space="0"/>
              <w:right w:val="single" w:color="auto" w:sz="4" w:space="0"/>
            </w:tcBorders>
          </w:tcPr>
          <w:p>
            <w:pPr>
              <w:widowControl/>
              <w:jc w:val="center"/>
              <w:rPr>
                <w:rFonts w:ascii="Times New Roman" w:hAnsi="Times New Roman"/>
                <w:kern w:val="0"/>
                <w:szCs w:val="21"/>
              </w:rPr>
            </w:pPr>
            <w:r>
              <w:rPr>
                <w:rFonts w:ascii="Times New Roman" w:hAnsi="Times New Roman"/>
                <w:kern w:val="0"/>
                <w:szCs w:val="21"/>
              </w:rPr>
              <w:t>25m</w:t>
            </w:r>
            <w:r>
              <w:rPr>
                <w:rFonts w:ascii="Times New Roman" w:hAnsi="Times New Roman"/>
                <w:kern w:val="0"/>
                <w:szCs w:val="21"/>
                <w:vertAlign w:val="superscript"/>
              </w:rPr>
              <w:t>3</w:t>
            </w:r>
            <w:r>
              <w:rPr>
                <w:rFonts w:ascii="Times New Roman" w:hAnsi="Times New Roman"/>
                <w:kern w:val="0"/>
                <w:szCs w:val="21"/>
              </w:rPr>
              <w:t>/</w:t>
            </w:r>
            <w:r>
              <w:rPr>
                <w:rFonts w:hint="eastAsia" w:ascii="Times New Roman" w:hAnsi="Times New Roman"/>
                <w:kern w:val="0"/>
                <w:szCs w:val="21"/>
              </w:rPr>
              <w:t>万</w:t>
            </w:r>
          </w:p>
        </w:tc>
        <w:tc>
          <w:tcPr>
            <w:tcW w:w="1134" w:type="dxa"/>
            <w:tcBorders>
              <w:top w:val="single" w:color="auto" w:sz="4" w:space="0"/>
              <w:left w:val="single" w:color="auto" w:sz="4" w:space="0"/>
              <w:bottom w:val="single" w:color="auto" w:sz="4" w:space="0"/>
              <w:right w:val="single" w:color="auto" w:sz="4" w:space="0"/>
            </w:tcBorders>
            <w:vAlign w:val="center"/>
          </w:tcPr>
          <w:p>
            <w:pPr>
              <w:widowControl/>
              <w:jc w:val="center"/>
              <w:rPr>
                <w:rFonts w:ascii="Times New Roman" w:hAnsi="Times New Roman"/>
                <w:kern w:val="0"/>
                <w:szCs w:val="21"/>
              </w:rPr>
            </w:pPr>
            <w:r>
              <w:rPr>
                <w:rFonts w:ascii="Times New Roman" w:hAnsi="Times New Roman"/>
                <w:kern w:val="0"/>
                <w:szCs w:val="21"/>
              </w:rPr>
              <w:t>18%</w:t>
            </w:r>
          </w:p>
        </w:tc>
        <w:tc>
          <w:tcPr>
            <w:tcW w:w="930" w:type="dxa"/>
            <w:vAlign w:val="center"/>
          </w:tcPr>
          <w:p>
            <w:pPr>
              <w:widowControl/>
              <w:jc w:val="center"/>
              <w:rPr>
                <w:rFonts w:ascii="Times New Roman" w:hAnsi="Times New Roman"/>
                <w:kern w:val="0"/>
                <w:szCs w:val="21"/>
              </w:rPr>
            </w:pPr>
            <w:r>
              <w:rPr>
                <w:rFonts w:ascii="Times New Roman" w:hAnsi="Times New Roman"/>
                <w:kern w:val="0"/>
                <w:szCs w:val="21"/>
              </w:rPr>
              <w:t>52.37%</w:t>
            </w: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jc w:val="center"/>
        </w:trPr>
        <w:tc>
          <w:tcPr>
            <w:tcW w:w="893" w:type="dxa"/>
            <w:tcBorders>
              <w:top w:val="single" w:color="auto" w:sz="4" w:space="0"/>
              <w:left w:val="single" w:color="auto" w:sz="4" w:space="0"/>
              <w:bottom w:val="single" w:color="auto" w:sz="4" w:space="0"/>
              <w:right w:val="single" w:color="auto" w:sz="4" w:space="0"/>
            </w:tcBorders>
            <w:vAlign w:val="center"/>
          </w:tcPr>
          <w:p>
            <w:pPr>
              <w:widowControl/>
              <w:jc w:val="center"/>
              <w:rPr>
                <w:rFonts w:ascii="Times New Roman" w:hAnsi="Times New Roman"/>
                <w:kern w:val="0"/>
                <w:szCs w:val="21"/>
              </w:rPr>
            </w:pPr>
            <w:r>
              <w:rPr>
                <w:rFonts w:ascii="Times New Roman" w:hAnsi="Times New Roman"/>
                <w:color w:val="000000"/>
                <w:kern w:val="0"/>
                <w:szCs w:val="21"/>
              </w:rPr>
              <w:t>4</w:t>
            </w:r>
          </w:p>
        </w:tc>
        <w:tc>
          <w:tcPr>
            <w:tcW w:w="3000" w:type="dxa"/>
            <w:tcBorders>
              <w:top w:val="single" w:color="auto" w:sz="4" w:space="0"/>
              <w:left w:val="single" w:color="auto" w:sz="4" w:space="0"/>
              <w:bottom w:val="single" w:color="auto" w:sz="4" w:space="0"/>
              <w:right w:val="single" w:color="auto" w:sz="4" w:space="0"/>
            </w:tcBorders>
            <w:vAlign w:val="center"/>
          </w:tcPr>
          <w:p>
            <w:pPr>
              <w:widowControl/>
              <w:jc w:val="center"/>
              <w:rPr>
                <w:rFonts w:ascii="Times New Roman" w:hAnsi="Times New Roman"/>
                <w:kern w:val="0"/>
                <w:szCs w:val="21"/>
              </w:rPr>
            </w:pPr>
            <w:r>
              <w:rPr>
                <w:rFonts w:hint="eastAsia" w:ascii="Times New Roman" w:hAnsi="Times New Roman"/>
                <w:color w:val="000000"/>
                <w:kern w:val="0"/>
                <w:szCs w:val="21"/>
              </w:rPr>
              <w:t>农田灌溉水有效利用系数</w:t>
            </w:r>
          </w:p>
        </w:tc>
        <w:tc>
          <w:tcPr>
            <w:tcW w:w="1064" w:type="dxa"/>
            <w:tcBorders>
              <w:top w:val="single" w:color="auto" w:sz="4" w:space="0"/>
              <w:left w:val="single" w:color="auto" w:sz="4" w:space="0"/>
              <w:bottom w:val="single" w:color="auto" w:sz="4" w:space="0"/>
              <w:right w:val="single" w:color="auto" w:sz="4" w:space="0"/>
            </w:tcBorders>
            <w:vAlign w:val="center"/>
          </w:tcPr>
          <w:p>
            <w:pPr>
              <w:widowControl/>
              <w:jc w:val="center"/>
              <w:rPr>
                <w:rFonts w:ascii="Times New Roman" w:hAnsi="Times New Roman"/>
                <w:kern w:val="0"/>
                <w:szCs w:val="21"/>
              </w:rPr>
            </w:pPr>
          </w:p>
        </w:tc>
        <w:tc>
          <w:tcPr>
            <w:tcW w:w="1275" w:type="dxa"/>
            <w:tcBorders>
              <w:top w:val="single" w:color="auto" w:sz="4" w:space="0"/>
              <w:left w:val="single" w:color="auto" w:sz="4" w:space="0"/>
              <w:bottom w:val="single" w:color="auto" w:sz="4" w:space="0"/>
              <w:right w:val="single" w:color="auto" w:sz="4" w:space="0"/>
            </w:tcBorders>
          </w:tcPr>
          <w:p>
            <w:pPr>
              <w:widowControl/>
              <w:jc w:val="center"/>
              <w:rPr>
                <w:rFonts w:ascii="Times New Roman" w:hAnsi="Times New Roman"/>
                <w:kern w:val="0"/>
                <w:szCs w:val="21"/>
              </w:rPr>
            </w:pPr>
            <w:r>
              <w:rPr>
                <w:rFonts w:ascii="Times New Roman" w:hAnsi="Times New Roman"/>
                <w:kern w:val="0"/>
                <w:szCs w:val="21"/>
              </w:rPr>
              <w:t>0.484</w:t>
            </w:r>
          </w:p>
        </w:tc>
        <w:tc>
          <w:tcPr>
            <w:tcW w:w="1134" w:type="dxa"/>
            <w:tcBorders>
              <w:top w:val="single" w:color="auto" w:sz="4" w:space="0"/>
              <w:left w:val="single" w:color="auto" w:sz="4" w:space="0"/>
              <w:bottom w:val="single" w:color="auto" w:sz="4" w:space="0"/>
              <w:right w:val="single" w:color="auto" w:sz="4" w:space="0"/>
            </w:tcBorders>
            <w:vAlign w:val="center"/>
          </w:tcPr>
          <w:p>
            <w:pPr>
              <w:widowControl/>
              <w:jc w:val="center"/>
              <w:rPr>
                <w:rFonts w:ascii="Times New Roman" w:hAnsi="Times New Roman"/>
                <w:kern w:val="0"/>
                <w:szCs w:val="21"/>
              </w:rPr>
            </w:pPr>
            <w:r>
              <w:rPr>
                <w:rFonts w:ascii="Times New Roman" w:hAnsi="Times New Roman"/>
                <w:kern w:val="0"/>
                <w:szCs w:val="21"/>
              </w:rPr>
              <w:t>0.504</w:t>
            </w:r>
          </w:p>
        </w:tc>
        <w:tc>
          <w:tcPr>
            <w:tcW w:w="930" w:type="dxa"/>
            <w:vAlign w:val="center"/>
          </w:tcPr>
          <w:p>
            <w:pPr>
              <w:widowControl/>
              <w:jc w:val="center"/>
              <w:rPr>
                <w:rFonts w:ascii="Times New Roman" w:hAnsi="Times New Roman"/>
                <w:kern w:val="0"/>
                <w:szCs w:val="21"/>
              </w:rPr>
            </w:pPr>
            <w:r>
              <w:rPr>
                <w:rFonts w:ascii="Times New Roman" w:hAnsi="Times New Roman"/>
                <w:kern w:val="0"/>
                <w:szCs w:val="21"/>
              </w:rPr>
              <w:t>0.5043</w:t>
            </w: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jc w:val="center"/>
        </w:trPr>
        <w:tc>
          <w:tcPr>
            <w:tcW w:w="893" w:type="dxa"/>
            <w:tcBorders>
              <w:top w:val="single" w:color="auto" w:sz="4" w:space="0"/>
              <w:left w:val="single" w:color="auto" w:sz="4" w:space="0"/>
              <w:bottom w:val="single" w:color="auto" w:sz="4" w:space="0"/>
              <w:right w:val="single" w:color="auto" w:sz="4" w:space="0"/>
            </w:tcBorders>
            <w:vAlign w:val="center"/>
          </w:tcPr>
          <w:p>
            <w:pPr>
              <w:widowControl/>
              <w:jc w:val="center"/>
              <w:rPr>
                <w:rFonts w:ascii="Times New Roman" w:hAnsi="Times New Roman"/>
                <w:kern w:val="0"/>
                <w:szCs w:val="21"/>
              </w:rPr>
            </w:pPr>
            <w:r>
              <w:rPr>
                <w:rFonts w:ascii="Times New Roman" w:hAnsi="Times New Roman"/>
                <w:color w:val="000000"/>
                <w:kern w:val="0"/>
                <w:szCs w:val="21"/>
              </w:rPr>
              <w:t>5</w:t>
            </w:r>
          </w:p>
        </w:tc>
        <w:tc>
          <w:tcPr>
            <w:tcW w:w="3000" w:type="dxa"/>
            <w:tcBorders>
              <w:top w:val="single" w:color="auto" w:sz="4" w:space="0"/>
              <w:left w:val="single" w:color="auto" w:sz="4" w:space="0"/>
              <w:bottom w:val="single" w:color="auto" w:sz="4" w:space="0"/>
              <w:right w:val="single" w:color="auto" w:sz="4" w:space="0"/>
            </w:tcBorders>
            <w:vAlign w:val="center"/>
          </w:tcPr>
          <w:p>
            <w:pPr>
              <w:widowControl/>
              <w:jc w:val="center"/>
              <w:rPr>
                <w:rFonts w:ascii="Times New Roman" w:hAnsi="Times New Roman"/>
                <w:kern w:val="0"/>
                <w:szCs w:val="21"/>
              </w:rPr>
            </w:pPr>
            <w:r>
              <w:rPr>
                <w:rFonts w:hint="eastAsia" w:ascii="Times New Roman" w:hAnsi="Times New Roman"/>
                <w:color w:val="000000"/>
                <w:kern w:val="0"/>
                <w:szCs w:val="21"/>
              </w:rPr>
              <w:t>城市公共供水管网漏损率</w:t>
            </w:r>
          </w:p>
        </w:tc>
        <w:tc>
          <w:tcPr>
            <w:tcW w:w="1064" w:type="dxa"/>
            <w:tcBorders>
              <w:top w:val="single" w:color="auto" w:sz="4" w:space="0"/>
              <w:left w:val="single" w:color="auto" w:sz="4" w:space="0"/>
              <w:bottom w:val="single" w:color="auto" w:sz="4" w:space="0"/>
              <w:right w:val="single" w:color="auto" w:sz="4" w:space="0"/>
            </w:tcBorders>
            <w:vAlign w:val="center"/>
          </w:tcPr>
          <w:p>
            <w:pPr>
              <w:widowControl/>
              <w:jc w:val="center"/>
              <w:rPr>
                <w:rFonts w:ascii="Times New Roman" w:hAnsi="Times New Roman"/>
                <w:kern w:val="0"/>
                <w:szCs w:val="21"/>
              </w:rPr>
            </w:pPr>
            <w:r>
              <w:rPr>
                <w:rFonts w:ascii="Times New Roman" w:hAnsi="Times New Roman"/>
                <w:color w:val="000000"/>
                <w:kern w:val="0"/>
                <w:szCs w:val="21"/>
              </w:rPr>
              <w:t>%</w:t>
            </w:r>
          </w:p>
        </w:tc>
        <w:tc>
          <w:tcPr>
            <w:tcW w:w="1275" w:type="dxa"/>
            <w:tcBorders>
              <w:top w:val="single" w:color="auto" w:sz="4" w:space="0"/>
              <w:left w:val="single" w:color="auto" w:sz="4" w:space="0"/>
              <w:bottom w:val="single" w:color="auto" w:sz="4" w:space="0"/>
              <w:right w:val="single" w:color="auto" w:sz="4" w:space="0"/>
            </w:tcBorders>
          </w:tcPr>
          <w:p>
            <w:pPr>
              <w:widowControl/>
              <w:jc w:val="center"/>
              <w:rPr>
                <w:rFonts w:ascii="Times New Roman" w:hAnsi="Times New Roman"/>
                <w:kern w:val="0"/>
                <w:szCs w:val="21"/>
              </w:rPr>
            </w:pPr>
            <w:r>
              <w:rPr>
                <w:rFonts w:ascii="Times New Roman" w:hAnsi="Times New Roman"/>
                <w:kern w:val="0"/>
                <w:szCs w:val="21"/>
              </w:rPr>
              <w:t>-</w:t>
            </w:r>
          </w:p>
        </w:tc>
        <w:tc>
          <w:tcPr>
            <w:tcW w:w="1134" w:type="dxa"/>
            <w:tcBorders>
              <w:top w:val="single" w:color="auto" w:sz="4" w:space="0"/>
              <w:left w:val="single" w:color="auto" w:sz="4" w:space="0"/>
              <w:bottom w:val="single" w:color="auto" w:sz="4" w:space="0"/>
              <w:right w:val="single" w:color="auto" w:sz="4" w:space="0"/>
            </w:tcBorders>
            <w:vAlign w:val="center"/>
          </w:tcPr>
          <w:p>
            <w:pPr>
              <w:widowControl/>
              <w:jc w:val="center"/>
              <w:rPr>
                <w:rFonts w:ascii="Times New Roman" w:hAnsi="Times New Roman"/>
                <w:color w:val="0070C0"/>
                <w:kern w:val="0"/>
                <w:szCs w:val="21"/>
              </w:rPr>
            </w:pPr>
            <w:r>
              <w:rPr>
                <w:rFonts w:hint="eastAsia" w:ascii="Times New Roman" w:hAnsi="Times New Roman"/>
                <w:kern w:val="0"/>
                <w:szCs w:val="21"/>
              </w:rPr>
              <w:t>＜</w:t>
            </w:r>
            <w:r>
              <w:rPr>
                <w:rFonts w:ascii="Times New Roman" w:hAnsi="Times New Roman"/>
                <w:kern w:val="0"/>
                <w:szCs w:val="21"/>
              </w:rPr>
              <w:t>12%</w:t>
            </w:r>
          </w:p>
        </w:tc>
        <w:tc>
          <w:tcPr>
            <w:tcW w:w="930" w:type="dxa"/>
            <w:vAlign w:val="center"/>
          </w:tcPr>
          <w:p>
            <w:pPr>
              <w:widowControl/>
              <w:jc w:val="center"/>
              <w:rPr>
                <w:rFonts w:ascii="Times New Roman" w:hAnsi="Times New Roman"/>
                <w:kern w:val="0"/>
                <w:szCs w:val="21"/>
              </w:rPr>
            </w:pPr>
            <w:r>
              <w:rPr>
                <w:rFonts w:ascii="Times New Roman" w:hAnsi="Times New Roman"/>
                <w:kern w:val="0"/>
                <w:szCs w:val="21"/>
              </w:rPr>
              <w:t>9.39%</w:t>
            </w:r>
          </w:p>
        </w:tc>
      </w:tr>
    </w:tbl>
    <w:p>
      <w:r>
        <w:rPr>
          <w:rFonts w:hint="eastAsia"/>
        </w:rPr>
        <w:t>注：</w:t>
      </w:r>
      <w:r>
        <w:t>2020</w:t>
      </w:r>
      <w:r>
        <w:rPr>
          <w:rFonts w:hint="eastAsia"/>
        </w:rPr>
        <w:t>年用水总量已包含污水回用量</w:t>
      </w:r>
      <w:r>
        <w:t>0.1367</w:t>
      </w:r>
      <w:r>
        <w:rPr>
          <w:rFonts w:hint="eastAsia"/>
        </w:rPr>
        <w:t>亿</w:t>
      </w:r>
      <w:r>
        <w:t xml:space="preserve"> m</w:t>
      </w:r>
      <w:r>
        <w:rPr>
          <w:vertAlign w:val="superscript"/>
        </w:rPr>
        <w:t>3</w:t>
      </w:r>
      <w:r>
        <w:rPr>
          <w:rFonts w:hint="eastAsia"/>
        </w:rPr>
        <w:t>。</w:t>
      </w:r>
    </w:p>
    <w:p>
      <w:pPr>
        <w:keepNext/>
        <w:keepLines/>
        <w:spacing w:before="260" w:after="260" w:line="413" w:lineRule="auto"/>
        <w:ind w:firstLine="560" w:firstLineChars="200"/>
        <w:outlineLvl w:val="2"/>
        <w:rPr>
          <w:rFonts w:ascii="Times New Roman" w:hAnsi="Times New Roman" w:eastAsia="黑体"/>
          <w:color w:val="0070C0"/>
          <w:sz w:val="28"/>
          <w:szCs w:val="24"/>
        </w:rPr>
      </w:pPr>
      <w:bookmarkStart w:id="50" w:name="_Toc90482768"/>
      <w:r>
        <w:rPr>
          <w:rFonts w:ascii="Times New Roman" w:hAnsi="Times New Roman" w:eastAsia="黑体"/>
          <w:sz w:val="28"/>
          <w:szCs w:val="24"/>
        </w:rPr>
        <w:t xml:space="preserve">2.1.1 </w:t>
      </w:r>
      <w:r>
        <w:rPr>
          <w:rFonts w:hint="eastAsia" w:ascii="Times New Roman" w:hAnsi="Times New Roman" w:eastAsia="黑体"/>
          <w:sz w:val="28"/>
          <w:szCs w:val="24"/>
        </w:rPr>
        <w:t>节水管理体系逐步完善</w:t>
      </w:r>
      <w:bookmarkEnd w:id="50"/>
    </w:p>
    <w:p>
      <w:pPr>
        <w:ind w:firstLine="560" w:firstLineChars="200"/>
        <w:rPr>
          <w:rFonts w:ascii="Times New Roman" w:hAnsi="Times New Roman"/>
          <w:bCs/>
          <w:sz w:val="28"/>
          <w:szCs w:val="28"/>
        </w:rPr>
      </w:pPr>
      <w:r>
        <w:rPr>
          <w:rFonts w:hint="eastAsia" w:ascii="Times New Roman" w:hAnsi="Times New Roman"/>
          <w:bCs/>
          <w:sz w:val="28"/>
          <w:szCs w:val="28"/>
        </w:rPr>
        <w:t>（</w:t>
      </w:r>
      <w:r>
        <w:rPr>
          <w:rFonts w:ascii="Times New Roman" w:hAnsi="Times New Roman"/>
          <w:bCs/>
          <w:sz w:val="28"/>
          <w:szCs w:val="28"/>
        </w:rPr>
        <w:t>1</w:t>
      </w:r>
      <w:r>
        <w:rPr>
          <w:rFonts w:hint="eastAsia" w:ascii="Times New Roman" w:hAnsi="Times New Roman"/>
          <w:bCs/>
          <w:sz w:val="28"/>
          <w:szCs w:val="28"/>
        </w:rPr>
        <w:t>）高位推动，形成节水合力</w:t>
      </w:r>
    </w:p>
    <w:p>
      <w:pPr>
        <w:ind w:firstLine="560" w:firstLineChars="200"/>
        <w:rPr>
          <w:rFonts w:ascii="Times New Roman" w:hAnsi="Times New Roman"/>
          <w:bCs/>
          <w:sz w:val="28"/>
          <w:szCs w:val="28"/>
        </w:rPr>
      </w:pPr>
      <w:r>
        <w:rPr>
          <w:rFonts w:hint="eastAsia" w:ascii="Times New Roman" w:hAnsi="Times New Roman"/>
          <w:bCs/>
          <w:sz w:val="28"/>
          <w:szCs w:val="28"/>
        </w:rPr>
        <w:t>区政府高度重视节水工作，成立以分管副区长为组长，渝北区区政府办、区水利局、区经济信息委、区财政局和区城市管理局主要领导为副组长，区级各相关部门为成员的渝北区节约用水工作领导小组。领导小组下设办公室，负责统筹协调全区节约用水工作，区级各行业主管部门互相配合，形成节水合力。规范性文件陆续出台，《重庆市渝北区节水型社会建设规划报告（</w:t>
      </w:r>
      <w:r>
        <w:rPr>
          <w:rFonts w:ascii="Times New Roman" w:hAnsi="Times New Roman"/>
          <w:bCs/>
          <w:sz w:val="28"/>
          <w:szCs w:val="28"/>
        </w:rPr>
        <w:t>2016-2020</w:t>
      </w:r>
      <w:r>
        <w:rPr>
          <w:rFonts w:hint="eastAsia" w:ascii="Times New Roman" w:hAnsi="Times New Roman"/>
          <w:bCs/>
          <w:sz w:val="28"/>
          <w:szCs w:val="28"/>
        </w:rPr>
        <w:t>年）》由区政府发布实施，《渝北区城市节水工作方案》和《重庆市渝北区节水行动实施方案》经区政府同意后印发，对全区节水工作协调发展具有重要指导作用。</w:t>
      </w:r>
    </w:p>
    <w:p>
      <w:pPr>
        <w:ind w:firstLine="560" w:firstLineChars="200"/>
        <w:rPr>
          <w:rFonts w:ascii="Times New Roman" w:hAnsi="Times New Roman"/>
          <w:bCs/>
          <w:sz w:val="28"/>
          <w:szCs w:val="28"/>
        </w:rPr>
      </w:pPr>
      <w:r>
        <w:rPr>
          <w:rFonts w:hint="eastAsia" w:ascii="Times New Roman" w:hAnsi="Times New Roman"/>
          <w:bCs/>
          <w:sz w:val="28"/>
          <w:szCs w:val="28"/>
        </w:rPr>
        <w:t>（</w:t>
      </w:r>
      <w:r>
        <w:rPr>
          <w:rFonts w:ascii="Times New Roman" w:hAnsi="Times New Roman"/>
          <w:bCs/>
          <w:sz w:val="28"/>
          <w:szCs w:val="28"/>
        </w:rPr>
        <w:t>2</w:t>
      </w:r>
      <w:r>
        <w:rPr>
          <w:rFonts w:hint="eastAsia" w:ascii="Times New Roman" w:hAnsi="Times New Roman"/>
          <w:bCs/>
          <w:sz w:val="28"/>
          <w:szCs w:val="28"/>
        </w:rPr>
        <w:t>）分工负责，强化目标责任</w:t>
      </w:r>
    </w:p>
    <w:p>
      <w:pPr>
        <w:ind w:firstLine="560" w:firstLineChars="200"/>
        <w:rPr>
          <w:rFonts w:ascii="Times New Roman" w:hAnsi="Times New Roman"/>
          <w:bCs/>
          <w:sz w:val="28"/>
          <w:szCs w:val="28"/>
        </w:rPr>
      </w:pPr>
      <w:r>
        <w:rPr>
          <w:rFonts w:hint="eastAsia" w:ascii="Times New Roman" w:hAnsi="Times New Roman"/>
          <w:bCs/>
          <w:sz w:val="28"/>
          <w:szCs w:val="28"/>
        </w:rPr>
        <w:t>根据《重庆市水利局、重庆市发展改革委关于印发〈重庆市节水行动实施方案〉的通知》（渝水〔</w:t>
      </w:r>
      <w:r>
        <w:rPr>
          <w:rFonts w:ascii="Times New Roman" w:hAnsi="Times New Roman"/>
          <w:bCs/>
          <w:sz w:val="28"/>
          <w:szCs w:val="28"/>
        </w:rPr>
        <w:t>2020</w:t>
      </w:r>
      <w:r>
        <w:rPr>
          <w:rFonts w:hint="eastAsia" w:ascii="Times New Roman" w:hAnsi="Times New Roman"/>
          <w:bCs/>
          <w:sz w:val="28"/>
          <w:szCs w:val="28"/>
        </w:rPr>
        <w:t>〕</w:t>
      </w:r>
      <w:r>
        <w:rPr>
          <w:rFonts w:ascii="Times New Roman" w:hAnsi="Times New Roman"/>
          <w:bCs/>
          <w:sz w:val="28"/>
          <w:szCs w:val="28"/>
        </w:rPr>
        <w:t>30</w:t>
      </w:r>
      <w:r>
        <w:rPr>
          <w:rFonts w:hint="eastAsia" w:ascii="Times New Roman" w:hAnsi="Times New Roman"/>
          <w:bCs/>
          <w:sz w:val="28"/>
          <w:szCs w:val="28"/>
        </w:rPr>
        <w:t>号）文件精神，经区政府审议，印发《重庆市渝北区节水行动实施方案》。明确各部门职能职责和任务分工，做到各司其职，各负其责，形成管行业必须管节水的工作机制。每年对节约用水重点工作任务进行分解，明确节水目标，压实节水责任，把节水任务落实到全区各行各业。</w:t>
      </w:r>
    </w:p>
    <w:p>
      <w:pPr>
        <w:ind w:firstLine="560" w:firstLineChars="200"/>
        <w:rPr>
          <w:rFonts w:ascii="Times New Roman" w:hAnsi="Times New Roman"/>
          <w:bCs/>
          <w:sz w:val="28"/>
          <w:szCs w:val="28"/>
        </w:rPr>
      </w:pPr>
      <w:r>
        <w:rPr>
          <w:rFonts w:hint="eastAsia" w:ascii="Times New Roman" w:hAnsi="Times New Roman"/>
          <w:bCs/>
          <w:sz w:val="28"/>
          <w:szCs w:val="28"/>
        </w:rPr>
        <w:t>（</w:t>
      </w:r>
      <w:r>
        <w:rPr>
          <w:rFonts w:ascii="Times New Roman" w:hAnsi="Times New Roman"/>
          <w:bCs/>
          <w:sz w:val="28"/>
          <w:szCs w:val="28"/>
        </w:rPr>
        <w:t>3</w:t>
      </w:r>
      <w:r>
        <w:rPr>
          <w:rFonts w:hint="eastAsia" w:ascii="Times New Roman" w:hAnsi="Times New Roman"/>
          <w:bCs/>
          <w:sz w:val="28"/>
          <w:szCs w:val="28"/>
        </w:rPr>
        <w:t>）行业主管，带动全面参与</w:t>
      </w:r>
    </w:p>
    <w:p>
      <w:pPr>
        <w:ind w:firstLine="560" w:firstLineChars="200"/>
        <w:rPr>
          <w:rFonts w:ascii="Times New Roman" w:hAnsi="Times New Roman"/>
          <w:bCs/>
          <w:sz w:val="28"/>
          <w:szCs w:val="28"/>
        </w:rPr>
      </w:pPr>
      <w:r>
        <w:rPr>
          <w:rFonts w:hint="eastAsia" w:ascii="Times New Roman" w:hAnsi="Times New Roman"/>
          <w:bCs/>
          <w:sz w:val="28"/>
          <w:szCs w:val="28"/>
        </w:rPr>
        <w:t>区水利局充分发挥牵头作用，各部门推动落实行业节水，辐射联动实现全面参与。区发展改革委、区经济信息委、区规划自然资源局等部门相互配合，协同实施规划和建设项目节水评价工作审查制度；区发展改革委、区教委、区住房城乡建委、区城市管理局、区机关事务中心等部门积极动员各相关领域开展节水载体创建，协调解决资金问题、技术问题。每年在机关、企业单位、学校和小区开展节水宣传活动，普及节水知识，促使节水观念不断深入人心，带动全民参与节水。</w:t>
      </w:r>
    </w:p>
    <w:p>
      <w:pPr>
        <w:keepNext/>
        <w:keepLines/>
        <w:spacing w:before="260" w:after="260" w:line="413" w:lineRule="auto"/>
        <w:ind w:firstLine="560" w:firstLineChars="200"/>
        <w:outlineLvl w:val="2"/>
        <w:rPr>
          <w:rFonts w:ascii="Times New Roman" w:hAnsi="Times New Roman" w:eastAsia="黑体"/>
          <w:sz w:val="28"/>
          <w:szCs w:val="24"/>
        </w:rPr>
      </w:pPr>
      <w:bookmarkStart w:id="51" w:name="_Toc90482769"/>
      <w:r>
        <w:rPr>
          <w:rFonts w:ascii="Times New Roman" w:hAnsi="Times New Roman" w:eastAsia="黑体"/>
          <w:sz w:val="28"/>
          <w:szCs w:val="24"/>
        </w:rPr>
        <w:t xml:space="preserve">2.1.2 </w:t>
      </w:r>
      <w:r>
        <w:rPr>
          <w:rFonts w:hint="eastAsia" w:ascii="Times New Roman" w:hAnsi="Times New Roman" w:eastAsia="黑体"/>
          <w:sz w:val="28"/>
          <w:szCs w:val="24"/>
        </w:rPr>
        <w:t>节水型社会建设初见成效</w:t>
      </w:r>
      <w:bookmarkEnd w:id="51"/>
    </w:p>
    <w:p>
      <w:pPr>
        <w:ind w:firstLine="560" w:firstLineChars="200"/>
        <w:rPr>
          <w:rFonts w:ascii="Times New Roman" w:hAnsi="Times New Roman"/>
          <w:bCs/>
          <w:sz w:val="28"/>
          <w:szCs w:val="28"/>
        </w:rPr>
      </w:pPr>
      <w:r>
        <w:rPr>
          <w:rFonts w:ascii="Times New Roman" w:hAnsi="Times New Roman"/>
          <w:bCs/>
          <w:sz w:val="28"/>
          <w:szCs w:val="28"/>
        </w:rPr>
        <w:t>2020</w:t>
      </w:r>
      <w:r>
        <w:rPr>
          <w:rFonts w:hint="eastAsia" w:ascii="Times New Roman" w:hAnsi="Times New Roman"/>
          <w:bCs/>
          <w:sz w:val="28"/>
          <w:szCs w:val="28"/>
        </w:rPr>
        <w:t>年渝北区已实现最严格水资源管理制度、水资源消耗总量和强度双控行动确定的年度目标要求，全区用水总量、万元国内生产总值用水量降幅和万元工业增加值用水量降幅均优于市级下达目标。</w:t>
      </w:r>
    </w:p>
    <w:p>
      <w:pPr>
        <w:ind w:firstLine="560" w:firstLineChars="200"/>
        <w:rPr>
          <w:rFonts w:ascii="Times New Roman" w:hAnsi="Times New Roman"/>
          <w:bCs/>
          <w:color w:val="0070C0"/>
          <w:sz w:val="28"/>
          <w:szCs w:val="28"/>
        </w:rPr>
      </w:pPr>
      <w:r>
        <w:rPr>
          <w:rFonts w:hint="eastAsia" w:ascii="Times New Roman" w:hAnsi="Times New Roman"/>
          <w:bCs/>
          <w:sz w:val="28"/>
          <w:szCs w:val="28"/>
        </w:rPr>
        <w:t>（</w:t>
      </w:r>
      <w:r>
        <w:rPr>
          <w:rFonts w:ascii="Times New Roman" w:hAnsi="Times New Roman"/>
          <w:bCs/>
          <w:sz w:val="28"/>
          <w:szCs w:val="28"/>
        </w:rPr>
        <w:t>1</w:t>
      </w:r>
      <w:r>
        <w:rPr>
          <w:rFonts w:hint="eastAsia" w:ascii="Times New Roman" w:hAnsi="Times New Roman"/>
          <w:bCs/>
          <w:sz w:val="28"/>
          <w:szCs w:val="28"/>
        </w:rPr>
        <w:t>）农业节水效益显著</w:t>
      </w:r>
    </w:p>
    <w:p>
      <w:pPr>
        <w:ind w:firstLine="560" w:firstLineChars="200"/>
        <w:rPr>
          <w:rFonts w:ascii="Times New Roman" w:hAnsi="Times New Roman"/>
          <w:bCs/>
          <w:sz w:val="28"/>
          <w:szCs w:val="28"/>
        </w:rPr>
      </w:pPr>
      <w:r>
        <w:rPr>
          <w:rFonts w:hint="eastAsia" w:ascii="Times New Roman" w:hAnsi="Times New Roman"/>
          <w:bCs/>
          <w:sz w:val="28"/>
          <w:szCs w:val="28"/>
        </w:rPr>
        <w:t>一是推进高标准农田建设，在兴隆大湾片区、统景大盛片区和茨竹镇等地区开展高标准农田建设项目，“十三五”期间，已建设高标准农田</w:t>
      </w:r>
      <w:r>
        <w:rPr>
          <w:rFonts w:ascii="Times New Roman" w:hAnsi="Times New Roman"/>
          <w:bCs/>
          <w:sz w:val="28"/>
          <w:szCs w:val="28"/>
        </w:rPr>
        <w:t>11.86</w:t>
      </w:r>
      <w:r>
        <w:rPr>
          <w:rFonts w:hint="eastAsia" w:ascii="Times New Roman" w:hAnsi="Times New Roman"/>
          <w:bCs/>
          <w:sz w:val="28"/>
          <w:szCs w:val="28"/>
        </w:rPr>
        <w:t>万亩，建设高效节水灌溉面积</w:t>
      </w:r>
      <w:r>
        <w:rPr>
          <w:rFonts w:ascii="Times New Roman" w:hAnsi="Times New Roman"/>
          <w:bCs/>
          <w:sz w:val="28"/>
          <w:szCs w:val="28"/>
        </w:rPr>
        <w:t>6000</w:t>
      </w:r>
      <w:r>
        <w:rPr>
          <w:rFonts w:hint="eastAsia" w:ascii="Times New Roman" w:hAnsi="Times New Roman"/>
          <w:bCs/>
          <w:sz w:val="28"/>
          <w:szCs w:val="28"/>
        </w:rPr>
        <w:t>亩。二是推广稻鱼综合种养模式，兴隆镇和茨竹镇已实施稻鱼综合种养面积约</w:t>
      </w:r>
      <w:r>
        <w:rPr>
          <w:rFonts w:ascii="Times New Roman" w:hAnsi="Times New Roman"/>
          <w:bCs/>
          <w:sz w:val="28"/>
          <w:szCs w:val="28"/>
        </w:rPr>
        <w:t>700</w:t>
      </w:r>
      <w:r>
        <w:rPr>
          <w:rFonts w:hint="eastAsia" w:ascii="Times New Roman" w:hAnsi="Times New Roman"/>
          <w:bCs/>
          <w:sz w:val="28"/>
          <w:szCs w:val="28"/>
        </w:rPr>
        <w:t>亩，稻谷总产量约</w:t>
      </w:r>
      <w:r>
        <w:rPr>
          <w:rFonts w:ascii="Times New Roman" w:hAnsi="Times New Roman"/>
          <w:bCs/>
          <w:sz w:val="28"/>
          <w:szCs w:val="28"/>
        </w:rPr>
        <w:t>350</w:t>
      </w:r>
      <w:r>
        <w:rPr>
          <w:rFonts w:hint="eastAsia" w:ascii="Times New Roman" w:hAnsi="Times New Roman"/>
          <w:bCs/>
          <w:sz w:val="28"/>
          <w:szCs w:val="28"/>
        </w:rPr>
        <w:t>吨，水产品总产量约</w:t>
      </w:r>
      <w:r>
        <w:rPr>
          <w:rFonts w:ascii="Times New Roman" w:hAnsi="Times New Roman"/>
          <w:bCs/>
          <w:sz w:val="28"/>
          <w:szCs w:val="28"/>
        </w:rPr>
        <w:t>16</w:t>
      </w:r>
      <w:r>
        <w:rPr>
          <w:rFonts w:hint="eastAsia" w:ascii="Times New Roman" w:hAnsi="Times New Roman"/>
          <w:bCs/>
          <w:sz w:val="28"/>
          <w:szCs w:val="28"/>
        </w:rPr>
        <w:t>吨，农业节水经济效益逐渐显现。三是优化调整作物结构，印发渝北区农村“十万亩经果林”项目操作程序及技术要点，推广柑橘、伏季水果、花椒、雷竹等耐旱作物品种，建成经果林</w:t>
      </w:r>
      <w:r>
        <w:rPr>
          <w:rFonts w:ascii="Times New Roman" w:hAnsi="Times New Roman"/>
          <w:bCs/>
          <w:sz w:val="28"/>
          <w:szCs w:val="28"/>
        </w:rPr>
        <w:t>7</w:t>
      </w:r>
      <w:r>
        <w:rPr>
          <w:rFonts w:hint="eastAsia" w:ascii="Times New Roman" w:hAnsi="Times New Roman"/>
          <w:bCs/>
          <w:sz w:val="28"/>
          <w:szCs w:val="28"/>
        </w:rPr>
        <w:t>万亩。四是农村人居环境持续改善，饮水安全稳步提升。新建场镇污水管网</w:t>
      </w:r>
      <w:r>
        <w:rPr>
          <w:rFonts w:ascii="Times New Roman" w:hAnsi="Times New Roman"/>
          <w:bCs/>
          <w:sz w:val="28"/>
          <w:szCs w:val="28"/>
        </w:rPr>
        <w:t>70</w:t>
      </w:r>
      <w:r>
        <w:rPr>
          <w:rFonts w:hint="eastAsia" w:ascii="Times New Roman" w:hAnsi="Times New Roman"/>
          <w:bCs/>
          <w:sz w:val="28"/>
          <w:szCs w:val="28"/>
        </w:rPr>
        <w:t>公里、改造农村户厕</w:t>
      </w:r>
      <w:r>
        <w:rPr>
          <w:rFonts w:ascii="Times New Roman" w:hAnsi="Times New Roman"/>
          <w:bCs/>
          <w:sz w:val="28"/>
          <w:szCs w:val="28"/>
        </w:rPr>
        <w:t>3.57</w:t>
      </w:r>
      <w:r>
        <w:rPr>
          <w:rFonts w:hint="eastAsia" w:ascii="Times New Roman" w:hAnsi="Times New Roman"/>
          <w:bCs/>
          <w:sz w:val="28"/>
          <w:szCs w:val="28"/>
        </w:rPr>
        <w:t>万户，累计完成</w:t>
      </w:r>
      <w:r>
        <w:rPr>
          <w:rFonts w:ascii="Times New Roman" w:hAnsi="Times New Roman"/>
          <w:bCs/>
          <w:sz w:val="28"/>
          <w:szCs w:val="28"/>
        </w:rPr>
        <w:t>8</w:t>
      </w:r>
      <w:r>
        <w:rPr>
          <w:rFonts w:hint="eastAsia" w:ascii="Times New Roman" w:hAnsi="Times New Roman"/>
          <w:bCs/>
          <w:sz w:val="28"/>
          <w:szCs w:val="28"/>
        </w:rPr>
        <w:t>个饮用水源地规范化建设，</w:t>
      </w:r>
      <w:r>
        <w:rPr>
          <w:rFonts w:ascii="Times New Roman" w:hAnsi="Times New Roman"/>
          <w:bCs/>
          <w:sz w:val="28"/>
          <w:szCs w:val="28"/>
        </w:rPr>
        <w:t>30</w:t>
      </w:r>
      <w:r>
        <w:rPr>
          <w:rFonts w:hint="eastAsia" w:ascii="Times New Roman" w:hAnsi="Times New Roman"/>
          <w:bCs/>
          <w:sz w:val="28"/>
          <w:szCs w:val="28"/>
        </w:rPr>
        <w:t>座农村水厂收归国有公司实现规范运营。</w:t>
      </w:r>
    </w:p>
    <w:p>
      <w:pPr>
        <w:ind w:firstLine="560" w:firstLineChars="200"/>
        <w:rPr>
          <w:rFonts w:ascii="Times New Roman" w:hAnsi="Times New Roman"/>
          <w:bCs/>
          <w:sz w:val="28"/>
          <w:szCs w:val="28"/>
        </w:rPr>
      </w:pPr>
      <w:r>
        <w:rPr>
          <w:rFonts w:hint="eastAsia" w:ascii="Times New Roman" w:hAnsi="Times New Roman"/>
          <w:bCs/>
          <w:sz w:val="28"/>
          <w:szCs w:val="28"/>
        </w:rPr>
        <w:t>（</w:t>
      </w:r>
      <w:r>
        <w:rPr>
          <w:rFonts w:ascii="Times New Roman" w:hAnsi="Times New Roman"/>
          <w:bCs/>
          <w:sz w:val="28"/>
          <w:szCs w:val="28"/>
        </w:rPr>
        <w:t>2</w:t>
      </w:r>
      <w:r>
        <w:rPr>
          <w:rFonts w:hint="eastAsia" w:ascii="Times New Roman" w:hAnsi="Times New Roman"/>
          <w:bCs/>
          <w:sz w:val="28"/>
          <w:szCs w:val="28"/>
        </w:rPr>
        <w:t>）实施工业节水改造</w:t>
      </w:r>
    </w:p>
    <w:p>
      <w:pPr>
        <w:ind w:firstLine="560" w:firstLineChars="200"/>
        <w:rPr>
          <w:rFonts w:ascii="Times New Roman" w:hAnsi="Times New Roman"/>
          <w:bCs/>
          <w:sz w:val="28"/>
          <w:szCs w:val="28"/>
        </w:rPr>
      </w:pPr>
      <w:r>
        <w:rPr>
          <w:rFonts w:hint="eastAsia" w:ascii="Times New Roman" w:hAnsi="Times New Roman"/>
          <w:bCs/>
          <w:sz w:val="28"/>
          <w:szCs w:val="28"/>
        </w:rPr>
        <w:t>积极推动园区节水载体创建。“十三五”期间，重庆娃哈哈昌盛饮料有限公司、重庆市天友乳业股份有限公司乳品一厂和重庆百事天府饮料有限公司均成功创建为节水型企业，截止</w:t>
      </w:r>
      <w:r>
        <w:rPr>
          <w:rFonts w:ascii="Times New Roman" w:hAnsi="Times New Roman"/>
          <w:bCs/>
          <w:sz w:val="28"/>
          <w:szCs w:val="28"/>
        </w:rPr>
        <w:t>2020</w:t>
      </w:r>
      <w:r>
        <w:rPr>
          <w:rFonts w:hint="eastAsia" w:ascii="Times New Roman" w:hAnsi="Times New Roman"/>
          <w:bCs/>
          <w:sz w:val="28"/>
          <w:szCs w:val="28"/>
        </w:rPr>
        <w:t>年，区内</w:t>
      </w:r>
      <w:r>
        <w:rPr>
          <w:rFonts w:ascii="Times New Roman" w:hAnsi="Times New Roman"/>
          <w:bCs/>
          <w:sz w:val="28"/>
          <w:szCs w:val="28"/>
        </w:rPr>
        <w:t>7</w:t>
      </w:r>
      <w:r>
        <w:rPr>
          <w:rFonts w:hint="eastAsia" w:ascii="Times New Roman" w:hAnsi="Times New Roman"/>
          <w:bCs/>
          <w:sz w:val="28"/>
          <w:szCs w:val="28"/>
        </w:rPr>
        <w:t>大重点行业年用水量在</w:t>
      </w:r>
      <w:r>
        <w:rPr>
          <w:rFonts w:ascii="Times New Roman" w:hAnsi="Times New Roman"/>
          <w:bCs/>
          <w:sz w:val="28"/>
          <w:szCs w:val="28"/>
        </w:rPr>
        <w:t>20</w:t>
      </w:r>
      <w:r>
        <w:rPr>
          <w:rFonts w:hint="eastAsia" w:ascii="Times New Roman" w:hAnsi="Times New Roman"/>
          <w:bCs/>
          <w:sz w:val="28"/>
          <w:szCs w:val="28"/>
        </w:rPr>
        <w:t>万立方米以上的节水型企业创建率达</w:t>
      </w:r>
      <w:r>
        <w:rPr>
          <w:rFonts w:ascii="Times New Roman" w:hAnsi="Times New Roman"/>
          <w:bCs/>
          <w:sz w:val="28"/>
          <w:szCs w:val="28"/>
        </w:rPr>
        <w:t>100%</w:t>
      </w:r>
      <w:r>
        <w:rPr>
          <w:rFonts w:hint="eastAsia" w:ascii="Times New Roman" w:hAnsi="Times New Roman"/>
          <w:bCs/>
          <w:sz w:val="28"/>
          <w:szCs w:val="28"/>
        </w:rPr>
        <w:t>。一批绿色工厂创建成功。长安五工厂和重庆市天友乳业股份有限公司创建为国家级绿色工厂，重庆飞龙江利汽车部件有限公司、重庆海特汽车排气系统有限公司和重庆百事天府饮料有限公司创建为市级绿色工厂。</w:t>
      </w:r>
    </w:p>
    <w:p>
      <w:pPr>
        <w:ind w:firstLine="560" w:firstLineChars="200"/>
        <w:rPr>
          <w:rFonts w:ascii="Times New Roman" w:hAnsi="Times New Roman"/>
          <w:bCs/>
          <w:sz w:val="28"/>
          <w:szCs w:val="28"/>
        </w:rPr>
      </w:pPr>
      <w:r>
        <w:rPr>
          <w:rFonts w:hint="eastAsia" w:ascii="Times New Roman" w:hAnsi="Times New Roman"/>
          <w:bCs/>
          <w:sz w:val="28"/>
          <w:szCs w:val="28"/>
        </w:rPr>
        <w:t>实施工业企业节水改造项目。天友乳业乳品一厂实施了冷却水回用、二次水回收利用、污水循环使用等项目，对厂内水资源进行充分利用，减少污染物排放；马勒发动机零部件</w:t>
      </w:r>
      <w:r>
        <w:rPr>
          <w:rFonts w:ascii="Times New Roman" w:hAnsi="Times New Roman"/>
          <w:bCs/>
          <w:sz w:val="28"/>
          <w:szCs w:val="28"/>
        </w:rPr>
        <w:t>(</w:t>
      </w:r>
      <w:r>
        <w:rPr>
          <w:rFonts w:hint="eastAsia" w:ascii="Times New Roman" w:hAnsi="Times New Roman"/>
          <w:bCs/>
          <w:sz w:val="28"/>
          <w:szCs w:val="28"/>
        </w:rPr>
        <w:t>重庆</w:t>
      </w:r>
      <w:r>
        <w:rPr>
          <w:rFonts w:ascii="Times New Roman" w:hAnsi="Times New Roman"/>
          <w:bCs/>
          <w:sz w:val="28"/>
          <w:szCs w:val="28"/>
        </w:rPr>
        <w:t>)</w:t>
      </w:r>
      <w:r>
        <w:rPr>
          <w:rFonts w:hint="eastAsia" w:ascii="Times New Roman" w:hAnsi="Times New Roman"/>
          <w:bCs/>
          <w:sz w:val="28"/>
          <w:szCs w:val="28"/>
        </w:rPr>
        <w:t>有限公司对老化管路的改造更换，实施表面清洗软水二次使用项目等，减少跑冒滴漏，并实现水的重复利用。“十三五”期间，区内企业完成节水改造后，年节水量约</w:t>
      </w:r>
      <w:r>
        <w:rPr>
          <w:rFonts w:ascii="Times New Roman" w:hAnsi="Times New Roman"/>
          <w:bCs/>
          <w:sz w:val="28"/>
          <w:szCs w:val="28"/>
        </w:rPr>
        <w:t>36.70</w:t>
      </w:r>
      <w:r>
        <w:rPr>
          <w:rFonts w:hint="eastAsia" w:ascii="Times New Roman" w:hAnsi="Times New Roman"/>
          <w:bCs/>
          <w:sz w:val="28"/>
          <w:szCs w:val="28"/>
        </w:rPr>
        <w:t>万</w:t>
      </w:r>
      <w:r>
        <w:rPr>
          <w:rFonts w:ascii="Times New Roman" w:hAnsi="Times New Roman"/>
          <w:bCs/>
          <w:sz w:val="28"/>
          <w:szCs w:val="28"/>
        </w:rPr>
        <w:t>m</w:t>
      </w:r>
      <w:r>
        <w:rPr>
          <w:rFonts w:ascii="Times New Roman" w:hAnsi="Times New Roman"/>
          <w:bCs/>
          <w:sz w:val="28"/>
          <w:szCs w:val="28"/>
          <w:vertAlign w:val="superscript"/>
        </w:rPr>
        <w:t>3</w:t>
      </w:r>
      <w:r>
        <w:rPr>
          <w:rFonts w:hint="eastAsia" w:ascii="Times New Roman" w:hAnsi="Times New Roman"/>
          <w:bCs/>
          <w:sz w:val="28"/>
          <w:szCs w:val="28"/>
        </w:rPr>
        <w:t>。三是为企业节水提供专项支持。转发市经信委《关于印发重庆市工业节水技术推广目录（</w:t>
      </w:r>
      <w:r>
        <w:rPr>
          <w:rFonts w:ascii="Times New Roman" w:hAnsi="Times New Roman"/>
          <w:bCs/>
          <w:sz w:val="28"/>
          <w:szCs w:val="28"/>
        </w:rPr>
        <w:t>2020</w:t>
      </w:r>
      <w:r>
        <w:rPr>
          <w:rFonts w:hint="eastAsia" w:ascii="Times New Roman" w:hAnsi="Times New Roman"/>
          <w:bCs/>
          <w:sz w:val="28"/>
          <w:szCs w:val="28"/>
        </w:rPr>
        <w:t>年）的通知》，鼓励工业企业开展节水改造，提高工业企业水资源循环利用率。将工业节水和资源循环利用纳入</w:t>
      </w:r>
      <w:r>
        <w:rPr>
          <w:rFonts w:ascii="Times New Roman" w:hAnsi="Times New Roman"/>
          <w:bCs/>
          <w:sz w:val="28"/>
          <w:szCs w:val="28"/>
        </w:rPr>
        <w:t>2020</w:t>
      </w:r>
      <w:r>
        <w:rPr>
          <w:rFonts w:hint="eastAsia" w:ascii="Times New Roman" w:hAnsi="Times New Roman"/>
          <w:bCs/>
          <w:sz w:val="28"/>
          <w:szCs w:val="28"/>
        </w:rPr>
        <w:t>年渝北区工业发展专项资金政策范围，为工业企业开展节水改造提供资金支持。</w:t>
      </w:r>
    </w:p>
    <w:p>
      <w:pPr>
        <w:ind w:firstLine="560" w:firstLineChars="200"/>
        <w:rPr>
          <w:rFonts w:ascii="Times New Roman" w:hAnsi="Times New Roman"/>
          <w:bCs/>
          <w:sz w:val="28"/>
          <w:szCs w:val="28"/>
        </w:rPr>
      </w:pPr>
      <w:r>
        <w:rPr>
          <w:rFonts w:hint="eastAsia" w:ascii="Times New Roman" w:hAnsi="Times New Roman"/>
          <w:bCs/>
          <w:sz w:val="28"/>
          <w:szCs w:val="28"/>
        </w:rPr>
        <w:t>（</w:t>
      </w:r>
      <w:r>
        <w:rPr>
          <w:rFonts w:ascii="Times New Roman" w:hAnsi="Times New Roman"/>
          <w:bCs/>
          <w:sz w:val="28"/>
          <w:szCs w:val="28"/>
        </w:rPr>
        <w:t>3</w:t>
      </w:r>
      <w:r>
        <w:rPr>
          <w:rFonts w:hint="eastAsia" w:ascii="Times New Roman" w:hAnsi="Times New Roman"/>
          <w:bCs/>
          <w:sz w:val="28"/>
          <w:szCs w:val="28"/>
        </w:rPr>
        <w:t>）实施城市节水改造</w:t>
      </w:r>
    </w:p>
    <w:p>
      <w:pPr>
        <w:ind w:firstLine="560" w:firstLineChars="200"/>
        <w:rPr>
          <w:rFonts w:ascii="Times New Roman" w:hAnsi="Times New Roman"/>
          <w:bCs/>
          <w:sz w:val="28"/>
          <w:szCs w:val="28"/>
        </w:rPr>
      </w:pPr>
      <w:r>
        <w:rPr>
          <w:rFonts w:hint="eastAsia" w:ascii="Times New Roman" w:hAnsi="Times New Roman"/>
          <w:bCs/>
          <w:sz w:val="28"/>
          <w:szCs w:val="28"/>
        </w:rPr>
        <w:t>“十三五”期间，持续开展城市节水改造，将节水落实到城市建设、管理的各环节。一是供水管网漏损大幅降低。全区实施“一户一表”改造</w:t>
      </w:r>
      <w:r>
        <w:rPr>
          <w:rFonts w:ascii="Times New Roman" w:hAnsi="Times New Roman"/>
          <w:bCs/>
          <w:sz w:val="28"/>
          <w:szCs w:val="28"/>
        </w:rPr>
        <w:t>14.60</w:t>
      </w:r>
      <w:r>
        <w:rPr>
          <w:rFonts w:hint="eastAsia" w:ascii="Times New Roman" w:hAnsi="Times New Roman"/>
          <w:bCs/>
          <w:sz w:val="28"/>
          <w:szCs w:val="28"/>
        </w:rPr>
        <w:t>万户，实施老旧小区庭院管网改造</w:t>
      </w:r>
      <w:r>
        <w:rPr>
          <w:rFonts w:ascii="Times New Roman" w:hAnsi="Times New Roman"/>
          <w:bCs/>
          <w:sz w:val="28"/>
          <w:szCs w:val="28"/>
        </w:rPr>
        <w:t>4200</w:t>
      </w:r>
      <w:r>
        <w:rPr>
          <w:rFonts w:hint="eastAsia" w:ascii="Times New Roman" w:hAnsi="Times New Roman"/>
          <w:bCs/>
          <w:sz w:val="28"/>
          <w:szCs w:val="28"/>
        </w:rPr>
        <w:t>户，完成二次供水设施改造</w:t>
      </w:r>
      <w:r>
        <w:rPr>
          <w:rFonts w:ascii="Times New Roman" w:hAnsi="Times New Roman"/>
          <w:bCs/>
          <w:sz w:val="28"/>
          <w:szCs w:val="28"/>
        </w:rPr>
        <w:t>4187</w:t>
      </w:r>
      <w:r>
        <w:rPr>
          <w:rFonts w:hint="eastAsia" w:ascii="Times New Roman" w:hAnsi="Times New Roman"/>
          <w:bCs/>
          <w:sz w:val="28"/>
          <w:szCs w:val="28"/>
        </w:rPr>
        <w:t>户，对老旧、材质落后和受损失修的供水管网进行更新改造，目前渝北城区超过</w:t>
      </w:r>
      <w:r>
        <w:rPr>
          <w:rFonts w:ascii="Times New Roman" w:hAnsi="Times New Roman"/>
          <w:bCs/>
          <w:sz w:val="28"/>
          <w:szCs w:val="28"/>
        </w:rPr>
        <w:t>50</w:t>
      </w:r>
      <w:r>
        <w:rPr>
          <w:rFonts w:hint="eastAsia" w:ascii="Times New Roman" w:hAnsi="Times New Roman"/>
          <w:bCs/>
          <w:sz w:val="28"/>
          <w:szCs w:val="28"/>
        </w:rPr>
        <w:t>年或落后材质的供水管网均已改造完成，供水管网漏损率为</w:t>
      </w:r>
      <w:r>
        <w:rPr>
          <w:rFonts w:ascii="Times New Roman" w:hAnsi="Times New Roman"/>
          <w:bCs/>
          <w:sz w:val="28"/>
          <w:szCs w:val="28"/>
        </w:rPr>
        <w:t>9.39%</w:t>
      </w:r>
      <w:r>
        <w:rPr>
          <w:rFonts w:hint="eastAsia" w:ascii="Times New Roman" w:hAnsi="Times New Roman"/>
          <w:bCs/>
          <w:sz w:val="28"/>
          <w:szCs w:val="28"/>
        </w:rPr>
        <w:t>。二是深入开展公共领域节水。</w:t>
      </w:r>
      <w:r>
        <w:rPr>
          <w:rFonts w:ascii="Times New Roman" w:hAnsi="Times New Roman"/>
          <w:bCs/>
          <w:sz w:val="28"/>
          <w:szCs w:val="28"/>
        </w:rPr>
        <w:t>2020</w:t>
      </w:r>
      <w:r>
        <w:rPr>
          <w:rFonts w:hint="eastAsia" w:ascii="Times New Roman" w:hAnsi="Times New Roman"/>
          <w:bCs/>
          <w:sz w:val="28"/>
          <w:szCs w:val="28"/>
        </w:rPr>
        <w:t>年在同茂隧道、龙华大道、圣隧道、子校立交桥等节点栽植耐旱开花植物九重葛</w:t>
      </w:r>
      <w:r>
        <w:rPr>
          <w:rFonts w:ascii="Times New Roman" w:hAnsi="Times New Roman"/>
          <w:bCs/>
          <w:sz w:val="28"/>
          <w:szCs w:val="28"/>
        </w:rPr>
        <w:t xml:space="preserve">5000 </w:t>
      </w:r>
      <w:r>
        <w:rPr>
          <w:rFonts w:hint="eastAsia" w:ascii="Times New Roman" w:hAnsi="Times New Roman"/>
          <w:bCs/>
          <w:sz w:val="28"/>
          <w:szCs w:val="28"/>
        </w:rPr>
        <w:t>余株，在机场路沿线设置植被喷灌系统近</w:t>
      </w:r>
      <w:r>
        <w:rPr>
          <w:rFonts w:ascii="Times New Roman" w:hAnsi="Times New Roman"/>
          <w:bCs/>
          <w:sz w:val="28"/>
          <w:szCs w:val="28"/>
        </w:rPr>
        <w:t>6</w:t>
      </w:r>
      <w:r>
        <w:rPr>
          <w:rFonts w:hint="eastAsia" w:ascii="Times New Roman" w:hAnsi="Times New Roman"/>
          <w:bCs/>
          <w:sz w:val="28"/>
          <w:szCs w:val="28"/>
        </w:rPr>
        <w:t>公里，城市绿化用水得到充分利用。</w:t>
      </w:r>
    </w:p>
    <w:p>
      <w:pPr>
        <w:ind w:firstLine="560" w:firstLineChars="200"/>
        <w:rPr>
          <w:rFonts w:ascii="Times New Roman" w:hAnsi="Times New Roman"/>
          <w:bCs/>
          <w:sz w:val="28"/>
          <w:szCs w:val="28"/>
        </w:rPr>
      </w:pPr>
      <w:r>
        <w:rPr>
          <w:rFonts w:hint="eastAsia" w:ascii="Times New Roman" w:hAnsi="Times New Roman"/>
          <w:bCs/>
          <w:sz w:val="28"/>
          <w:szCs w:val="28"/>
        </w:rPr>
        <w:t>（</w:t>
      </w:r>
      <w:r>
        <w:rPr>
          <w:rFonts w:ascii="Times New Roman" w:hAnsi="Times New Roman"/>
          <w:bCs/>
          <w:sz w:val="28"/>
          <w:szCs w:val="28"/>
        </w:rPr>
        <w:t>4</w:t>
      </w:r>
      <w:r>
        <w:rPr>
          <w:rFonts w:hint="eastAsia" w:ascii="Times New Roman" w:hAnsi="Times New Roman"/>
          <w:bCs/>
          <w:sz w:val="28"/>
          <w:szCs w:val="28"/>
        </w:rPr>
        <w:t>）海绵城市建设效益显著</w:t>
      </w:r>
    </w:p>
    <w:p>
      <w:pPr>
        <w:ind w:firstLine="560" w:firstLineChars="200"/>
        <w:rPr>
          <w:rFonts w:ascii="Times New Roman" w:hAnsi="Times New Roman"/>
          <w:bCs/>
          <w:sz w:val="28"/>
          <w:szCs w:val="28"/>
        </w:rPr>
      </w:pPr>
      <w:r>
        <w:rPr>
          <w:rFonts w:hint="eastAsia" w:ascii="Times New Roman" w:hAnsi="Times New Roman"/>
          <w:bCs/>
          <w:sz w:val="28"/>
          <w:szCs w:val="28"/>
        </w:rPr>
        <w:t>“十三五”期间，全区海绵城市建设总投资约</w:t>
      </w:r>
      <w:r>
        <w:rPr>
          <w:rFonts w:ascii="Times New Roman" w:hAnsi="Times New Roman"/>
          <w:bCs/>
          <w:sz w:val="28"/>
          <w:szCs w:val="28"/>
        </w:rPr>
        <w:t>1.85</w:t>
      </w:r>
      <w:r>
        <w:rPr>
          <w:rFonts w:hint="eastAsia" w:ascii="Times New Roman" w:hAnsi="Times New Roman"/>
          <w:bCs/>
          <w:sz w:val="28"/>
          <w:szCs w:val="28"/>
        </w:rPr>
        <w:t>亿元，共包括城市水体、市政道路及广场、建筑与小区、绿地四大板块的新建及改造方面的投资。其中：渝北区市政道路及广场海绵建设总投入</w:t>
      </w:r>
      <w:r>
        <w:rPr>
          <w:rFonts w:ascii="Times New Roman" w:hAnsi="Times New Roman"/>
          <w:bCs/>
          <w:sz w:val="28"/>
          <w:szCs w:val="28"/>
        </w:rPr>
        <w:t>4470</w:t>
      </w:r>
      <w:r>
        <w:rPr>
          <w:rFonts w:hint="eastAsia" w:ascii="Times New Roman" w:hAnsi="Times New Roman"/>
          <w:bCs/>
          <w:sz w:val="28"/>
          <w:szCs w:val="28"/>
        </w:rPr>
        <w:t>万元，投资于新建道路中透水铺装敷设，新建海绵城市道路主要集中在空港新城区域及宝圣湖街道附近区域；城市水系治理投入约</w:t>
      </w:r>
      <w:r>
        <w:rPr>
          <w:rFonts w:ascii="Times New Roman" w:hAnsi="Times New Roman"/>
          <w:bCs/>
          <w:sz w:val="28"/>
          <w:szCs w:val="28"/>
        </w:rPr>
        <w:t>14033</w:t>
      </w:r>
      <w:r>
        <w:rPr>
          <w:rFonts w:hint="eastAsia" w:ascii="Times New Roman" w:hAnsi="Times New Roman"/>
          <w:bCs/>
          <w:sz w:val="28"/>
          <w:szCs w:val="28"/>
        </w:rPr>
        <w:t>万元，投资主要针对渝北黑臭水体整治，包括盘溪河、长河溪、溉澜溪、新华水库及肖家河流域，通过雨污水管网整治、泵站建设、修建初雨调蓄池、引流箱涵及清淤各项措施控制面源、内源污染，控制黑臭现象。其余水体例如碧津湖、双龙湖、木鱼石水库、晚晴园中水体、龙舌湖也进行了生态修复，水环境提升明显。</w:t>
      </w:r>
    </w:p>
    <w:p>
      <w:pPr>
        <w:keepNext/>
        <w:keepLines/>
        <w:spacing w:before="260" w:after="260" w:line="413" w:lineRule="auto"/>
        <w:ind w:firstLine="560" w:firstLineChars="200"/>
        <w:outlineLvl w:val="2"/>
        <w:rPr>
          <w:rFonts w:ascii="Times New Roman" w:hAnsi="Times New Roman" w:eastAsia="黑体"/>
          <w:color w:val="0070C0"/>
          <w:sz w:val="28"/>
          <w:szCs w:val="24"/>
        </w:rPr>
      </w:pPr>
      <w:bookmarkStart w:id="52" w:name="_Toc90482770"/>
      <w:r>
        <w:rPr>
          <w:rFonts w:ascii="Times New Roman" w:hAnsi="Times New Roman" w:eastAsia="黑体"/>
          <w:sz w:val="28"/>
          <w:szCs w:val="24"/>
        </w:rPr>
        <w:t xml:space="preserve">2.1.3 </w:t>
      </w:r>
      <w:r>
        <w:rPr>
          <w:rFonts w:hint="eastAsia" w:ascii="Times New Roman" w:hAnsi="Times New Roman" w:eastAsia="黑体"/>
          <w:sz w:val="28"/>
          <w:szCs w:val="24"/>
        </w:rPr>
        <w:t>节水载体持续创建</w:t>
      </w:r>
      <w:bookmarkEnd w:id="52"/>
    </w:p>
    <w:p>
      <w:pPr>
        <w:ind w:firstLine="560" w:firstLineChars="200"/>
        <w:rPr>
          <w:rFonts w:ascii="Times New Roman" w:hAnsi="Times New Roman"/>
          <w:bCs/>
          <w:sz w:val="28"/>
          <w:szCs w:val="28"/>
        </w:rPr>
      </w:pPr>
      <w:r>
        <w:rPr>
          <w:rFonts w:hint="eastAsia" w:ascii="Times New Roman" w:hAnsi="Times New Roman"/>
          <w:bCs/>
          <w:sz w:val="28"/>
          <w:szCs w:val="28"/>
        </w:rPr>
        <w:t>“十三五”期间，节约用水工作领导小组办公室积极履行职能，区机关事务中心、区住房城乡建委、区城管局和区经信委等部门多次沟通协调，推进节水载体的创建工作。截止</w:t>
      </w:r>
      <w:r>
        <w:rPr>
          <w:rFonts w:ascii="Times New Roman" w:hAnsi="Times New Roman"/>
          <w:bCs/>
          <w:sz w:val="28"/>
          <w:szCs w:val="28"/>
        </w:rPr>
        <w:t>2020</w:t>
      </w:r>
      <w:r>
        <w:rPr>
          <w:rFonts w:hint="eastAsia" w:ascii="Times New Roman" w:hAnsi="Times New Roman"/>
          <w:bCs/>
          <w:sz w:val="28"/>
          <w:szCs w:val="28"/>
        </w:rPr>
        <w:t>年我区成功创建</w:t>
      </w:r>
      <w:r>
        <w:rPr>
          <w:rFonts w:ascii="Times New Roman" w:hAnsi="Times New Roman"/>
          <w:bCs/>
          <w:sz w:val="28"/>
          <w:szCs w:val="28"/>
        </w:rPr>
        <w:t>101</w:t>
      </w:r>
      <w:r>
        <w:rPr>
          <w:rFonts w:hint="eastAsia" w:ascii="Times New Roman" w:hAnsi="Times New Roman"/>
          <w:bCs/>
          <w:sz w:val="28"/>
          <w:szCs w:val="28"/>
        </w:rPr>
        <w:t>个节水型公共机构（其中，党政机关</w:t>
      </w:r>
      <w:r>
        <w:rPr>
          <w:rFonts w:ascii="Times New Roman" w:hAnsi="Times New Roman"/>
          <w:bCs/>
          <w:sz w:val="28"/>
          <w:szCs w:val="28"/>
        </w:rPr>
        <w:t>46</w:t>
      </w:r>
      <w:r>
        <w:rPr>
          <w:rFonts w:hint="eastAsia" w:ascii="Times New Roman" w:hAnsi="Times New Roman"/>
          <w:bCs/>
          <w:sz w:val="28"/>
          <w:szCs w:val="28"/>
        </w:rPr>
        <w:t>个，其它公共机构</w:t>
      </w:r>
      <w:r>
        <w:rPr>
          <w:rFonts w:ascii="Times New Roman" w:hAnsi="Times New Roman"/>
          <w:bCs/>
          <w:sz w:val="28"/>
          <w:szCs w:val="28"/>
        </w:rPr>
        <w:t>55</w:t>
      </w:r>
      <w:r>
        <w:rPr>
          <w:rFonts w:hint="eastAsia" w:ascii="Times New Roman" w:hAnsi="Times New Roman"/>
          <w:bCs/>
          <w:sz w:val="28"/>
          <w:szCs w:val="28"/>
        </w:rPr>
        <w:t>个），</w:t>
      </w:r>
      <w:r>
        <w:rPr>
          <w:rFonts w:ascii="Times New Roman" w:hAnsi="Times New Roman"/>
          <w:bCs/>
          <w:sz w:val="28"/>
          <w:szCs w:val="28"/>
        </w:rPr>
        <w:t>7</w:t>
      </w:r>
      <w:r>
        <w:rPr>
          <w:rFonts w:hint="eastAsia" w:ascii="Times New Roman" w:hAnsi="Times New Roman"/>
          <w:bCs/>
          <w:sz w:val="28"/>
          <w:szCs w:val="28"/>
        </w:rPr>
        <w:t>大重点行业年用水量在</w:t>
      </w:r>
      <w:r>
        <w:rPr>
          <w:rFonts w:ascii="Times New Roman" w:hAnsi="Times New Roman"/>
          <w:bCs/>
          <w:sz w:val="28"/>
          <w:szCs w:val="28"/>
        </w:rPr>
        <w:t>20</w:t>
      </w:r>
      <w:r>
        <w:rPr>
          <w:rFonts w:hint="eastAsia" w:ascii="Times New Roman" w:hAnsi="Times New Roman"/>
          <w:bCs/>
          <w:sz w:val="28"/>
          <w:szCs w:val="28"/>
        </w:rPr>
        <w:t>万立方米以上的节水型企业</w:t>
      </w:r>
      <w:r>
        <w:rPr>
          <w:rFonts w:ascii="Times New Roman" w:hAnsi="Times New Roman"/>
          <w:bCs/>
          <w:sz w:val="28"/>
          <w:szCs w:val="28"/>
        </w:rPr>
        <w:t>3</w:t>
      </w:r>
      <w:r>
        <w:rPr>
          <w:rFonts w:hint="eastAsia" w:ascii="Times New Roman" w:hAnsi="Times New Roman"/>
          <w:bCs/>
          <w:sz w:val="28"/>
          <w:szCs w:val="28"/>
        </w:rPr>
        <w:t>个，节水型居民小区</w:t>
      </w:r>
      <w:r>
        <w:rPr>
          <w:rFonts w:ascii="Times New Roman" w:hAnsi="Times New Roman"/>
          <w:bCs/>
          <w:sz w:val="28"/>
          <w:szCs w:val="28"/>
        </w:rPr>
        <w:t>45</w:t>
      </w:r>
      <w:r>
        <w:rPr>
          <w:rFonts w:hint="eastAsia" w:ascii="Times New Roman" w:hAnsi="Times New Roman"/>
          <w:bCs/>
          <w:sz w:val="28"/>
          <w:szCs w:val="28"/>
        </w:rPr>
        <w:t>个。区内</w:t>
      </w:r>
      <w:r>
        <w:rPr>
          <w:rFonts w:ascii="Times New Roman" w:hAnsi="Times New Roman"/>
          <w:bCs/>
          <w:sz w:val="28"/>
          <w:szCs w:val="28"/>
        </w:rPr>
        <w:t>7</w:t>
      </w:r>
      <w:r>
        <w:rPr>
          <w:rFonts w:hint="eastAsia" w:ascii="Times New Roman" w:hAnsi="Times New Roman"/>
          <w:bCs/>
          <w:sz w:val="28"/>
          <w:szCs w:val="28"/>
        </w:rPr>
        <w:t>大重点行业年用水量在</w:t>
      </w:r>
      <w:r>
        <w:rPr>
          <w:rFonts w:ascii="Times New Roman" w:hAnsi="Times New Roman"/>
          <w:bCs/>
          <w:sz w:val="28"/>
          <w:szCs w:val="28"/>
        </w:rPr>
        <w:t>20</w:t>
      </w:r>
      <w:r>
        <w:rPr>
          <w:rFonts w:hint="eastAsia" w:ascii="Times New Roman" w:hAnsi="Times New Roman"/>
          <w:bCs/>
          <w:sz w:val="28"/>
          <w:szCs w:val="28"/>
        </w:rPr>
        <w:t>万立方米以上的节水型企业创建率达</w:t>
      </w:r>
      <w:r>
        <w:rPr>
          <w:rFonts w:ascii="Times New Roman" w:hAnsi="Times New Roman"/>
          <w:bCs/>
          <w:sz w:val="28"/>
          <w:szCs w:val="28"/>
        </w:rPr>
        <w:t>100%</w:t>
      </w:r>
      <w:r>
        <w:rPr>
          <w:rFonts w:hint="eastAsia" w:ascii="Times New Roman" w:hAnsi="Times New Roman"/>
          <w:bCs/>
          <w:sz w:val="28"/>
          <w:szCs w:val="28"/>
        </w:rPr>
        <w:t>，节水型居民小区创建率达到</w:t>
      </w:r>
      <w:r>
        <w:rPr>
          <w:rFonts w:ascii="Times New Roman" w:hAnsi="Times New Roman"/>
          <w:bCs/>
          <w:sz w:val="28"/>
          <w:szCs w:val="28"/>
        </w:rPr>
        <w:t>10%</w:t>
      </w:r>
      <w:r>
        <w:rPr>
          <w:rFonts w:hint="eastAsia" w:ascii="Times New Roman" w:hAnsi="Times New Roman"/>
          <w:bCs/>
          <w:sz w:val="28"/>
          <w:szCs w:val="28"/>
        </w:rPr>
        <w:t>，节水型区级机关创建率达到</w:t>
      </w:r>
      <w:r>
        <w:rPr>
          <w:rFonts w:ascii="Times New Roman" w:hAnsi="Times New Roman"/>
          <w:bCs/>
          <w:sz w:val="28"/>
          <w:szCs w:val="28"/>
        </w:rPr>
        <w:t>55. 4%</w:t>
      </w:r>
      <w:r>
        <w:rPr>
          <w:rFonts w:hint="eastAsia" w:ascii="Times New Roman" w:hAnsi="Times New Roman"/>
          <w:bCs/>
          <w:sz w:val="28"/>
          <w:szCs w:val="28"/>
        </w:rPr>
        <w:t>，区级其他节水型公共机构创建率达到</w:t>
      </w:r>
      <w:r>
        <w:rPr>
          <w:rFonts w:ascii="Times New Roman" w:hAnsi="Times New Roman"/>
          <w:bCs/>
          <w:sz w:val="28"/>
          <w:szCs w:val="28"/>
        </w:rPr>
        <w:t>51%</w:t>
      </w:r>
      <w:r>
        <w:rPr>
          <w:rFonts w:hint="eastAsia" w:ascii="Times New Roman" w:hAnsi="Times New Roman"/>
          <w:bCs/>
          <w:sz w:val="28"/>
          <w:szCs w:val="28"/>
        </w:rPr>
        <w:t>。</w:t>
      </w:r>
    </w:p>
    <w:p>
      <w:pPr>
        <w:keepNext/>
        <w:keepLines/>
        <w:spacing w:before="260" w:after="260" w:line="413" w:lineRule="auto"/>
        <w:ind w:firstLine="560" w:firstLineChars="200"/>
        <w:outlineLvl w:val="2"/>
        <w:rPr>
          <w:rFonts w:ascii="Times New Roman" w:hAnsi="Times New Roman" w:eastAsia="黑体"/>
          <w:sz w:val="28"/>
          <w:szCs w:val="24"/>
        </w:rPr>
      </w:pPr>
      <w:bookmarkStart w:id="53" w:name="_Toc90482771"/>
      <w:r>
        <w:rPr>
          <w:rFonts w:ascii="Times New Roman" w:hAnsi="Times New Roman" w:eastAsia="黑体"/>
          <w:sz w:val="28"/>
          <w:szCs w:val="24"/>
        </w:rPr>
        <w:t xml:space="preserve">2.1.4 </w:t>
      </w:r>
      <w:r>
        <w:rPr>
          <w:rFonts w:hint="eastAsia" w:ascii="Times New Roman" w:hAnsi="Times New Roman" w:eastAsia="黑体"/>
          <w:sz w:val="28"/>
          <w:szCs w:val="24"/>
        </w:rPr>
        <w:t>节水管理能力不断加强</w:t>
      </w:r>
      <w:bookmarkEnd w:id="53"/>
    </w:p>
    <w:p>
      <w:pPr>
        <w:spacing w:line="360" w:lineRule="auto"/>
        <w:ind w:firstLine="560" w:firstLineChars="200"/>
        <w:rPr>
          <w:rFonts w:ascii="Times New Roman" w:hAnsi="Times New Roman"/>
          <w:bCs/>
          <w:sz w:val="28"/>
          <w:szCs w:val="28"/>
        </w:rPr>
      </w:pPr>
      <w:r>
        <w:rPr>
          <w:rFonts w:hint="eastAsia" w:ascii="Times New Roman" w:hAnsi="Times New Roman"/>
          <w:bCs/>
          <w:sz w:val="28"/>
          <w:szCs w:val="28"/>
        </w:rPr>
        <w:t>（</w:t>
      </w:r>
      <w:r>
        <w:rPr>
          <w:rFonts w:ascii="Times New Roman" w:hAnsi="Times New Roman"/>
          <w:bCs/>
          <w:sz w:val="28"/>
          <w:szCs w:val="28"/>
        </w:rPr>
        <w:t>1</w:t>
      </w:r>
      <w:r>
        <w:rPr>
          <w:rFonts w:hint="eastAsia" w:ascii="Times New Roman" w:hAnsi="Times New Roman"/>
          <w:bCs/>
          <w:sz w:val="28"/>
          <w:szCs w:val="28"/>
        </w:rPr>
        <w:t>）严格计划用水管理</w:t>
      </w:r>
    </w:p>
    <w:p>
      <w:pPr>
        <w:spacing w:line="360" w:lineRule="auto"/>
        <w:ind w:firstLine="560" w:firstLineChars="200"/>
        <w:rPr>
          <w:rFonts w:ascii="Times New Roman" w:hAnsi="Times New Roman"/>
          <w:bCs/>
          <w:sz w:val="28"/>
          <w:szCs w:val="28"/>
        </w:rPr>
      </w:pPr>
      <w:r>
        <w:rPr>
          <w:rFonts w:hint="eastAsia" w:ascii="Times New Roman" w:hAnsi="Times New Roman"/>
          <w:bCs/>
          <w:sz w:val="28"/>
          <w:szCs w:val="28"/>
        </w:rPr>
        <w:t>渝北区为切实有效的开展城市计划用水管理工作，出台《渝北区城市计划用水管理实施细则（试行）》，为计划用水工作的全面开展提供制度保障。各司其职，协同开展计划用水管理，实现计划取水下达率</w:t>
      </w:r>
      <w:r>
        <w:rPr>
          <w:rFonts w:ascii="Times New Roman" w:hAnsi="Times New Roman"/>
          <w:bCs/>
          <w:sz w:val="28"/>
          <w:szCs w:val="28"/>
        </w:rPr>
        <w:t>100%</w:t>
      </w:r>
      <w:r>
        <w:rPr>
          <w:rFonts w:hint="eastAsia" w:ascii="Times New Roman" w:hAnsi="Times New Roman"/>
          <w:bCs/>
          <w:sz w:val="28"/>
          <w:szCs w:val="28"/>
        </w:rPr>
        <w:t>。区水利局对纳入取水许可管理的单位实行计划用水管理，严格执行定额标准。区城市管理局对城市公共供水管网的计划用水进行监督管理，对公共管网年用水量</w:t>
      </w:r>
      <w:r>
        <w:rPr>
          <w:rFonts w:ascii="Times New Roman" w:hAnsi="Times New Roman"/>
          <w:bCs/>
          <w:sz w:val="28"/>
          <w:szCs w:val="28"/>
        </w:rPr>
        <w:t>5</w:t>
      </w:r>
      <w:r>
        <w:rPr>
          <w:rFonts w:hint="eastAsia" w:ascii="Times New Roman" w:hAnsi="Times New Roman"/>
          <w:bCs/>
          <w:sz w:val="28"/>
          <w:szCs w:val="28"/>
        </w:rPr>
        <w:t>万</w:t>
      </w:r>
      <w:r>
        <w:rPr>
          <w:rFonts w:ascii="Times New Roman" w:hAnsi="Times New Roman"/>
          <w:bCs/>
          <w:sz w:val="28"/>
          <w:szCs w:val="28"/>
        </w:rPr>
        <w:t>m</w:t>
      </w:r>
      <w:r>
        <w:rPr>
          <w:rFonts w:ascii="Times New Roman" w:hAnsi="Times New Roman"/>
          <w:bCs/>
          <w:sz w:val="28"/>
          <w:szCs w:val="28"/>
          <w:vertAlign w:val="superscript"/>
        </w:rPr>
        <w:t>3</w:t>
      </w:r>
      <w:r>
        <w:rPr>
          <w:rFonts w:hint="eastAsia" w:ascii="Times New Roman" w:hAnsi="Times New Roman"/>
          <w:bCs/>
          <w:sz w:val="28"/>
          <w:szCs w:val="28"/>
        </w:rPr>
        <w:t>以上的非居民用水户下达用水计划，并定期开展专项监督检查。严格监督，确保各取用水单位实际取用水量不超过年度计划取用水量，保证全区无超证超计划取水。</w:t>
      </w:r>
    </w:p>
    <w:p>
      <w:pPr>
        <w:spacing w:line="360" w:lineRule="auto"/>
        <w:ind w:firstLine="560" w:firstLineChars="200"/>
        <w:rPr>
          <w:rFonts w:ascii="Times New Roman" w:hAnsi="Times New Roman"/>
          <w:bCs/>
          <w:sz w:val="28"/>
          <w:szCs w:val="28"/>
        </w:rPr>
      </w:pPr>
      <w:r>
        <w:rPr>
          <w:rFonts w:hint="eastAsia" w:ascii="Times New Roman" w:hAnsi="Times New Roman"/>
          <w:bCs/>
          <w:sz w:val="28"/>
          <w:szCs w:val="28"/>
        </w:rPr>
        <w:t>（</w:t>
      </w:r>
      <w:r>
        <w:rPr>
          <w:rFonts w:ascii="Times New Roman" w:hAnsi="Times New Roman"/>
          <w:bCs/>
          <w:sz w:val="28"/>
          <w:szCs w:val="28"/>
        </w:rPr>
        <w:t>2</w:t>
      </w:r>
      <w:r>
        <w:rPr>
          <w:rFonts w:hint="eastAsia" w:ascii="Times New Roman" w:hAnsi="Times New Roman"/>
          <w:bCs/>
          <w:sz w:val="28"/>
          <w:szCs w:val="28"/>
        </w:rPr>
        <w:t>）实施用水定额管理</w:t>
      </w:r>
    </w:p>
    <w:p>
      <w:pPr>
        <w:spacing w:line="360" w:lineRule="auto"/>
        <w:ind w:firstLine="560" w:firstLineChars="200"/>
        <w:rPr>
          <w:rFonts w:ascii="Times New Roman" w:hAnsi="Times New Roman"/>
          <w:bCs/>
          <w:sz w:val="28"/>
          <w:szCs w:val="28"/>
        </w:rPr>
      </w:pPr>
      <w:r>
        <w:rPr>
          <w:rFonts w:hint="eastAsia" w:ascii="Times New Roman" w:hAnsi="Times New Roman"/>
          <w:bCs/>
          <w:sz w:val="28"/>
          <w:szCs w:val="28"/>
        </w:rPr>
        <w:t>严格按照定额标准下达用水计划，在水资源论证和取水许可审批时严格用水定额管理。将节水评价纳入水资源论证报告，自</w:t>
      </w:r>
      <w:r>
        <w:rPr>
          <w:rFonts w:ascii="Times New Roman" w:hAnsi="Times New Roman"/>
          <w:bCs/>
          <w:sz w:val="28"/>
          <w:szCs w:val="28"/>
        </w:rPr>
        <w:t>2019</w:t>
      </w:r>
      <w:r>
        <w:rPr>
          <w:rFonts w:hint="eastAsia" w:ascii="Times New Roman" w:hAnsi="Times New Roman"/>
          <w:bCs/>
          <w:sz w:val="28"/>
          <w:szCs w:val="28"/>
        </w:rPr>
        <w:t>年起，建设项目水资源论证报告和规划水资源论证报告都开展了详细的节水评价，落实了用水定额管理和节水评价机制。严格执行居民用水阶梯水价制度和非居民用水超计划超定额累进加价制度，按标准足额征缴水资源费，做到应收尽收，“十三五”期间收取水资源费</w:t>
      </w:r>
      <w:r>
        <w:rPr>
          <w:rFonts w:ascii="Times New Roman" w:hAnsi="Times New Roman"/>
          <w:bCs/>
          <w:sz w:val="28"/>
          <w:szCs w:val="28"/>
        </w:rPr>
        <w:t>1499</w:t>
      </w:r>
      <w:r>
        <w:rPr>
          <w:rFonts w:hint="eastAsia" w:ascii="Times New Roman" w:hAnsi="Times New Roman"/>
          <w:bCs/>
          <w:sz w:val="28"/>
          <w:szCs w:val="28"/>
        </w:rPr>
        <w:t>万余元。</w:t>
      </w:r>
    </w:p>
    <w:p>
      <w:pPr>
        <w:ind w:firstLine="560" w:firstLineChars="200"/>
        <w:rPr>
          <w:rFonts w:ascii="Times New Roman" w:hAnsi="Times New Roman"/>
          <w:bCs/>
          <w:sz w:val="28"/>
          <w:szCs w:val="28"/>
        </w:rPr>
      </w:pPr>
      <w:r>
        <w:rPr>
          <w:rFonts w:hint="eastAsia" w:ascii="Times New Roman" w:hAnsi="Times New Roman"/>
          <w:bCs/>
          <w:sz w:val="28"/>
          <w:szCs w:val="28"/>
        </w:rPr>
        <w:t>（</w:t>
      </w:r>
      <w:r>
        <w:rPr>
          <w:rFonts w:ascii="Times New Roman" w:hAnsi="Times New Roman"/>
          <w:bCs/>
          <w:sz w:val="28"/>
          <w:szCs w:val="28"/>
        </w:rPr>
        <w:t>3</w:t>
      </w:r>
      <w:r>
        <w:rPr>
          <w:rFonts w:hint="eastAsia" w:ascii="Times New Roman" w:hAnsi="Times New Roman"/>
          <w:bCs/>
          <w:sz w:val="28"/>
          <w:szCs w:val="28"/>
        </w:rPr>
        <w:t>）强化用水和水质监督管理</w:t>
      </w:r>
    </w:p>
    <w:p>
      <w:pPr>
        <w:spacing w:line="360" w:lineRule="auto"/>
        <w:ind w:firstLine="560" w:firstLineChars="200"/>
        <w:rPr>
          <w:rFonts w:ascii="Times New Roman" w:hAnsi="Times New Roman"/>
          <w:bCs/>
          <w:sz w:val="28"/>
          <w:szCs w:val="28"/>
        </w:rPr>
      </w:pPr>
      <w:r>
        <w:rPr>
          <w:rFonts w:hint="eastAsia" w:ascii="Times New Roman" w:hAnsi="Times New Roman"/>
          <w:bCs/>
          <w:sz w:val="28"/>
          <w:szCs w:val="28"/>
        </w:rPr>
        <w:t>一是水资源费征收管理专项检查，在全区开展水资源费征收管理情况自查，对存在超计划取水、取水单位计量设施未通过计量部门检定或核准、未逐月建立取水台账等问题进行了逐一整改。二是全面落实入河排污口监管。实行不定期监督检查和季度监督检查工作制度，并通报检查结果，落实超标整改措施。持续加强河流断面和饮用水水源地水质监督监测工作，“十三五”期间采集地表水水样</w:t>
      </w:r>
      <w:r>
        <w:rPr>
          <w:rFonts w:ascii="Times New Roman" w:hAnsi="Times New Roman"/>
          <w:bCs/>
          <w:sz w:val="28"/>
          <w:szCs w:val="28"/>
        </w:rPr>
        <w:t>798</w:t>
      </w:r>
      <w:r>
        <w:rPr>
          <w:rFonts w:hint="eastAsia" w:ascii="Times New Roman" w:hAnsi="Times New Roman"/>
          <w:bCs/>
          <w:sz w:val="28"/>
          <w:szCs w:val="28"/>
        </w:rPr>
        <w:t>组，检测水质指标</w:t>
      </w:r>
      <w:r>
        <w:rPr>
          <w:rFonts w:ascii="Times New Roman" w:hAnsi="Times New Roman"/>
          <w:bCs/>
          <w:sz w:val="28"/>
          <w:szCs w:val="28"/>
        </w:rPr>
        <w:t>19152</w:t>
      </w:r>
      <w:r>
        <w:rPr>
          <w:rFonts w:hint="eastAsia" w:ascii="Times New Roman" w:hAnsi="Times New Roman"/>
          <w:bCs/>
          <w:sz w:val="28"/>
          <w:szCs w:val="28"/>
        </w:rPr>
        <w:t>次，出具检测报告</w:t>
      </w:r>
      <w:r>
        <w:rPr>
          <w:rFonts w:ascii="Times New Roman" w:hAnsi="Times New Roman"/>
          <w:bCs/>
          <w:sz w:val="28"/>
          <w:szCs w:val="28"/>
        </w:rPr>
        <w:t>54</w:t>
      </w:r>
      <w:r>
        <w:rPr>
          <w:rFonts w:hint="eastAsia" w:ascii="Times New Roman" w:hAnsi="Times New Roman"/>
          <w:bCs/>
          <w:sz w:val="28"/>
          <w:szCs w:val="28"/>
        </w:rPr>
        <w:t>份，水功能区水质达标率为</w:t>
      </w:r>
      <w:r>
        <w:rPr>
          <w:rFonts w:ascii="Times New Roman" w:hAnsi="Times New Roman"/>
          <w:bCs/>
          <w:sz w:val="28"/>
          <w:szCs w:val="28"/>
        </w:rPr>
        <w:t>100%</w:t>
      </w:r>
      <w:r>
        <w:rPr>
          <w:rFonts w:hint="eastAsia" w:ascii="Times New Roman" w:hAnsi="Times New Roman"/>
          <w:bCs/>
          <w:sz w:val="28"/>
          <w:szCs w:val="28"/>
        </w:rPr>
        <w:t>。</w:t>
      </w:r>
    </w:p>
    <w:p>
      <w:pPr>
        <w:spacing w:line="360" w:lineRule="auto"/>
        <w:ind w:firstLine="560" w:firstLineChars="200"/>
        <w:rPr>
          <w:rFonts w:ascii="Times New Roman" w:hAnsi="Times New Roman"/>
          <w:bCs/>
          <w:sz w:val="28"/>
          <w:szCs w:val="28"/>
        </w:rPr>
      </w:pPr>
      <w:r>
        <w:rPr>
          <w:rFonts w:hint="eastAsia" w:ascii="Times New Roman" w:hAnsi="Times New Roman"/>
          <w:bCs/>
          <w:sz w:val="28"/>
          <w:szCs w:val="28"/>
        </w:rPr>
        <w:t>（</w:t>
      </w:r>
      <w:r>
        <w:rPr>
          <w:rFonts w:ascii="Times New Roman" w:hAnsi="Times New Roman"/>
          <w:bCs/>
          <w:sz w:val="28"/>
          <w:szCs w:val="28"/>
        </w:rPr>
        <w:t>4</w:t>
      </w:r>
      <w:r>
        <w:rPr>
          <w:rFonts w:hint="eastAsia" w:ascii="Times New Roman" w:hAnsi="Times New Roman"/>
          <w:bCs/>
          <w:sz w:val="28"/>
          <w:szCs w:val="28"/>
        </w:rPr>
        <w:t>）用水统计和计量管理</w:t>
      </w:r>
    </w:p>
    <w:p>
      <w:pPr>
        <w:spacing w:line="360" w:lineRule="auto"/>
        <w:ind w:firstLine="560" w:firstLineChars="200"/>
        <w:rPr>
          <w:rFonts w:ascii="Times New Roman" w:hAnsi="Times New Roman"/>
          <w:bCs/>
          <w:sz w:val="28"/>
          <w:szCs w:val="28"/>
        </w:rPr>
      </w:pPr>
      <w:r>
        <w:rPr>
          <w:rFonts w:hint="eastAsia" w:ascii="Times New Roman" w:hAnsi="Times New Roman"/>
          <w:bCs/>
          <w:sz w:val="28"/>
          <w:szCs w:val="28"/>
        </w:rPr>
        <w:t>渝北区全面实行用水统计制度，大力实施“一户一表”改造工程，凡是新建商品房必须安装“一户一表”，加快推进“总表分户”工作。规范用水户用水统计内容和要求。为强化用水计量管理，重庆市物价局印发了《重庆市物价局关于规范主城区城市供水价格分类管理的通知》（渝价〔</w:t>
      </w:r>
      <w:r>
        <w:rPr>
          <w:rFonts w:ascii="Times New Roman" w:hAnsi="Times New Roman"/>
          <w:bCs/>
          <w:sz w:val="28"/>
          <w:szCs w:val="28"/>
        </w:rPr>
        <w:t xml:space="preserve"> 2015</w:t>
      </w:r>
      <w:r>
        <w:rPr>
          <w:rFonts w:hint="eastAsia" w:ascii="Times New Roman" w:hAnsi="Times New Roman"/>
          <w:bCs/>
          <w:sz w:val="28"/>
          <w:szCs w:val="28"/>
        </w:rPr>
        <w:t>〕</w:t>
      </w:r>
      <w:r>
        <w:rPr>
          <w:rFonts w:ascii="Times New Roman" w:hAnsi="Times New Roman"/>
          <w:bCs/>
          <w:sz w:val="28"/>
          <w:szCs w:val="28"/>
        </w:rPr>
        <w:t xml:space="preserve"> 278 </w:t>
      </w:r>
      <w:r>
        <w:rPr>
          <w:rFonts w:hint="eastAsia" w:ascii="Times New Roman" w:hAnsi="Times New Roman"/>
          <w:bCs/>
          <w:sz w:val="28"/>
          <w:szCs w:val="28"/>
        </w:rPr>
        <w:t>号），对主城区洗车、洗浴（含洗足）、高尔夫球场用水实行特种用水价格。至</w:t>
      </w:r>
      <w:r>
        <w:rPr>
          <w:rFonts w:ascii="Times New Roman" w:hAnsi="Times New Roman"/>
          <w:bCs/>
          <w:sz w:val="28"/>
          <w:szCs w:val="28"/>
        </w:rPr>
        <w:t xml:space="preserve"> 2020 </w:t>
      </w:r>
      <w:r>
        <w:rPr>
          <w:rFonts w:hint="eastAsia" w:ascii="Times New Roman" w:hAnsi="Times New Roman"/>
          <w:bCs/>
          <w:sz w:val="28"/>
          <w:szCs w:val="28"/>
        </w:rPr>
        <w:t>年，渝北区有特种行业用户</w:t>
      </w:r>
      <w:r>
        <w:rPr>
          <w:rFonts w:ascii="Times New Roman" w:hAnsi="Times New Roman"/>
          <w:bCs/>
          <w:sz w:val="28"/>
          <w:szCs w:val="28"/>
        </w:rPr>
        <w:t xml:space="preserve"> 3809 </w:t>
      </w:r>
      <w:r>
        <w:rPr>
          <w:rFonts w:hint="eastAsia" w:ascii="Times New Roman" w:hAnsi="Times New Roman"/>
          <w:bCs/>
          <w:sz w:val="28"/>
          <w:szCs w:val="28"/>
        </w:rPr>
        <w:t>户，用水计量收费</w:t>
      </w:r>
      <w:r>
        <w:rPr>
          <w:rFonts w:ascii="Times New Roman" w:hAnsi="Times New Roman"/>
          <w:bCs/>
          <w:sz w:val="28"/>
          <w:szCs w:val="28"/>
        </w:rPr>
        <w:t xml:space="preserve"> 3809 </w:t>
      </w:r>
      <w:r>
        <w:rPr>
          <w:rFonts w:hint="eastAsia" w:ascii="Times New Roman" w:hAnsi="Times New Roman"/>
          <w:bCs/>
          <w:sz w:val="28"/>
          <w:szCs w:val="28"/>
        </w:rPr>
        <w:t>户，渝北区特种行业用水计量收费率为</w:t>
      </w:r>
      <w:r>
        <w:rPr>
          <w:rFonts w:ascii="Times New Roman" w:hAnsi="Times New Roman"/>
          <w:bCs/>
          <w:sz w:val="28"/>
          <w:szCs w:val="28"/>
        </w:rPr>
        <w:t xml:space="preserve"> 100%</w:t>
      </w:r>
      <w:r>
        <w:rPr>
          <w:rFonts w:hint="eastAsia" w:ascii="Times New Roman" w:hAnsi="Times New Roman"/>
          <w:bCs/>
          <w:sz w:val="28"/>
          <w:szCs w:val="28"/>
        </w:rPr>
        <w:t>。</w:t>
      </w:r>
    </w:p>
    <w:p>
      <w:pPr>
        <w:keepNext/>
        <w:keepLines/>
        <w:spacing w:before="260" w:after="260" w:line="413" w:lineRule="auto"/>
        <w:ind w:firstLine="560" w:firstLineChars="200"/>
        <w:outlineLvl w:val="2"/>
        <w:rPr>
          <w:rFonts w:ascii="Times New Roman" w:hAnsi="Times New Roman" w:eastAsia="黑体"/>
          <w:sz w:val="28"/>
          <w:szCs w:val="24"/>
        </w:rPr>
      </w:pPr>
      <w:bookmarkStart w:id="54" w:name="_Toc90482772"/>
      <w:r>
        <w:rPr>
          <w:rFonts w:ascii="Times New Roman" w:hAnsi="Times New Roman" w:eastAsia="黑体"/>
          <w:sz w:val="28"/>
          <w:szCs w:val="24"/>
        </w:rPr>
        <w:t xml:space="preserve">2.1.5 </w:t>
      </w:r>
      <w:r>
        <w:rPr>
          <w:rFonts w:hint="eastAsia" w:ascii="Times New Roman" w:hAnsi="Times New Roman" w:eastAsia="黑体"/>
          <w:sz w:val="28"/>
          <w:szCs w:val="24"/>
        </w:rPr>
        <w:t>非常规水利用持续增加</w:t>
      </w:r>
      <w:bookmarkEnd w:id="54"/>
    </w:p>
    <w:p>
      <w:pPr>
        <w:ind w:firstLine="560" w:firstLineChars="200"/>
        <w:rPr>
          <w:rFonts w:ascii="Times New Roman" w:hAnsi="Times New Roman"/>
          <w:bCs/>
          <w:sz w:val="28"/>
          <w:szCs w:val="28"/>
        </w:rPr>
      </w:pPr>
      <w:r>
        <w:rPr>
          <w:rFonts w:hint="eastAsia" w:ascii="Times New Roman" w:hAnsi="Times New Roman"/>
          <w:bCs/>
          <w:sz w:val="28"/>
          <w:szCs w:val="28"/>
        </w:rPr>
        <w:t>“十三五”期间，通过海绵城市建设和循环水利用等措施，逐步提高非常规水的利用率。一是紧抓海绵城市建设，雨水集蓄能力逐步提高。截止</w:t>
      </w:r>
      <w:r>
        <w:rPr>
          <w:rFonts w:ascii="Times New Roman" w:hAnsi="Times New Roman"/>
          <w:bCs/>
          <w:sz w:val="28"/>
          <w:szCs w:val="28"/>
        </w:rPr>
        <w:t>2020</w:t>
      </w:r>
      <w:r>
        <w:rPr>
          <w:rFonts w:hint="eastAsia" w:ascii="Times New Roman" w:hAnsi="Times New Roman"/>
          <w:bCs/>
          <w:sz w:val="28"/>
          <w:szCs w:val="28"/>
        </w:rPr>
        <w:t>年，渝北区城市建成区中已达海绵城市建设要求的面积共计</w:t>
      </w:r>
      <w:r>
        <w:rPr>
          <w:rFonts w:ascii="Times New Roman" w:hAnsi="Times New Roman"/>
          <w:bCs/>
          <w:sz w:val="28"/>
          <w:szCs w:val="28"/>
        </w:rPr>
        <w:t>23.80</w:t>
      </w:r>
      <w:r>
        <w:rPr>
          <w:rFonts w:hint="eastAsia" w:ascii="Times New Roman" w:hAnsi="Times New Roman"/>
          <w:bCs/>
          <w:sz w:val="28"/>
          <w:szCs w:val="28"/>
        </w:rPr>
        <w:t>平方公里，城市建成区比例为</w:t>
      </w:r>
      <w:r>
        <w:rPr>
          <w:rFonts w:ascii="Times New Roman" w:hAnsi="Times New Roman"/>
          <w:bCs/>
          <w:sz w:val="28"/>
          <w:szCs w:val="28"/>
        </w:rPr>
        <w:t>21.06%</w:t>
      </w:r>
      <w:r>
        <w:rPr>
          <w:rFonts w:hint="eastAsia" w:ascii="Times New Roman" w:hAnsi="Times New Roman"/>
          <w:bCs/>
          <w:sz w:val="28"/>
          <w:szCs w:val="28"/>
        </w:rPr>
        <w:t>，圆满完成了“到</w:t>
      </w:r>
      <w:r>
        <w:rPr>
          <w:rFonts w:ascii="Times New Roman" w:hAnsi="Times New Roman"/>
          <w:bCs/>
          <w:sz w:val="28"/>
          <w:szCs w:val="28"/>
        </w:rPr>
        <w:t>2020</w:t>
      </w:r>
      <w:r>
        <w:rPr>
          <w:rFonts w:hint="eastAsia" w:ascii="Times New Roman" w:hAnsi="Times New Roman"/>
          <w:bCs/>
          <w:sz w:val="28"/>
          <w:szCs w:val="28"/>
        </w:rPr>
        <w:t>年城市建成区</w:t>
      </w:r>
      <w:r>
        <w:rPr>
          <w:rFonts w:ascii="Times New Roman" w:hAnsi="Times New Roman"/>
          <w:bCs/>
          <w:sz w:val="28"/>
          <w:szCs w:val="28"/>
        </w:rPr>
        <w:t>20%</w:t>
      </w:r>
      <w:r>
        <w:rPr>
          <w:rFonts w:hint="eastAsia" w:ascii="Times New Roman" w:hAnsi="Times New Roman"/>
          <w:bCs/>
          <w:sz w:val="28"/>
          <w:szCs w:val="28"/>
        </w:rPr>
        <w:t>以上面积达到海绵城市指标要求”的阶段性考核任务。二是逐步开展水的循环利用。城南污水处理厂设计处理能力为</w:t>
      </w:r>
      <w:r>
        <w:rPr>
          <w:rFonts w:ascii="Times New Roman" w:hAnsi="Times New Roman"/>
          <w:bCs/>
          <w:sz w:val="28"/>
          <w:szCs w:val="28"/>
        </w:rPr>
        <w:t xml:space="preserve"> 5 </w:t>
      </w:r>
      <w:r>
        <w:rPr>
          <w:rFonts w:hint="eastAsia" w:ascii="Times New Roman" w:hAnsi="Times New Roman"/>
          <w:bCs/>
          <w:sz w:val="28"/>
          <w:szCs w:val="28"/>
        </w:rPr>
        <w:t>万立方米</w:t>
      </w:r>
      <w:r>
        <w:rPr>
          <w:rFonts w:ascii="Times New Roman" w:hAnsi="Times New Roman"/>
          <w:bCs/>
          <w:sz w:val="28"/>
          <w:szCs w:val="28"/>
        </w:rPr>
        <w:t>/</w:t>
      </w:r>
      <w:r>
        <w:rPr>
          <w:rFonts w:hint="eastAsia" w:ascii="Times New Roman" w:hAnsi="Times New Roman"/>
          <w:bCs/>
          <w:sz w:val="28"/>
          <w:szCs w:val="28"/>
        </w:rPr>
        <w:t>天，将处理达标尾水进行回用，</w:t>
      </w:r>
      <w:r>
        <w:rPr>
          <w:rFonts w:ascii="Times New Roman" w:hAnsi="Times New Roman"/>
          <w:bCs/>
          <w:sz w:val="28"/>
          <w:szCs w:val="28"/>
        </w:rPr>
        <w:t>2020</w:t>
      </w:r>
      <w:r>
        <w:rPr>
          <w:rFonts w:hint="eastAsia" w:ascii="Times New Roman" w:hAnsi="Times New Roman"/>
          <w:bCs/>
          <w:sz w:val="28"/>
          <w:szCs w:val="28"/>
        </w:rPr>
        <w:t>年尾水回用量已达到</w:t>
      </w:r>
      <w:r>
        <w:rPr>
          <w:rFonts w:ascii="Times New Roman" w:hAnsi="Times New Roman"/>
          <w:bCs/>
          <w:sz w:val="28"/>
          <w:szCs w:val="28"/>
        </w:rPr>
        <w:t>1367</w:t>
      </w:r>
      <w:r>
        <w:rPr>
          <w:rFonts w:hint="eastAsia" w:ascii="Times New Roman" w:hAnsi="Times New Roman"/>
          <w:bCs/>
          <w:sz w:val="28"/>
          <w:szCs w:val="28"/>
        </w:rPr>
        <w:t>万立方米。</w:t>
      </w:r>
    </w:p>
    <w:p>
      <w:pPr>
        <w:keepNext/>
        <w:keepLines/>
        <w:spacing w:before="260" w:after="260" w:line="413" w:lineRule="auto"/>
        <w:ind w:firstLine="560" w:firstLineChars="200"/>
        <w:outlineLvl w:val="2"/>
        <w:rPr>
          <w:rFonts w:ascii="Times New Roman" w:hAnsi="Times New Roman" w:eastAsia="黑体"/>
          <w:sz w:val="28"/>
          <w:szCs w:val="24"/>
        </w:rPr>
      </w:pPr>
      <w:bookmarkStart w:id="55" w:name="_Toc90482773"/>
      <w:r>
        <w:rPr>
          <w:rFonts w:ascii="Times New Roman" w:hAnsi="Times New Roman" w:eastAsia="黑体"/>
          <w:sz w:val="28"/>
          <w:szCs w:val="24"/>
        </w:rPr>
        <w:t xml:space="preserve">2.1.6 </w:t>
      </w:r>
      <w:r>
        <w:rPr>
          <w:rFonts w:hint="eastAsia" w:ascii="Times New Roman" w:hAnsi="Times New Roman" w:eastAsia="黑体"/>
          <w:sz w:val="28"/>
          <w:szCs w:val="24"/>
        </w:rPr>
        <w:t>污水处理能力稳步提升</w:t>
      </w:r>
      <w:bookmarkEnd w:id="55"/>
    </w:p>
    <w:p>
      <w:pPr>
        <w:ind w:firstLine="560" w:firstLineChars="200"/>
        <w:rPr>
          <w:rFonts w:ascii="Times New Roman" w:hAnsi="Times New Roman"/>
          <w:bCs/>
          <w:sz w:val="28"/>
          <w:szCs w:val="28"/>
        </w:rPr>
      </w:pPr>
      <w:r>
        <w:rPr>
          <w:rFonts w:hint="eastAsia" w:ascii="Times New Roman" w:hAnsi="Times New Roman"/>
          <w:bCs/>
          <w:sz w:val="28"/>
          <w:szCs w:val="28"/>
        </w:rPr>
        <w:t>“十三五”期间，持续推进城市污水处理厂建设，完成了肖家河一二期、城南一期、城北污水处理厂一级</w:t>
      </w:r>
      <w:r>
        <w:rPr>
          <w:rFonts w:ascii="Times New Roman" w:hAnsi="Times New Roman"/>
          <w:bCs/>
          <w:sz w:val="28"/>
          <w:szCs w:val="28"/>
        </w:rPr>
        <w:t>A</w:t>
      </w:r>
      <w:r>
        <w:rPr>
          <w:rFonts w:hint="eastAsia" w:ascii="Times New Roman" w:hAnsi="Times New Roman"/>
          <w:bCs/>
          <w:sz w:val="28"/>
          <w:szCs w:val="28"/>
        </w:rPr>
        <w:t>标改造；新建了肖家河三期、石坪污水处理厂扩建工程，目前渝北区的污水处理厂</w:t>
      </w:r>
      <w:r>
        <w:rPr>
          <w:rFonts w:ascii="Times New Roman" w:hAnsi="Times New Roman"/>
          <w:bCs/>
          <w:sz w:val="28"/>
          <w:szCs w:val="28"/>
        </w:rPr>
        <w:t>7</w:t>
      </w:r>
      <w:r>
        <w:rPr>
          <w:rFonts w:hint="eastAsia" w:ascii="Times New Roman" w:hAnsi="Times New Roman"/>
          <w:bCs/>
          <w:sz w:val="28"/>
          <w:szCs w:val="28"/>
        </w:rPr>
        <w:t>座，总处理能力超过</w:t>
      </w:r>
      <w:r>
        <w:rPr>
          <w:rFonts w:ascii="Times New Roman" w:hAnsi="Times New Roman"/>
          <w:bCs/>
          <w:sz w:val="28"/>
          <w:szCs w:val="28"/>
        </w:rPr>
        <w:t>74</w:t>
      </w:r>
      <w:r>
        <w:rPr>
          <w:rFonts w:hint="eastAsia" w:ascii="Times New Roman" w:hAnsi="Times New Roman"/>
          <w:bCs/>
          <w:sz w:val="28"/>
          <w:szCs w:val="28"/>
        </w:rPr>
        <w:t>万吨</w:t>
      </w:r>
      <w:r>
        <w:rPr>
          <w:rFonts w:ascii="Times New Roman" w:hAnsi="Times New Roman"/>
          <w:bCs/>
          <w:sz w:val="28"/>
          <w:szCs w:val="28"/>
        </w:rPr>
        <w:t>/</w:t>
      </w:r>
      <w:r>
        <w:rPr>
          <w:rFonts w:hint="eastAsia" w:ascii="Times New Roman" w:hAnsi="Times New Roman"/>
          <w:bCs/>
          <w:sz w:val="28"/>
          <w:szCs w:val="28"/>
        </w:rPr>
        <w:t>日，城市污水集中处理率达到</w:t>
      </w:r>
      <w:r>
        <w:rPr>
          <w:rFonts w:ascii="Times New Roman" w:hAnsi="Times New Roman"/>
          <w:bCs/>
          <w:sz w:val="28"/>
          <w:szCs w:val="28"/>
        </w:rPr>
        <w:t>96%</w:t>
      </w:r>
      <w:r>
        <w:rPr>
          <w:rFonts w:hint="eastAsia" w:ascii="Times New Roman" w:hAnsi="Times New Roman"/>
          <w:bCs/>
          <w:sz w:val="28"/>
          <w:szCs w:val="28"/>
        </w:rPr>
        <w:t>。投资</w:t>
      </w:r>
      <w:r>
        <w:rPr>
          <w:rFonts w:ascii="Times New Roman" w:hAnsi="Times New Roman"/>
          <w:bCs/>
          <w:sz w:val="28"/>
          <w:szCs w:val="28"/>
        </w:rPr>
        <w:t>3.3</w:t>
      </w:r>
      <w:r>
        <w:rPr>
          <w:rFonts w:hint="eastAsia" w:ascii="Times New Roman" w:hAnsi="Times New Roman"/>
          <w:bCs/>
          <w:sz w:val="28"/>
          <w:szCs w:val="28"/>
        </w:rPr>
        <w:t>亿元，完成了空港新城</w:t>
      </w:r>
      <w:r>
        <w:rPr>
          <w:rFonts w:ascii="Times New Roman" w:hAnsi="Times New Roman"/>
          <w:bCs/>
          <w:sz w:val="28"/>
          <w:szCs w:val="28"/>
        </w:rPr>
        <w:t>F</w:t>
      </w:r>
      <w:r>
        <w:rPr>
          <w:rFonts w:hint="eastAsia" w:ascii="Times New Roman" w:hAnsi="Times New Roman"/>
          <w:bCs/>
          <w:sz w:val="28"/>
          <w:szCs w:val="28"/>
        </w:rPr>
        <w:t>分区、龙山老旧片区雨污分流改造，开工建设新华水库、南方翻译学院片区雨污分流改造工程；完成建设城市污水管网</w:t>
      </w:r>
      <w:r>
        <w:rPr>
          <w:rFonts w:ascii="Times New Roman" w:hAnsi="Times New Roman"/>
          <w:bCs/>
          <w:sz w:val="28"/>
          <w:szCs w:val="28"/>
        </w:rPr>
        <w:t>85.8</w:t>
      </w:r>
      <w:r>
        <w:rPr>
          <w:rFonts w:hint="eastAsia" w:ascii="Times New Roman" w:hAnsi="Times New Roman"/>
          <w:bCs/>
          <w:sz w:val="28"/>
          <w:szCs w:val="28"/>
        </w:rPr>
        <w:t>公里、镇级污水管网</w:t>
      </w:r>
      <w:r>
        <w:rPr>
          <w:rFonts w:ascii="Times New Roman" w:hAnsi="Times New Roman"/>
          <w:bCs/>
          <w:sz w:val="28"/>
          <w:szCs w:val="28"/>
        </w:rPr>
        <w:t>105.5</w:t>
      </w:r>
      <w:r>
        <w:rPr>
          <w:rFonts w:hint="eastAsia" w:ascii="Times New Roman" w:hAnsi="Times New Roman"/>
          <w:bCs/>
          <w:sz w:val="28"/>
          <w:szCs w:val="28"/>
        </w:rPr>
        <w:t>公里，消除生活污水处理设施空白区</w:t>
      </w:r>
      <w:r>
        <w:rPr>
          <w:rFonts w:ascii="Times New Roman" w:hAnsi="Times New Roman"/>
          <w:bCs/>
          <w:sz w:val="28"/>
          <w:szCs w:val="28"/>
        </w:rPr>
        <w:t>8.9</w:t>
      </w:r>
      <w:r>
        <w:rPr>
          <w:rFonts w:hint="eastAsia" w:ascii="Times New Roman" w:hAnsi="Times New Roman"/>
          <w:bCs/>
          <w:sz w:val="28"/>
          <w:szCs w:val="28"/>
        </w:rPr>
        <w:t>平方公里，实现了所有场镇、城乡结合部污水收集处理设施全覆盖。</w:t>
      </w:r>
    </w:p>
    <w:p>
      <w:pPr>
        <w:keepNext/>
        <w:keepLines/>
        <w:spacing w:before="260" w:after="260" w:line="413" w:lineRule="auto"/>
        <w:ind w:firstLine="560" w:firstLineChars="200"/>
        <w:outlineLvl w:val="2"/>
        <w:rPr>
          <w:rFonts w:ascii="Times New Roman" w:hAnsi="Times New Roman" w:eastAsia="黑体"/>
          <w:sz w:val="28"/>
          <w:szCs w:val="24"/>
        </w:rPr>
      </w:pPr>
      <w:bookmarkStart w:id="56" w:name="_Toc90482774"/>
      <w:r>
        <w:rPr>
          <w:rFonts w:ascii="Times New Roman" w:hAnsi="Times New Roman" w:eastAsia="黑体"/>
          <w:sz w:val="28"/>
          <w:szCs w:val="24"/>
        </w:rPr>
        <w:t xml:space="preserve">2.1.7 </w:t>
      </w:r>
      <w:r>
        <w:rPr>
          <w:rFonts w:hint="eastAsia" w:ascii="Times New Roman" w:hAnsi="Times New Roman" w:eastAsia="黑体"/>
          <w:sz w:val="28"/>
          <w:szCs w:val="24"/>
        </w:rPr>
        <w:t>节水宣传教育不断深入</w:t>
      </w:r>
      <w:bookmarkEnd w:id="56"/>
    </w:p>
    <w:p>
      <w:pPr>
        <w:ind w:firstLine="560" w:firstLineChars="200"/>
        <w:rPr>
          <w:rFonts w:ascii="Times New Roman" w:hAnsi="Times New Roman"/>
          <w:bCs/>
          <w:sz w:val="28"/>
          <w:szCs w:val="28"/>
        </w:rPr>
      </w:pPr>
      <w:r>
        <w:rPr>
          <w:rFonts w:hint="eastAsia" w:ascii="Times New Roman" w:hAnsi="Times New Roman"/>
          <w:bCs/>
          <w:sz w:val="28"/>
          <w:szCs w:val="28"/>
        </w:rPr>
        <w:t>通过“渝北水利局网”“渝北群团网”“渝北水利”“渝北群团”微信公众号、渝北广播电视台等线上平台和媒体发布节水用水小常识、节水宣传小视频及水利法律法规宣传，扩大水法宣传覆盖面。开展节水型企业（单位）创建活动，强化对企业（单位）的节水宣传，引导职工动手创办节水宣传栏、黑板报，调动职工的节水积极性；开展宣传进小区活动，使广大市民养成节约用水的良好习惯。</w:t>
      </w:r>
    </w:p>
    <w:p>
      <w:pPr>
        <w:ind w:firstLine="560" w:firstLineChars="200"/>
        <w:rPr>
          <w:rFonts w:ascii="Times New Roman" w:hAnsi="Times New Roman"/>
          <w:bCs/>
          <w:sz w:val="28"/>
          <w:szCs w:val="28"/>
        </w:rPr>
      </w:pPr>
      <w:r>
        <w:rPr>
          <w:rFonts w:hint="eastAsia" w:ascii="Times New Roman" w:hAnsi="Times New Roman"/>
          <w:bCs/>
          <w:sz w:val="28"/>
          <w:szCs w:val="28"/>
        </w:rPr>
        <w:t>线上线下齐联动，加强节水普法教育。渝北区水利局、区群团活动中心、各街道充分依托“世界水日”、“中国水周”、“世界环境日”等重要节点多渠道开展形式多样的主题宣传活动，制作宣传展板，发放宣传单、展示节水器具，开展全方位宣传。充分利用区内教育资源，将水资源节约保护内容纳入环境教育教学内容，开展节水宣传进校园活动，评选节水小使者。区节约用水领导小组办公室和区水利局相关工作人员到重庆市工业职业技术学院开展了以“坚持节水优先，强化水资源管理”为主题的节水宣传进校园活动，切实加强节水宣传教育，动员全社会珍惜水资源、爱护水环境、参与水治理。</w:t>
      </w:r>
    </w:p>
    <w:p>
      <w:pPr>
        <w:keepNext/>
        <w:keepLines/>
        <w:spacing w:before="260" w:after="260" w:line="413" w:lineRule="auto"/>
        <w:ind w:firstLine="281" w:firstLineChars="100"/>
        <w:outlineLvl w:val="1"/>
        <w:rPr>
          <w:rFonts w:ascii="Times New Roman" w:hAnsi="Times New Roman"/>
          <w:b/>
          <w:bCs/>
          <w:kern w:val="44"/>
          <w:sz w:val="28"/>
          <w:szCs w:val="28"/>
        </w:rPr>
      </w:pPr>
      <w:bookmarkStart w:id="57" w:name="_Toc90482775"/>
      <w:r>
        <w:rPr>
          <w:rFonts w:ascii="Times New Roman" w:hAnsi="Times New Roman"/>
          <w:b/>
          <w:bCs/>
          <w:kern w:val="44"/>
          <w:sz w:val="28"/>
          <w:szCs w:val="28"/>
        </w:rPr>
        <w:t xml:space="preserve">2.2 </w:t>
      </w:r>
      <w:r>
        <w:rPr>
          <w:rFonts w:hint="eastAsia" w:ascii="Times New Roman" w:hAnsi="Times New Roman"/>
          <w:b/>
          <w:bCs/>
          <w:kern w:val="44"/>
          <w:sz w:val="28"/>
          <w:szCs w:val="28"/>
        </w:rPr>
        <w:t>存在的主要问题</w:t>
      </w:r>
      <w:bookmarkEnd w:id="57"/>
    </w:p>
    <w:p>
      <w:pPr>
        <w:ind w:firstLine="560" w:firstLineChars="200"/>
        <w:rPr>
          <w:rFonts w:ascii="Times New Roman" w:hAnsi="Times New Roman"/>
          <w:bCs/>
          <w:sz w:val="28"/>
          <w:szCs w:val="28"/>
        </w:rPr>
      </w:pPr>
      <w:r>
        <w:rPr>
          <w:rFonts w:hint="eastAsia" w:ascii="宋体"/>
          <w:bCs/>
          <w:sz w:val="28"/>
          <w:szCs w:val="28"/>
        </w:rPr>
        <w:t>“</w:t>
      </w:r>
      <w:r>
        <w:rPr>
          <w:rFonts w:hint="eastAsia" w:ascii="宋体" w:hAnsi="宋体"/>
          <w:bCs/>
          <w:sz w:val="28"/>
          <w:szCs w:val="28"/>
        </w:rPr>
        <w:t>十三五</w:t>
      </w:r>
      <w:r>
        <w:rPr>
          <w:rFonts w:hint="eastAsia" w:ascii="宋体"/>
          <w:bCs/>
          <w:sz w:val="28"/>
          <w:szCs w:val="28"/>
        </w:rPr>
        <w:t>”</w:t>
      </w:r>
      <w:r>
        <w:rPr>
          <w:rFonts w:hint="eastAsia" w:ascii="Times New Roman" w:hAnsi="Times New Roman"/>
          <w:bCs/>
          <w:sz w:val="28"/>
          <w:szCs w:val="28"/>
        </w:rPr>
        <w:t>期间，渝北区节水工作虽然取得了较好的成绩，但在城区管网改造、污水再生利用和节水宣传等方面还有待加强的地方，目前存在的问题具体表现在以下几个方面。</w:t>
      </w:r>
    </w:p>
    <w:p>
      <w:pPr>
        <w:ind w:firstLine="560" w:firstLineChars="200"/>
        <w:rPr>
          <w:rFonts w:ascii="Times New Roman" w:hAnsi="Times New Roman"/>
          <w:bCs/>
          <w:sz w:val="28"/>
          <w:szCs w:val="28"/>
        </w:rPr>
      </w:pPr>
      <w:r>
        <w:rPr>
          <w:rFonts w:hint="eastAsia" w:ascii="Times New Roman" w:hAnsi="Times New Roman"/>
          <w:bCs/>
          <w:sz w:val="28"/>
          <w:szCs w:val="28"/>
        </w:rPr>
        <w:t>（</w:t>
      </w:r>
      <w:r>
        <w:rPr>
          <w:rFonts w:ascii="Times New Roman" w:hAnsi="Times New Roman"/>
          <w:bCs/>
          <w:sz w:val="28"/>
          <w:szCs w:val="28"/>
        </w:rPr>
        <w:t>1</w:t>
      </w:r>
      <w:r>
        <w:rPr>
          <w:rFonts w:hint="eastAsia" w:ascii="Times New Roman" w:hAnsi="Times New Roman"/>
          <w:bCs/>
          <w:sz w:val="28"/>
          <w:szCs w:val="28"/>
        </w:rPr>
        <w:t>）水资源时空分布不均，供水水源单一</w:t>
      </w:r>
    </w:p>
    <w:p>
      <w:pPr>
        <w:ind w:firstLine="560" w:firstLineChars="200"/>
        <w:rPr>
          <w:rFonts w:ascii="Times New Roman" w:hAnsi="Times New Roman"/>
          <w:bCs/>
          <w:sz w:val="28"/>
          <w:szCs w:val="28"/>
        </w:rPr>
      </w:pPr>
      <w:r>
        <w:rPr>
          <w:rFonts w:hint="eastAsia" w:ascii="Times New Roman" w:hAnsi="Times New Roman"/>
          <w:bCs/>
          <w:sz w:val="28"/>
          <w:szCs w:val="28"/>
        </w:rPr>
        <w:t>一是渝北区水资源时空分布不均匀。呈现西北偏多东南偏少的特征，且径流年内年际分配不均匀，主要集中在</w:t>
      </w:r>
      <w:r>
        <w:rPr>
          <w:rFonts w:ascii="Times New Roman" w:hAnsi="Times New Roman"/>
          <w:bCs/>
          <w:sz w:val="28"/>
          <w:szCs w:val="28"/>
        </w:rPr>
        <w:t>4</w:t>
      </w:r>
      <w:r>
        <w:rPr>
          <w:rFonts w:hint="eastAsia" w:ascii="Times New Roman" w:hAnsi="Times New Roman"/>
          <w:bCs/>
          <w:sz w:val="28"/>
          <w:szCs w:val="28"/>
        </w:rPr>
        <w:t>月</w:t>
      </w:r>
      <w:r>
        <w:rPr>
          <w:rFonts w:ascii="Times New Roman" w:hAnsi="Times New Roman"/>
          <w:bCs/>
          <w:sz w:val="28"/>
          <w:szCs w:val="28"/>
        </w:rPr>
        <w:t>~10</w:t>
      </w:r>
      <w:r>
        <w:rPr>
          <w:rFonts w:hint="eastAsia" w:ascii="Times New Roman" w:hAnsi="Times New Roman"/>
          <w:bCs/>
          <w:sz w:val="28"/>
          <w:szCs w:val="28"/>
        </w:rPr>
        <w:t>月。本地多年平均地表水资源总量</w:t>
      </w:r>
      <w:r>
        <w:rPr>
          <w:rFonts w:ascii="Times New Roman" w:hAnsi="Times New Roman"/>
          <w:bCs/>
          <w:sz w:val="28"/>
          <w:szCs w:val="28"/>
        </w:rPr>
        <w:t>8.5194</w:t>
      </w:r>
      <w:r>
        <w:rPr>
          <w:rFonts w:hint="eastAsia" w:ascii="Times New Roman" w:hAnsi="Times New Roman"/>
          <w:bCs/>
          <w:sz w:val="28"/>
          <w:szCs w:val="28"/>
        </w:rPr>
        <w:t>亿</w:t>
      </w:r>
      <w:r>
        <w:rPr>
          <w:rFonts w:ascii="Times New Roman" w:hAnsi="Times New Roman"/>
          <w:bCs/>
          <w:sz w:val="28"/>
          <w:szCs w:val="28"/>
        </w:rPr>
        <w:t>m</w:t>
      </w:r>
      <w:r>
        <w:rPr>
          <w:rFonts w:ascii="Times New Roman" w:hAnsi="Times New Roman"/>
          <w:bCs/>
          <w:sz w:val="28"/>
          <w:szCs w:val="28"/>
          <w:vertAlign w:val="superscript"/>
        </w:rPr>
        <w:t>3</w:t>
      </w:r>
      <w:r>
        <w:rPr>
          <w:rFonts w:hint="eastAsia" w:ascii="Times New Roman" w:hAnsi="Times New Roman"/>
          <w:bCs/>
          <w:sz w:val="28"/>
          <w:szCs w:val="28"/>
        </w:rPr>
        <w:t>，人均地表水资源量为</w:t>
      </w:r>
      <w:r>
        <w:rPr>
          <w:rFonts w:ascii="Times New Roman" w:hAnsi="Times New Roman"/>
          <w:bCs/>
          <w:sz w:val="28"/>
          <w:szCs w:val="28"/>
        </w:rPr>
        <w:t>512 m</w:t>
      </w:r>
      <w:r>
        <w:rPr>
          <w:rFonts w:ascii="Times New Roman" w:hAnsi="Times New Roman"/>
          <w:bCs/>
          <w:sz w:val="28"/>
          <w:szCs w:val="28"/>
          <w:vertAlign w:val="superscript"/>
        </w:rPr>
        <w:t>3</w:t>
      </w:r>
      <w:r>
        <w:rPr>
          <w:rFonts w:hint="eastAsia" w:ascii="Times New Roman" w:hAnsi="Times New Roman"/>
          <w:bCs/>
          <w:sz w:val="28"/>
          <w:szCs w:val="28"/>
        </w:rPr>
        <w:t>，远低于重庆市人均地表水资源量为</w:t>
      </w:r>
      <w:r>
        <w:rPr>
          <w:rFonts w:ascii="Times New Roman" w:hAnsi="Times New Roman"/>
          <w:bCs/>
          <w:sz w:val="28"/>
          <w:szCs w:val="28"/>
        </w:rPr>
        <w:t>1968 m</w:t>
      </w:r>
      <w:r>
        <w:rPr>
          <w:rFonts w:ascii="Times New Roman" w:hAnsi="Times New Roman"/>
          <w:bCs/>
          <w:sz w:val="28"/>
          <w:szCs w:val="28"/>
          <w:vertAlign w:val="superscript"/>
        </w:rPr>
        <w:t>3</w:t>
      </w:r>
      <w:r>
        <w:rPr>
          <w:rFonts w:hint="eastAsia" w:ascii="Times New Roman" w:hAnsi="Times New Roman"/>
          <w:bCs/>
          <w:sz w:val="28"/>
          <w:szCs w:val="28"/>
        </w:rPr>
        <w:t>。二是供水水源单一。渝北区供水以引提水工程为主，供水水源单一，应对紧急情况的能力不足，与目前渝北区的经济社会发展不相适应。</w:t>
      </w:r>
    </w:p>
    <w:p>
      <w:pPr>
        <w:ind w:firstLine="560" w:firstLineChars="200"/>
        <w:rPr>
          <w:rFonts w:ascii="Times New Roman" w:hAnsi="Times New Roman"/>
          <w:bCs/>
          <w:sz w:val="28"/>
          <w:szCs w:val="28"/>
        </w:rPr>
      </w:pPr>
      <w:r>
        <w:rPr>
          <w:rFonts w:hint="eastAsia" w:ascii="Times New Roman" w:hAnsi="Times New Roman"/>
          <w:bCs/>
          <w:sz w:val="28"/>
          <w:szCs w:val="28"/>
        </w:rPr>
        <w:t>（</w:t>
      </w:r>
      <w:r>
        <w:rPr>
          <w:rFonts w:ascii="Times New Roman" w:hAnsi="Times New Roman"/>
          <w:bCs/>
          <w:sz w:val="28"/>
          <w:szCs w:val="28"/>
        </w:rPr>
        <w:t>2</w:t>
      </w:r>
      <w:r>
        <w:rPr>
          <w:rFonts w:hint="eastAsia" w:ascii="Times New Roman" w:hAnsi="Times New Roman"/>
          <w:bCs/>
          <w:sz w:val="28"/>
          <w:szCs w:val="28"/>
        </w:rPr>
        <w:t>）部分区域老旧管网亟需改造</w:t>
      </w:r>
    </w:p>
    <w:p>
      <w:pPr>
        <w:ind w:firstLine="560" w:firstLineChars="200"/>
        <w:rPr>
          <w:rFonts w:ascii="Times New Roman" w:hAnsi="Times New Roman"/>
          <w:bCs/>
          <w:sz w:val="28"/>
          <w:szCs w:val="28"/>
        </w:rPr>
      </w:pPr>
      <w:r>
        <w:rPr>
          <w:rFonts w:hint="eastAsia" w:ascii="Times New Roman" w:hAnsi="Times New Roman"/>
          <w:bCs/>
          <w:sz w:val="28"/>
          <w:szCs w:val="28"/>
        </w:rPr>
        <w:t>“十三五”期间，渝北区的供水保障能力和居民用水质量得到较大提升，但现状供水设施服务水平与渝北区临空大都市定位目标要求仍存在一定差距。区内部分供水管网运行年限较久，材质老化，难以承担不断提升的管网压力，部分区域管网漏损率较大，供水体系安全性亟待提升。</w:t>
      </w:r>
    </w:p>
    <w:p>
      <w:pPr>
        <w:ind w:firstLine="560" w:firstLineChars="200"/>
        <w:rPr>
          <w:rFonts w:ascii="Times New Roman" w:hAnsi="Times New Roman"/>
          <w:bCs/>
          <w:sz w:val="28"/>
          <w:szCs w:val="28"/>
        </w:rPr>
      </w:pPr>
      <w:r>
        <w:rPr>
          <w:rFonts w:hint="eastAsia" w:ascii="Times New Roman" w:hAnsi="Times New Roman"/>
          <w:bCs/>
          <w:sz w:val="28"/>
          <w:szCs w:val="28"/>
        </w:rPr>
        <w:t>（</w:t>
      </w:r>
      <w:r>
        <w:rPr>
          <w:rFonts w:ascii="Times New Roman" w:hAnsi="Times New Roman"/>
          <w:bCs/>
          <w:sz w:val="28"/>
          <w:szCs w:val="28"/>
        </w:rPr>
        <w:t>3</w:t>
      </w:r>
      <w:r>
        <w:rPr>
          <w:rFonts w:hint="eastAsia" w:ascii="Times New Roman" w:hAnsi="Times New Roman"/>
          <w:bCs/>
          <w:sz w:val="28"/>
          <w:szCs w:val="28"/>
        </w:rPr>
        <w:t>）再生水利用率有待提高</w:t>
      </w:r>
    </w:p>
    <w:p>
      <w:pPr>
        <w:ind w:firstLine="560" w:firstLineChars="200"/>
        <w:rPr>
          <w:rFonts w:ascii="Times New Roman" w:hAnsi="Times New Roman"/>
          <w:bCs/>
          <w:sz w:val="28"/>
          <w:szCs w:val="28"/>
        </w:rPr>
      </w:pPr>
      <w:r>
        <w:rPr>
          <w:rFonts w:hint="eastAsia" w:ascii="Times New Roman" w:hAnsi="Times New Roman"/>
          <w:bCs/>
          <w:sz w:val="28"/>
          <w:szCs w:val="28"/>
        </w:rPr>
        <w:t>渝北区城市污水再生利用已经起步，但整体再生水利用率仍较低，目前区内再生水利用率仅占</w:t>
      </w:r>
      <w:r>
        <w:rPr>
          <w:rFonts w:ascii="Times New Roman" w:hAnsi="Times New Roman"/>
          <w:bCs/>
          <w:sz w:val="28"/>
          <w:szCs w:val="28"/>
        </w:rPr>
        <w:t>8.55%</w:t>
      </w:r>
      <w:r>
        <w:rPr>
          <w:rFonts w:hint="eastAsia" w:ascii="Times New Roman" w:hAnsi="Times New Roman"/>
          <w:bCs/>
          <w:sz w:val="28"/>
          <w:szCs w:val="28"/>
        </w:rPr>
        <w:t>。一是区内生活用水量较大，污水处理集中，但未配套建设再生水管网系统，污水再生利用困难。现阶段区内的再生水主要用于发电，污水处理厂有待进一步提标改造，再生水水质有待进一步提高。二是再生水利用管理涉及多个主管部门，部门职能多有交叉，再生水生产、销售、使用以及监管等方面的相关政策法规之间的连续性不足。</w:t>
      </w:r>
    </w:p>
    <w:p>
      <w:pPr>
        <w:ind w:firstLine="560" w:firstLineChars="200"/>
        <w:rPr>
          <w:rFonts w:ascii="Times New Roman" w:hAnsi="Times New Roman"/>
          <w:bCs/>
          <w:sz w:val="28"/>
          <w:szCs w:val="28"/>
        </w:rPr>
      </w:pPr>
      <w:r>
        <w:rPr>
          <w:rFonts w:hint="eastAsia" w:ascii="Times New Roman" w:hAnsi="Times New Roman"/>
          <w:bCs/>
          <w:sz w:val="28"/>
          <w:szCs w:val="28"/>
        </w:rPr>
        <w:t>（</w:t>
      </w:r>
      <w:r>
        <w:rPr>
          <w:rFonts w:ascii="Times New Roman" w:hAnsi="Times New Roman"/>
          <w:bCs/>
          <w:sz w:val="28"/>
          <w:szCs w:val="28"/>
        </w:rPr>
        <w:t>4</w:t>
      </w:r>
      <w:r>
        <w:rPr>
          <w:rFonts w:hint="eastAsia" w:ascii="Times New Roman" w:hAnsi="Times New Roman"/>
          <w:bCs/>
          <w:sz w:val="28"/>
          <w:szCs w:val="28"/>
        </w:rPr>
        <w:t>）社会节水意识有待增强</w:t>
      </w:r>
    </w:p>
    <w:p>
      <w:pPr>
        <w:ind w:firstLine="560" w:firstLineChars="200"/>
        <w:rPr>
          <w:rFonts w:ascii="Times New Roman" w:hAnsi="Times New Roman"/>
          <w:bCs/>
          <w:color w:val="0070C0"/>
          <w:sz w:val="28"/>
          <w:szCs w:val="28"/>
        </w:rPr>
      </w:pPr>
      <w:r>
        <w:rPr>
          <w:rFonts w:hint="eastAsia" w:ascii="Times New Roman" w:hAnsi="Times New Roman"/>
          <w:bCs/>
          <w:sz w:val="28"/>
          <w:szCs w:val="28"/>
        </w:rPr>
        <w:t>公众对缺水的忧患意识不强，水资源浪费的现象较为普遍，不能充分认识到水资源的稀缺性，节水意识有待进一步加强和提高。渝北区内机关、企事业单位、学校、居民住宅小区和商圈聚集，生活领域需水量大，公众的节水意识淡薄，还存在不良的用水习惯，导致水资源浪费。部分高耗水服务行业没有安装中水回用等循环水装置，还未实现水资源的有效循环利用。加大社会节水宣传，推动生产和生活用水方式由浪费粗放向节约集约方向转变。</w:t>
      </w:r>
    </w:p>
    <w:p>
      <w:pPr>
        <w:keepNext/>
        <w:keepLines/>
        <w:spacing w:before="260" w:after="260" w:line="413" w:lineRule="auto"/>
        <w:ind w:firstLine="281" w:firstLineChars="100"/>
        <w:outlineLvl w:val="1"/>
        <w:rPr>
          <w:rFonts w:ascii="Times New Roman" w:hAnsi="Times New Roman"/>
          <w:b/>
          <w:bCs/>
          <w:kern w:val="44"/>
          <w:sz w:val="28"/>
          <w:szCs w:val="28"/>
        </w:rPr>
      </w:pPr>
      <w:bookmarkStart w:id="58" w:name="_Toc90482776"/>
      <w:r>
        <w:rPr>
          <w:rFonts w:ascii="Times New Roman" w:hAnsi="Times New Roman"/>
          <w:b/>
          <w:bCs/>
          <w:kern w:val="44"/>
          <w:sz w:val="28"/>
          <w:szCs w:val="28"/>
        </w:rPr>
        <w:t xml:space="preserve">2.3 </w:t>
      </w:r>
      <w:r>
        <w:rPr>
          <w:rFonts w:hint="eastAsia" w:ascii="Times New Roman" w:hAnsi="Times New Roman"/>
          <w:b/>
          <w:bCs/>
          <w:kern w:val="44"/>
          <w:sz w:val="28"/>
          <w:szCs w:val="28"/>
        </w:rPr>
        <w:t>面临的形势</w:t>
      </w:r>
      <w:bookmarkEnd w:id="58"/>
    </w:p>
    <w:p>
      <w:pPr>
        <w:ind w:firstLine="560" w:firstLineChars="200"/>
        <w:rPr>
          <w:rFonts w:ascii="Times New Roman" w:hAnsi="Times New Roman"/>
          <w:bCs/>
          <w:sz w:val="28"/>
          <w:szCs w:val="28"/>
        </w:rPr>
      </w:pPr>
      <w:r>
        <w:rPr>
          <w:rFonts w:hint="eastAsia" w:ascii="Times New Roman" w:hAnsi="Times New Roman"/>
          <w:bCs/>
          <w:sz w:val="28"/>
          <w:szCs w:val="28"/>
        </w:rPr>
        <w:t>习近平总书记站在党和国家事业发展全局的战略高度，提出了坚持</w:t>
      </w:r>
      <w:r>
        <w:rPr>
          <w:rFonts w:ascii="Times New Roman" w:hAnsi="Times New Roman"/>
          <w:bCs/>
          <w:sz w:val="28"/>
          <w:szCs w:val="28"/>
        </w:rPr>
        <w:t>“</w:t>
      </w:r>
      <w:r>
        <w:rPr>
          <w:rFonts w:hint="eastAsia" w:ascii="Times New Roman" w:hAnsi="Times New Roman"/>
          <w:bCs/>
          <w:sz w:val="28"/>
          <w:szCs w:val="28"/>
        </w:rPr>
        <w:t>节水优先、空间均衡、系统治理、两手发力</w:t>
      </w:r>
      <w:r>
        <w:rPr>
          <w:rFonts w:ascii="Times New Roman" w:hAnsi="Times New Roman"/>
          <w:bCs/>
          <w:sz w:val="28"/>
          <w:szCs w:val="28"/>
        </w:rPr>
        <w:t>”</w:t>
      </w:r>
      <w:r>
        <w:rPr>
          <w:rFonts w:hint="eastAsia" w:ascii="Times New Roman" w:hAnsi="Times New Roman"/>
          <w:bCs/>
          <w:sz w:val="28"/>
          <w:szCs w:val="28"/>
        </w:rPr>
        <w:t>治水思路，</w:t>
      </w:r>
      <w:r>
        <w:rPr>
          <w:rFonts w:ascii="Times New Roman" w:hAnsi="Times New Roman"/>
          <w:bCs/>
          <w:sz w:val="28"/>
          <w:szCs w:val="28"/>
        </w:rPr>
        <w:t>“</w:t>
      </w:r>
      <w:r>
        <w:rPr>
          <w:rFonts w:hint="eastAsia" w:ascii="Times New Roman" w:hAnsi="Times New Roman"/>
          <w:bCs/>
          <w:sz w:val="28"/>
          <w:szCs w:val="28"/>
        </w:rPr>
        <w:t>节水优先</w:t>
      </w:r>
      <w:r>
        <w:rPr>
          <w:rFonts w:ascii="Times New Roman" w:hAnsi="Times New Roman"/>
          <w:bCs/>
          <w:sz w:val="28"/>
          <w:szCs w:val="28"/>
        </w:rPr>
        <w:t>”</w:t>
      </w:r>
      <w:r>
        <w:rPr>
          <w:rFonts w:hint="eastAsia" w:ascii="Times New Roman" w:hAnsi="Times New Roman"/>
          <w:bCs/>
          <w:sz w:val="28"/>
          <w:szCs w:val="28"/>
        </w:rPr>
        <w:t>是首要内容。</w:t>
      </w:r>
      <w:r>
        <w:rPr>
          <w:rFonts w:ascii="Times New Roman" w:hAnsi="Times New Roman"/>
          <w:bCs/>
          <w:sz w:val="28"/>
          <w:szCs w:val="28"/>
        </w:rPr>
        <w:t>2019</w:t>
      </w:r>
      <w:r>
        <w:rPr>
          <w:rFonts w:hint="eastAsia" w:ascii="Times New Roman" w:hAnsi="Times New Roman"/>
          <w:bCs/>
          <w:sz w:val="28"/>
          <w:szCs w:val="28"/>
        </w:rPr>
        <w:t>年</w:t>
      </w:r>
      <w:r>
        <w:rPr>
          <w:rFonts w:ascii="Times New Roman" w:hAnsi="Times New Roman"/>
          <w:bCs/>
          <w:sz w:val="28"/>
          <w:szCs w:val="28"/>
        </w:rPr>
        <w:t>9</w:t>
      </w:r>
      <w:r>
        <w:rPr>
          <w:rFonts w:hint="eastAsia" w:ascii="Times New Roman" w:hAnsi="Times New Roman"/>
          <w:bCs/>
          <w:sz w:val="28"/>
          <w:szCs w:val="28"/>
        </w:rPr>
        <w:t>月，在河南郑州主持召开黄河流域生态保护和高质量发展座谈会上明确指出，要把水资源作为最大的刚性约束，合理规划人口、城市和产业发展，坚决抑制不合理用水需求。</w:t>
      </w:r>
      <w:r>
        <w:rPr>
          <w:rFonts w:ascii="Times New Roman" w:hAnsi="Times New Roman"/>
          <w:bCs/>
          <w:sz w:val="28"/>
          <w:szCs w:val="28"/>
        </w:rPr>
        <w:t>2020</w:t>
      </w:r>
      <w:r>
        <w:rPr>
          <w:rFonts w:hint="eastAsia" w:ascii="Times New Roman" w:hAnsi="Times New Roman"/>
          <w:bCs/>
          <w:sz w:val="28"/>
          <w:szCs w:val="28"/>
        </w:rPr>
        <w:t>年</w:t>
      </w:r>
      <w:r>
        <w:rPr>
          <w:rFonts w:ascii="Times New Roman" w:hAnsi="Times New Roman"/>
          <w:bCs/>
          <w:sz w:val="28"/>
          <w:szCs w:val="28"/>
        </w:rPr>
        <w:t>11</w:t>
      </w:r>
      <w:r>
        <w:rPr>
          <w:rFonts w:hint="eastAsia" w:ascii="Times New Roman" w:hAnsi="Times New Roman"/>
          <w:bCs/>
          <w:sz w:val="28"/>
          <w:szCs w:val="28"/>
        </w:rPr>
        <w:t>月，在江都水利枢纽考察时强调，要对水资源进行科学调剂，促进南北方均衡发展、可持续发展；坚持调水、节水两手都要硬；加快推动生产生活方式绿色转型。党的十九届五中全会通过的《中共中央关于制定国民经济和社会发展第十四个五年规划和二〇三五年远景目标的建议》中提出要全面提高资源利用效率，实施国家节水行动，建立水资源刚性约束制度。</w:t>
      </w:r>
      <w:r>
        <w:rPr>
          <w:rFonts w:ascii="Times New Roman" w:hAnsi="Times New Roman"/>
          <w:bCs/>
          <w:sz w:val="28"/>
          <w:szCs w:val="28"/>
        </w:rPr>
        <w:t>“</w:t>
      </w:r>
      <w:r>
        <w:rPr>
          <w:rFonts w:hint="eastAsia" w:ascii="Times New Roman" w:hAnsi="Times New Roman"/>
          <w:bCs/>
          <w:sz w:val="28"/>
          <w:szCs w:val="28"/>
        </w:rPr>
        <w:t>十四五</w:t>
      </w:r>
      <w:r>
        <w:rPr>
          <w:rFonts w:ascii="Times New Roman" w:hAnsi="Times New Roman"/>
          <w:bCs/>
          <w:sz w:val="28"/>
          <w:szCs w:val="28"/>
        </w:rPr>
        <w:t>”</w:t>
      </w:r>
      <w:r>
        <w:rPr>
          <w:rFonts w:hint="eastAsia" w:ascii="Times New Roman" w:hAnsi="Times New Roman"/>
          <w:bCs/>
          <w:sz w:val="28"/>
          <w:szCs w:val="28"/>
        </w:rPr>
        <w:t>时期，是全面落实</w:t>
      </w:r>
      <w:r>
        <w:rPr>
          <w:rFonts w:ascii="Times New Roman" w:hAnsi="Times New Roman"/>
          <w:bCs/>
          <w:sz w:val="28"/>
          <w:szCs w:val="28"/>
        </w:rPr>
        <w:t>“</w:t>
      </w:r>
      <w:r>
        <w:rPr>
          <w:rFonts w:hint="eastAsia" w:ascii="Times New Roman" w:hAnsi="Times New Roman"/>
          <w:bCs/>
          <w:sz w:val="28"/>
          <w:szCs w:val="28"/>
        </w:rPr>
        <w:t>节水优先</w:t>
      </w:r>
      <w:r>
        <w:rPr>
          <w:rFonts w:ascii="Times New Roman" w:hAnsi="Times New Roman"/>
          <w:bCs/>
          <w:sz w:val="28"/>
          <w:szCs w:val="28"/>
        </w:rPr>
        <w:t>”</w:t>
      </w:r>
      <w:r>
        <w:rPr>
          <w:rFonts w:hint="eastAsia" w:ascii="Times New Roman" w:hAnsi="Times New Roman"/>
          <w:bCs/>
          <w:sz w:val="28"/>
          <w:szCs w:val="28"/>
        </w:rPr>
        <w:t>思路的关键时期，是全面提升水安全保障能力的关键时期，也是水利工程补短板、水利行业强监管的攻坚期。</w:t>
      </w:r>
    </w:p>
    <w:p>
      <w:pPr>
        <w:ind w:firstLine="560" w:firstLineChars="200"/>
        <w:rPr>
          <w:sz w:val="28"/>
          <w:szCs w:val="28"/>
        </w:rPr>
      </w:pPr>
      <w:r>
        <w:rPr>
          <w:rFonts w:hint="eastAsia"/>
          <w:sz w:val="28"/>
          <w:szCs w:val="28"/>
        </w:rPr>
        <w:t>渝北区水资源量相对丰富，但主要集中在过境水上，水资源时空分布不均匀，呈现西北偏多东南偏少的特征，且径流年内年际分配不均匀。随着两江新区和工业园区的持续发展，对重点水源保障工程的要求必然会越来越高。应加强节水型城市和节水型园区建设，促进节水型行业产业和企业发展。只有坚持“节水优先”思路，把节水落实到全区各行各业，强化目标责任制，加强监督检查，增强全社会节水意识，不断完善节水制度、政策、技术、机制，加快推进用水方式由粗放向节约集约转变。作为重庆市高质量发展的重要增长极和成渝地区双城经济圈的核心引擎，积极在推动成渝地区双城经济圈建设、“一区两群”协调发展中展现新担当、实现新作为，为决胜全面建成小康社会、开启全面建设社会主义现代化国家新征程而努力奋斗。</w:t>
      </w:r>
    </w:p>
    <w:p>
      <w:pPr>
        <w:keepNext/>
        <w:keepLines/>
        <w:spacing w:before="340" w:after="330" w:line="576" w:lineRule="auto"/>
        <w:ind w:firstLine="723" w:firstLineChars="200"/>
        <w:jc w:val="center"/>
        <w:outlineLvl w:val="0"/>
        <w:rPr>
          <w:rFonts w:ascii="Times New Roman" w:hAnsi="Times New Roman"/>
          <w:b/>
          <w:bCs/>
          <w:kern w:val="44"/>
          <w:sz w:val="36"/>
          <w:szCs w:val="36"/>
        </w:rPr>
      </w:pPr>
      <w:r>
        <w:rPr>
          <w:rFonts w:ascii="Times New Roman" w:hAnsi="Times New Roman"/>
          <w:b/>
          <w:bCs/>
          <w:color w:val="0070C0"/>
          <w:kern w:val="44"/>
          <w:sz w:val="36"/>
          <w:szCs w:val="36"/>
        </w:rPr>
        <w:br w:type="page"/>
      </w:r>
      <w:bookmarkStart w:id="59" w:name="_Toc90482777"/>
      <w:r>
        <w:rPr>
          <w:rFonts w:ascii="Times New Roman" w:hAnsi="Times New Roman"/>
          <w:b/>
          <w:bCs/>
          <w:kern w:val="44"/>
          <w:sz w:val="36"/>
          <w:szCs w:val="36"/>
        </w:rPr>
        <w:t xml:space="preserve">3 </w:t>
      </w:r>
      <w:r>
        <w:rPr>
          <w:rFonts w:hint="eastAsia" w:ascii="Times New Roman" w:hAnsi="Times New Roman"/>
          <w:b/>
          <w:bCs/>
          <w:kern w:val="44"/>
          <w:sz w:val="36"/>
          <w:szCs w:val="36"/>
        </w:rPr>
        <w:t>指导思想和规划目标</w:t>
      </w:r>
      <w:bookmarkEnd w:id="59"/>
    </w:p>
    <w:p>
      <w:pPr>
        <w:keepNext/>
        <w:keepLines/>
        <w:spacing w:before="260" w:after="260" w:line="413" w:lineRule="auto"/>
        <w:ind w:firstLine="281" w:firstLineChars="100"/>
        <w:outlineLvl w:val="1"/>
        <w:rPr>
          <w:rFonts w:ascii="Times New Roman" w:hAnsi="Times New Roman"/>
          <w:b/>
          <w:bCs/>
          <w:kern w:val="44"/>
          <w:sz w:val="28"/>
          <w:szCs w:val="28"/>
        </w:rPr>
      </w:pPr>
      <w:bookmarkStart w:id="60" w:name="_Toc90482778"/>
      <w:r>
        <w:rPr>
          <w:rFonts w:ascii="Times New Roman" w:hAnsi="Times New Roman"/>
          <w:b/>
          <w:bCs/>
          <w:kern w:val="44"/>
          <w:sz w:val="28"/>
          <w:szCs w:val="28"/>
        </w:rPr>
        <w:t xml:space="preserve">3.1 </w:t>
      </w:r>
      <w:r>
        <w:rPr>
          <w:rFonts w:hint="eastAsia" w:ascii="Times New Roman" w:hAnsi="Times New Roman"/>
          <w:b/>
          <w:bCs/>
          <w:kern w:val="44"/>
          <w:sz w:val="28"/>
          <w:szCs w:val="28"/>
        </w:rPr>
        <w:t>指导思想</w:t>
      </w:r>
      <w:bookmarkEnd w:id="60"/>
    </w:p>
    <w:p>
      <w:pPr>
        <w:ind w:firstLine="560" w:firstLineChars="200"/>
        <w:rPr>
          <w:rFonts w:ascii="Times New Roman" w:hAnsi="Times New Roman"/>
        </w:rPr>
      </w:pPr>
      <w:r>
        <w:rPr>
          <w:rFonts w:hint="eastAsia" w:ascii="Times New Roman" w:hAnsi="Times New Roman"/>
          <w:sz w:val="28"/>
          <w:szCs w:val="28"/>
        </w:rPr>
        <w:t>以习近平新时代中国特色社会主义思想为指导，全面贯彻党的十九大和十九届二中、三中、四中、五中、六中全会精神，坚定不移贯彻新发展理念，全面落实“一带一路”、长江经济带发展、新时代西部大开发、成渝地区双城经济圈等国家战略和“一区两群”、三大攻坚战、八项行动计划等市委市政府重大决策部署，深入落实“节水优先、空间均衡、系统治理、两手发力”的治水思路，全面推进《重庆市节水行动实施方案》和《渝北区节水行动实施方案》落地见效，全面实施节水行动，以水定城、以水定地、以水定人、以水定产，以水定需、因水制宜、量水而行，始终把水资源作为经济社会发展的最大刚性约束，持续强化水资源开发利用的监督管理，不断提升水资源利用效率和行业监管能力，促进城市高质量发展。把节水贯彻到经济社会发展全过程和各领域，为渝北区实现高质量发展提供有力支撑和基础保障。</w:t>
      </w:r>
    </w:p>
    <w:p>
      <w:pPr>
        <w:keepNext/>
        <w:keepLines/>
        <w:spacing w:before="260" w:after="260" w:line="413" w:lineRule="auto"/>
        <w:ind w:firstLine="281" w:firstLineChars="100"/>
        <w:outlineLvl w:val="1"/>
        <w:rPr>
          <w:rFonts w:ascii="Times New Roman" w:hAnsi="Times New Roman"/>
          <w:b/>
          <w:bCs/>
          <w:kern w:val="44"/>
          <w:sz w:val="28"/>
          <w:szCs w:val="28"/>
        </w:rPr>
      </w:pPr>
      <w:bookmarkStart w:id="61" w:name="_Toc90482779"/>
      <w:r>
        <w:rPr>
          <w:rFonts w:ascii="Times New Roman" w:hAnsi="Times New Roman"/>
          <w:b/>
          <w:bCs/>
          <w:kern w:val="44"/>
          <w:sz w:val="28"/>
          <w:szCs w:val="28"/>
        </w:rPr>
        <w:t xml:space="preserve">3.2 </w:t>
      </w:r>
      <w:r>
        <w:rPr>
          <w:rFonts w:hint="eastAsia" w:ascii="Times New Roman" w:hAnsi="Times New Roman"/>
          <w:b/>
          <w:bCs/>
          <w:kern w:val="44"/>
          <w:sz w:val="28"/>
          <w:szCs w:val="28"/>
        </w:rPr>
        <w:t>基本原则及编制依据</w:t>
      </w:r>
      <w:bookmarkEnd w:id="61"/>
    </w:p>
    <w:p>
      <w:pPr>
        <w:keepNext/>
        <w:keepLines/>
        <w:spacing w:before="260" w:after="260" w:line="360" w:lineRule="auto"/>
        <w:ind w:firstLine="560" w:firstLineChars="200"/>
        <w:outlineLvl w:val="2"/>
        <w:rPr>
          <w:rFonts w:ascii="Times New Roman" w:hAnsi="Times New Roman" w:eastAsia="黑体"/>
          <w:sz w:val="28"/>
          <w:szCs w:val="24"/>
        </w:rPr>
      </w:pPr>
      <w:bookmarkStart w:id="62" w:name="_Toc16532"/>
      <w:bookmarkStart w:id="63" w:name="_Toc25820"/>
      <w:bookmarkStart w:id="64" w:name="_Toc90482780"/>
      <w:bookmarkStart w:id="65" w:name="_Toc21855"/>
      <w:bookmarkStart w:id="66" w:name="_Toc7027"/>
      <w:r>
        <w:rPr>
          <w:rFonts w:ascii="Times New Roman" w:hAnsi="Times New Roman" w:eastAsia="黑体"/>
          <w:sz w:val="28"/>
          <w:szCs w:val="24"/>
        </w:rPr>
        <w:t xml:space="preserve">3.2.1 </w:t>
      </w:r>
      <w:r>
        <w:rPr>
          <w:rFonts w:hint="eastAsia" w:ascii="Times New Roman" w:hAnsi="Times New Roman" w:eastAsia="黑体"/>
          <w:sz w:val="28"/>
          <w:szCs w:val="24"/>
        </w:rPr>
        <w:t>编制原则</w:t>
      </w:r>
      <w:bookmarkEnd w:id="62"/>
      <w:bookmarkEnd w:id="63"/>
      <w:bookmarkEnd w:id="64"/>
      <w:bookmarkEnd w:id="65"/>
      <w:bookmarkEnd w:id="66"/>
    </w:p>
    <w:p>
      <w:pPr>
        <w:ind w:firstLine="560" w:firstLineChars="200"/>
        <w:rPr>
          <w:rFonts w:ascii="Times New Roman" w:hAnsi="Times New Roman"/>
          <w:sz w:val="28"/>
          <w:szCs w:val="28"/>
        </w:rPr>
      </w:pPr>
      <w:r>
        <w:rPr>
          <w:rFonts w:hint="eastAsia" w:ascii="Times New Roman" w:hAnsi="Times New Roman"/>
          <w:sz w:val="28"/>
          <w:szCs w:val="28"/>
        </w:rPr>
        <w:t>（</w:t>
      </w:r>
      <w:r>
        <w:rPr>
          <w:rFonts w:ascii="Times New Roman" w:hAnsi="Times New Roman"/>
          <w:sz w:val="28"/>
          <w:szCs w:val="28"/>
        </w:rPr>
        <w:t>1</w:t>
      </w:r>
      <w:r>
        <w:rPr>
          <w:rFonts w:hint="eastAsia" w:ascii="Times New Roman" w:hAnsi="Times New Roman"/>
          <w:sz w:val="28"/>
          <w:szCs w:val="28"/>
        </w:rPr>
        <w:t>）统筹规划，明确目标</w:t>
      </w:r>
    </w:p>
    <w:p>
      <w:pPr>
        <w:ind w:firstLine="560" w:firstLineChars="200"/>
        <w:rPr>
          <w:rFonts w:ascii="Times New Roman" w:hAnsi="Times New Roman"/>
          <w:sz w:val="28"/>
          <w:szCs w:val="28"/>
        </w:rPr>
      </w:pPr>
      <w:r>
        <w:rPr>
          <w:rFonts w:hint="eastAsia" w:ascii="Times New Roman" w:hAnsi="Times New Roman"/>
          <w:sz w:val="28"/>
          <w:szCs w:val="28"/>
        </w:rPr>
        <w:t>本次节水规划遵循国家及重庆市节水工作要求，与渝北区经济社会发展总体规划、流域和区域水资源综合规划及行业发展规划相协调，统筹解决区域水资源开发利用、节约与保护方面的突出问题。通过全行业、全过程的节水途径，实现节水工作全覆盖。根据渝北区节水工作的实际情况，明确阶段工作目标，稳步有序地推进节水工作。</w:t>
      </w:r>
    </w:p>
    <w:p>
      <w:pPr>
        <w:ind w:firstLine="560" w:firstLineChars="200"/>
        <w:rPr>
          <w:rFonts w:ascii="Times New Roman" w:hAnsi="Times New Roman"/>
          <w:sz w:val="28"/>
          <w:szCs w:val="28"/>
        </w:rPr>
      </w:pPr>
      <w:r>
        <w:rPr>
          <w:rFonts w:hint="eastAsia" w:ascii="Times New Roman" w:hAnsi="Times New Roman"/>
          <w:sz w:val="28"/>
          <w:szCs w:val="28"/>
        </w:rPr>
        <w:t>（</w:t>
      </w:r>
      <w:r>
        <w:rPr>
          <w:rFonts w:ascii="Times New Roman" w:hAnsi="Times New Roman"/>
          <w:sz w:val="28"/>
          <w:szCs w:val="28"/>
        </w:rPr>
        <w:t>2</w:t>
      </w:r>
      <w:r>
        <w:rPr>
          <w:rFonts w:hint="eastAsia" w:ascii="Times New Roman" w:hAnsi="Times New Roman"/>
          <w:sz w:val="28"/>
          <w:szCs w:val="28"/>
        </w:rPr>
        <w:t>）因地制宜、分类实施</w:t>
      </w:r>
    </w:p>
    <w:p>
      <w:pPr>
        <w:ind w:firstLine="560" w:firstLineChars="200"/>
        <w:rPr>
          <w:rFonts w:ascii="Times New Roman" w:hAnsi="Times New Roman"/>
          <w:sz w:val="28"/>
          <w:szCs w:val="28"/>
        </w:rPr>
      </w:pPr>
      <w:r>
        <w:rPr>
          <w:rFonts w:hint="eastAsia" w:ascii="Times New Roman" w:hAnsi="Times New Roman"/>
          <w:sz w:val="28"/>
          <w:szCs w:val="28"/>
        </w:rPr>
        <w:t>全面分析评价渝北区水资源开发利用、节约、保护及管理情况，立足于渝北区缺水矛盾，严格推行节水政策。依据渝北区水源条件和不同行业、不同区域的用水特点制定出合理高效的节水措施，提高用水效率。按照</w:t>
      </w:r>
      <w:r>
        <w:rPr>
          <w:rFonts w:ascii="Times New Roman" w:hAnsi="Times New Roman"/>
          <w:sz w:val="28"/>
          <w:szCs w:val="28"/>
        </w:rPr>
        <w:t>“</w:t>
      </w:r>
      <w:r>
        <w:rPr>
          <w:rFonts w:hint="eastAsia" w:ascii="Times New Roman" w:hAnsi="Times New Roman"/>
          <w:sz w:val="28"/>
          <w:szCs w:val="28"/>
        </w:rPr>
        <w:t>十四五</w:t>
      </w:r>
      <w:r>
        <w:rPr>
          <w:rFonts w:ascii="Times New Roman" w:hAnsi="Times New Roman"/>
          <w:sz w:val="28"/>
          <w:szCs w:val="28"/>
        </w:rPr>
        <w:t>”</w:t>
      </w:r>
      <w:r>
        <w:rPr>
          <w:rFonts w:hint="eastAsia" w:ascii="Times New Roman" w:hAnsi="Times New Roman"/>
          <w:sz w:val="28"/>
          <w:szCs w:val="28"/>
        </w:rPr>
        <w:t>节水型社会建设确定的目标任务和经济保障能力制定详实的工作计划，逐年度实施，切实提高节约用水各项工作的针对性和有效性。</w:t>
      </w:r>
    </w:p>
    <w:p>
      <w:pPr>
        <w:ind w:firstLine="560" w:firstLineChars="200"/>
        <w:rPr>
          <w:rFonts w:ascii="Times New Roman" w:hAnsi="Times New Roman"/>
          <w:sz w:val="28"/>
          <w:szCs w:val="28"/>
        </w:rPr>
      </w:pPr>
      <w:r>
        <w:rPr>
          <w:rFonts w:hint="eastAsia" w:ascii="Times New Roman" w:hAnsi="Times New Roman"/>
          <w:sz w:val="28"/>
          <w:szCs w:val="28"/>
        </w:rPr>
        <w:t>（</w:t>
      </w:r>
      <w:r>
        <w:rPr>
          <w:rFonts w:ascii="Times New Roman" w:hAnsi="Times New Roman"/>
          <w:sz w:val="28"/>
          <w:szCs w:val="28"/>
        </w:rPr>
        <w:t>3</w:t>
      </w:r>
      <w:r>
        <w:rPr>
          <w:rFonts w:hint="eastAsia" w:ascii="Times New Roman" w:hAnsi="Times New Roman"/>
          <w:sz w:val="28"/>
          <w:szCs w:val="28"/>
        </w:rPr>
        <w:t>）突出重点、示范推广</w:t>
      </w:r>
    </w:p>
    <w:p>
      <w:pPr>
        <w:ind w:firstLine="560" w:firstLineChars="200"/>
        <w:rPr>
          <w:rFonts w:ascii="Times New Roman" w:hAnsi="Times New Roman"/>
          <w:sz w:val="28"/>
          <w:szCs w:val="28"/>
        </w:rPr>
      </w:pPr>
      <w:r>
        <w:rPr>
          <w:rFonts w:hint="eastAsia" w:ascii="Times New Roman" w:hAnsi="Times New Roman"/>
          <w:sz w:val="28"/>
          <w:szCs w:val="28"/>
        </w:rPr>
        <w:t>强化水资源刚性约束，围绕渝北区用水总量和用水效率控制目标，以强化节水制度实施和建设各类节水工程为重点，以节水型载体建设为抓手，引领水资源管理各项工作的落实，推广应用节水科技和先进节水技术。</w:t>
      </w:r>
    </w:p>
    <w:p>
      <w:pPr>
        <w:ind w:firstLine="560" w:firstLineChars="200"/>
        <w:rPr>
          <w:rFonts w:ascii="Times New Roman" w:hAnsi="Times New Roman"/>
          <w:sz w:val="28"/>
          <w:szCs w:val="28"/>
        </w:rPr>
      </w:pPr>
      <w:r>
        <w:rPr>
          <w:rFonts w:hint="eastAsia" w:ascii="Times New Roman" w:hAnsi="Times New Roman"/>
          <w:sz w:val="28"/>
          <w:szCs w:val="28"/>
        </w:rPr>
        <w:t>（</w:t>
      </w:r>
      <w:r>
        <w:rPr>
          <w:rFonts w:ascii="Times New Roman" w:hAnsi="Times New Roman"/>
          <w:sz w:val="28"/>
          <w:szCs w:val="28"/>
        </w:rPr>
        <w:t>4</w:t>
      </w:r>
      <w:r>
        <w:rPr>
          <w:rFonts w:hint="eastAsia" w:ascii="Times New Roman" w:hAnsi="Times New Roman"/>
          <w:sz w:val="28"/>
          <w:szCs w:val="28"/>
        </w:rPr>
        <w:t>）政府主导、各方参与</w:t>
      </w:r>
    </w:p>
    <w:p>
      <w:pPr>
        <w:ind w:firstLine="560" w:firstLineChars="200"/>
        <w:rPr>
          <w:rFonts w:ascii="Times New Roman" w:hAnsi="Times New Roman"/>
          <w:sz w:val="28"/>
          <w:szCs w:val="28"/>
        </w:rPr>
      </w:pPr>
      <w:r>
        <w:rPr>
          <w:rFonts w:hint="eastAsia" w:ascii="Times New Roman" w:hAnsi="Times New Roman"/>
          <w:sz w:val="28"/>
          <w:szCs w:val="28"/>
        </w:rPr>
        <w:t>加强区政府对节水的引导和规制作用，建立政府主导、水利牵头、部门负责、全社会共同参与的运行机制，加大公共财政对节水领域的投入，明确各职能部门的职责分工，充分发挥各部门和全社会的积极性和创造性，为节水工作的落实提供保障。</w:t>
      </w:r>
    </w:p>
    <w:p>
      <w:pPr>
        <w:ind w:firstLine="560" w:firstLineChars="200"/>
        <w:rPr>
          <w:rFonts w:ascii="Times New Roman" w:hAnsi="Times New Roman"/>
          <w:sz w:val="28"/>
          <w:szCs w:val="28"/>
        </w:rPr>
      </w:pPr>
      <w:r>
        <w:rPr>
          <w:rFonts w:hint="eastAsia" w:ascii="Times New Roman" w:hAnsi="Times New Roman"/>
          <w:sz w:val="28"/>
          <w:szCs w:val="28"/>
        </w:rPr>
        <w:t>（</w:t>
      </w:r>
      <w:r>
        <w:rPr>
          <w:rFonts w:ascii="Times New Roman" w:hAnsi="Times New Roman"/>
          <w:sz w:val="28"/>
          <w:szCs w:val="28"/>
        </w:rPr>
        <w:t>5</w:t>
      </w:r>
      <w:r>
        <w:rPr>
          <w:rFonts w:hint="eastAsia" w:ascii="Times New Roman" w:hAnsi="Times New Roman"/>
          <w:sz w:val="28"/>
          <w:szCs w:val="28"/>
        </w:rPr>
        <w:t>）建管并重、政策保障</w:t>
      </w:r>
    </w:p>
    <w:p>
      <w:pPr>
        <w:spacing w:line="360" w:lineRule="auto"/>
        <w:ind w:firstLine="560" w:firstLineChars="200"/>
        <w:rPr>
          <w:rFonts w:ascii="宋体"/>
          <w:sz w:val="28"/>
          <w:szCs w:val="28"/>
        </w:rPr>
      </w:pPr>
      <w:r>
        <w:rPr>
          <w:rFonts w:hint="eastAsia" w:ascii="宋体" w:hAnsi="宋体"/>
          <w:sz w:val="28"/>
          <w:szCs w:val="28"/>
        </w:rPr>
        <w:t>按照</w:t>
      </w:r>
      <w:r>
        <w:rPr>
          <w:rFonts w:hint="eastAsia" w:ascii="宋体"/>
          <w:sz w:val="28"/>
          <w:szCs w:val="28"/>
        </w:rPr>
        <w:t>“</w:t>
      </w:r>
      <w:r>
        <w:rPr>
          <w:rFonts w:hint="eastAsia" w:ascii="宋体" w:hAnsi="宋体"/>
          <w:sz w:val="28"/>
          <w:szCs w:val="28"/>
        </w:rPr>
        <w:t>管行业必须管节水</w:t>
      </w:r>
      <w:r>
        <w:rPr>
          <w:rFonts w:hint="eastAsia" w:ascii="宋体"/>
          <w:sz w:val="28"/>
          <w:szCs w:val="28"/>
        </w:rPr>
        <w:t>”</w:t>
      </w:r>
      <w:r>
        <w:rPr>
          <w:rFonts w:hint="eastAsia" w:ascii="宋体" w:hAnsi="宋体"/>
          <w:sz w:val="28"/>
          <w:szCs w:val="28"/>
        </w:rPr>
        <w:t>的要求在加强节水工程和节水载体建设的同时，建立健全全社会统筹的节水管理体制和运行机制，推行节水市场服务机制、节水激励政策、节水工作目标考核和责任追究等政策机制。</w:t>
      </w:r>
    </w:p>
    <w:p>
      <w:pPr>
        <w:keepNext/>
        <w:keepLines/>
        <w:spacing w:before="260" w:after="260" w:line="360" w:lineRule="auto"/>
        <w:ind w:firstLine="560" w:firstLineChars="200"/>
        <w:outlineLvl w:val="2"/>
        <w:rPr>
          <w:rFonts w:ascii="Times New Roman" w:hAnsi="Times New Roman" w:eastAsia="黑体"/>
          <w:sz w:val="28"/>
          <w:szCs w:val="24"/>
        </w:rPr>
      </w:pPr>
      <w:bookmarkStart w:id="67" w:name="_Toc90482781"/>
      <w:r>
        <w:rPr>
          <w:rFonts w:ascii="Times New Roman" w:hAnsi="Times New Roman" w:eastAsia="黑体"/>
          <w:sz w:val="28"/>
          <w:szCs w:val="24"/>
        </w:rPr>
        <w:t xml:space="preserve">3.2.2 </w:t>
      </w:r>
      <w:r>
        <w:rPr>
          <w:rFonts w:hint="eastAsia" w:ascii="Times New Roman" w:hAnsi="Times New Roman" w:eastAsia="黑体"/>
          <w:sz w:val="28"/>
          <w:szCs w:val="24"/>
        </w:rPr>
        <w:t>编制依据</w:t>
      </w:r>
      <w:bookmarkEnd w:id="67"/>
    </w:p>
    <w:p>
      <w:pPr>
        <w:adjustRightInd w:val="0"/>
        <w:snapToGrid w:val="0"/>
        <w:spacing w:line="360" w:lineRule="auto"/>
        <w:ind w:firstLine="560" w:firstLineChars="200"/>
        <w:rPr>
          <w:rFonts w:ascii="Times New Roman" w:hAnsi="Times New Roman" w:eastAsia="黑体"/>
          <w:sz w:val="28"/>
          <w:szCs w:val="28"/>
        </w:rPr>
      </w:pPr>
      <w:bookmarkStart w:id="68" w:name="_Toc49946"/>
      <w:r>
        <w:rPr>
          <w:rFonts w:ascii="Times New Roman" w:hAnsi="Times New Roman" w:eastAsia="黑体"/>
          <w:sz w:val="28"/>
          <w:szCs w:val="28"/>
        </w:rPr>
        <w:t xml:space="preserve">3.2.2.1 </w:t>
      </w:r>
      <w:r>
        <w:rPr>
          <w:rFonts w:hint="eastAsia" w:ascii="Times New Roman" w:hAnsi="Times New Roman" w:eastAsia="黑体"/>
          <w:sz w:val="28"/>
          <w:szCs w:val="28"/>
        </w:rPr>
        <w:t>法律法规</w:t>
      </w:r>
      <w:bookmarkEnd w:id="68"/>
    </w:p>
    <w:p>
      <w:pPr>
        <w:adjustRightInd w:val="0"/>
        <w:snapToGrid w:val="0"/>
        <w:spacing w:line="594" w:lineRule="exact"/>
        <w:ind w:firstLine="560" w:firstLineChars="200"/>
        <w:rPr>
          <w:rFonts w:ascii="Times New Roman" w:hAnsi="Times New Roman"/>
          <w:sz w:val="28"/>
          <w:szCs w:val="28"/>
        </w:rPr>
      </w:pPr>
      <w:r>
        <w:rPr>
          <w:rFonts w:hint="eastAsia" w:ascii="Times New Roman" w:hAnsi="Times New Roman"/>
          <w:sz w:val="28"/>
          <w:szCs w:val="28"/>
        </w:rPr>
        <w:t>（</w:t>
      </w:r>
      <w:r>
        <w:rPr>
          <w:rFonts w:ascii="Times New Roman" w:hAnsi="Times New Roman"/>
          <w:sz w:val="28"/>
          <w:szCs w:val="28"/>
        </w:rPr>
        <w:t>1</w:t>
      </w:r>
      <w:r>
        <w:rPr>
          <w:rFonts w:hint="eastAsia" w:ascii="Times New Roman" w:hAnsi="Times New Roman"/>
          <w:sz w:val="28"/>
          <w:szCs w:val="28"/>
        </w:rPr>
        <w:t>）《中华人民共和国水法》（</w:t>
      </w:r>
      <w:r>
        <w:rPr>
          <w:rFonts w:ascii="Times New Roman" w:hAnsi="Times New Roman"/>
          <w:sz w:val="28"/>
          <w:szCs w:val="28"/>
        </w:rPr>
        <w:t xml:space="preserve">2016 </w:t>
      </w:r>
      <w:r>
        <w:rPr>
          <w:rFonts w:hint="eastAsia" w:ascii="Times New Roman" w:hAnsi="Times New Roman"/>
          <w:sz w:val="28"/>
          <w:szCs w:val="28"/>
        </w:rPr>
        <w:t>年</w:t>
      </w:r>
      <w:r>
        <w:rPr>
          <w:rFonts w:ascii="Times New Roman" w:hAnsi="Times New Roman"/>
          <w:sz w:val="28"/>
          <w:szCs w:val="28"/>
        </w:rPr>
        <w:t xml:space="preserve"> 7 </w:t>
      </w:r>
      <w:r>
        <w:rPr>
          <w:rFonts w:hint="eastAsia" w:ascii="Times New Roman" w:hAnsi="Times New Roman"/>
          <w:sz w:val="28"/>
          <w:szCs w:val="28"/>
        </w:rPr>
        <w:t>月）</w:t>
      </w:r>
    </w:p>
    <w:p>
      <w:pPr>
        <w:adjustRightInd w:val="0"/>
        <w:snapToGrid w:val="0"/>
        <w:spacing w:line="594" w:lineRule="exact"/>
        <w:ind w:firstLine="560" w:firstLineChars="200"/>
        <w:rPr>
          <w:rFonts w:ascii="Times New Roman" w:hAnsi="Times New Roman"/>
          <w:sz w:val="28"/>
          <w:szCs w:val="28"/>
        </w:rPr>
      </w:pPr>
      <w:r>
        <w:rPr>
          <w:rFonts w:hint="eastAsia" w:ascii="Times New Roman" w:hAnsi="Times New Roman"/>
          <w:sz w:val="28"/>
          <w:szCs w:val="28"/>
        </w:rPr>
        <w:t>（</w:t>
      </w:r>
      <w:r>
        <w:rPr>
          <w:rFonts w:ascii="Times New Roman" w:hAnsi="Times New Roman"/>
          <w:sz w:val="28"/>
          <w:szCs w:val="28"/>
        </w:rPr>
        <w:t>2</w:t>
      </w:r>
      <w:r>
        <w:rPr>
          <w:rFonts w:hint="eastAsia" w:ascii="Times New Roman" w:hAnsi="Times New Roman"/>
          <w:sz w:val="28"/>
          <w:szCs w:val="28"/>
        </w:rPr>
        <w:t>）《中华人民共和国河道管理条例》（</w:t>
      </w:r>
      <w:r>
        <w:rPr>
          <w:rFonts w:ascii="Times New Roman" w:hAnsi="Times New Roman"/>
          <w:sz w:val="28"/>
          <w:szCs w:val="28"/>
        </w:rPr>
        <w:t xml:space="preserve">2017 </w:t>
      </w:r>
      <w:r>
        <w:rPr>
          <w:rFonts w:hint="eastAsia" w:ascii="Times New Roman" w:hAnsi="Times New Roman"/>
          <w:sz w:val="28"/>
          <w:szCs w:val="28"/>
        </w:rPr>
        <w:t>年</w:t>
      </w:r>
      <w:r>
        <w:rPr>
          <w:rFonts w:ascii="Times New Roman" w:hAnsi="Times New Roman"/>
          <w:sz w:val="28"/>
          <w:szCs w:val="28"/>
        </w:rPr>
        <w:t xml:space="preserve"> 3 </w:t>
      </w:r>
      <w:r>
        <w:rPr>
          <w:rFonts w:hint="eastAsia" w:ascii="Times New Roman" w:hAnsi="Times New Roman"/>
          <w:sz w:val="28"/>
          <w:szCs w:val="28"/>
        </w:rPr>
        <w:t>月）</w:t>
      </w:r>
    </w:p>
    <w:p>
      <w:pPr>
        <w:adjustRightInd w:val="0"/>
        <w:snapToGrid w:val="0"/>
        <w:spacing w:line="594" w:lineRule="exact"/>
        <w:ind w:firstLine="560" w:firstLineChars="200"/>
        <w:rPr>
          <w:rFonts w:ascii="Times New Roman" w:hAnsi="Times New Roman"/>
          <w:sz w:val="28"/>
          <w:szCs w:val="28"/>
        </w:rPr>
      </w:pPr>
      <w:r>
        <w:rPr>
          <w:rFonts w:hint="eastAsia" w:ascii="Times New Roman" w:hAnsi="Times New Roman"/>
          <w:sz w:val="28"/>
          <w:szCs w:val="28"/>
        </w:rPr>
        <w:t>（</w:t>
      </w:r>
      <w:r>
        <w:rPr>
          <w:rFonts w:ascii="Times New Roman" w:hAnsi="Times New Roman"/>
          <w:sz w:val="28"/>
          <w:szCs w:val="28"/>
        </w:rPr>
        <w:t>3</w:t>
      </w:r>
      <w:r>
        <w:rPr>
          <w:rFonts w:hint="eastAsia" w:ascii="Times New Roman" w:hAnsi="Times New Roman"/>
          <w:sz w:val="28"/>
          <w:szCs w:val="28"/>
        </w:rPr>
        <w:t>）《中华人民共和国环境保护法》（</w:t>
      </w:r>
      <w:r>
        <w:rPr>
          <w:rFonts w:ascii="Times New Roman" w:hAnsi="Times New Roman"/>
          <w:sz w:val="28"/>
          <w:szCs w:val="28"/>
        </w:rPr>
        <w:t xml:space="preserve">2015 </w:t>
      </w:r>
      <w:r>
        <w:rPr>
          <w:rFonts w:hint="eastAsia" w:ascii="Times New Roman" w:hAnsi="Times New Roman"/>
          <w:sz w:val="28"/>
          <w:szCs w:val="28"/>
        </w:rPr>
        <w:t>年</w:t>
      </w:r>
      <w:r>
        <w:rPr>
          <w:rFonts w:ascii="Times New Roman" w:hAnsi="Times New Roman"/>
          <w:sz w:val="28"/>
          <w:szCs w:val="28"/>
        </w:rPr>
        <w:t xml:space="preserve"> 1 </w:t>
      </w:r>
      <w:r>
        <w:rPr>
          <w:rFonts w:hint="eastAsia" w:ascii="Times New Roman" w:hAnsi="Times New Roman"/>
          <w:sz w:val="28"/>
          <w:szCs w:val="28"/>
        </w:rPr>
        <w:t>月）</w:t>
      </w:r>
    </w:p>
    <w:p>
      <w:pPr>
        <w:adjustRightInd w:val="0"/>
        <w:snapToGrid w:val="0"/>
        <w:spacing w:line="594" w:lineRule="exact"/>
        <w:ind w:firstLine="560" w:firstLineChars="200"/>
        <w:rPr>
          <w:rFonts w:ascii="Times New Roman" w:hAnsi="Times New Roman"/>
          <w:sz w:val="28"/>
          <w:szCs w:val="28"/>
        </w:rPr>
      </w:pPr>
      <w:r>
        <w:rPr>
          <w:rFonts w:hint="eastAsia" w:ascii="Times New Roman" w:hAnsi="Times New Roman"/>
          <w:sz w:val="28"/>
          <w:szCs w:val="28"/>
        </w:rPr>
        <w:t>（</w:t>
      </w:r>
      <w:r>
        <w:rPr>
          <w:rFonts w:ascii="Times New Roman" w:hAnsi="Times New Roman"/>
          <w:sz w:val="28"/>
          <w:szCs w:val="28"/>
        </w:rPr>
        <w:t>4</w:t>
      </w:r>
      <w:r>
        <w:rPr>
          <w:rFonts w:hint="eastAsia" w:ascii="Times New Roman" w:hAnsi="Times New Roman"/>
          <w:sz w:val="28"/>
          <w:szCs w:val="28"/>
        </w:rPr>
        <w:t>）《中华人民共和国水污染防治法》（</w:t>
      </w:r>
      <w:r>
        <w:rPr>
          <w:rFonts w:ascii="Times New Roman" w:hAnsi="Times New Roman"/>
          <w:sz w:val="28"/>
          <w:szCs w:val="28"/>
        </w:rPr>
        <w:t xml:space="preserve">2017 </w:t>
      </w:r>
      <w:r>
        <w:rPr>
          <w:rFonts w:hint="eastAsia" w:ascii="Times New Roman" w:hAnsi="Times New Roman"/>
          <w:sz w:val="28"/>
          <w:szCs w:val="28"/>
        </w:rPr>
        <w:t>年</w:t>
      </w:r>
      <w:r>
        <w:rPr>
          <w:rFonts w:ascii="Times New Roman" w:hAnsi="Times New Roman"/>
          <w:sz w:val="28"/>
          <w:szCs w:val="28"/>
        </w:rPr>
        <w:t xml:space="preserve"> 6 </w:t>
      </w:r>
      <w:r>
        <w:rPr>
          <w:rFonts w:hint="eastAsia" w:ascii="Times New Roman" w:hAnsi="Times New Roman"/>
          <w:sz w:val="28"/>
          <w:szCs w:val="28"/>
        </w:rPr>
        <w:t>月）</w:t>
      </w:r>
    </w:p>
    <w:p>
      <w:pPr>
        <w:adjustRightInd w:val="0"/>
        <w:snapToGrid w:val="0"/>
        <w:spacing w:line="594" w:lineRule="exact"/>
        <w:ind w:firstLine="560" w:firstLineChars="200"/>
        <w:rPr>
          <w:rFonts w:ascii="Times New Roman" w:hAnsi="Times New Roman"/>
          <w:sz w:val="28"/>
          <w:szCs w:val="28"/>
        </w:rPr>
      </w:pPr>
      <w:r>
        <w:rPr>
          <w:rFonts w:hint="eastAsia" w:ascii="Times New Roman" w:hAnsi="Times New Roman"/>
          <w:sz w:val="28"/>
          <w:szCs w:val="28"/>
        </w:rPr>
        <w:t>（</w:t>
      </w:r>
      <w:r>
        <w:rPr>
          <w:rFonts w:ascii="Times New Roman" w:hAnsi="Times New Roman"/>
          <w:sz w:val="28"/>
          <w:szCs w:val="28"/>
        </w:rPr>
        <w:t>5</w:t>
      </w:r>
      <w:r>
        <w:rPr>
          <w:rFonts w:hint="eastAsia" w:ascii="Times New Roman" w:hAnsi="Times New Roman"/>
          <w:sz w:val="28"/>
          <w:szCs w:val="28"/>
        </w:rPr>
        <w:t>）《取水许可和水资源费征收管理条例》（</w:t>
      </w:r>
      <w:r>
        <w:rPr>
          <w:rFonts w:ascii="Times New Roman" w:hAnsi="Times New Roman"/>
          <w:sz w:val="28"/>
          <w:szCs w:val="28"/>
        </w:rPr>
        <w:t xml:space="preserve">2017 </w:t>
      </w:r>
      <w:r>
        <w:rPr>
          <w:rFonts w:hint="eastAsia" w:ascii="Times New Roman" w:hAnsi="Times New Roman"/>
          <w:sz w:val="28"/>
          <w:szCs w:val="28"/>
        </w:rPr>
        <w:t>年修订）</w:t>
      </w:r>
    </w:p>
    <w:p>
      <w:pPr>
        <w:adjustRightInd w:val="0"/>
        <w:snapToGrid w:val="0"/>
        <w:spacing w:line="594" w:lineRule="exact"/>
        <w:ind w:firstLine="560" w:firstLineChars="200"/>
        <w:rPr>
          <w:rFonts w:ascii="Times New Roman" w:hAnsi="Times New Roman"/>
          <w:sz w:val="28"/>
          <w:szCs w:val="28"/>
        </w:rPr>
      </w:pPr>
      <w:r>
        <w:rPr>
          <w:rFonts w:hint="eastAsia" w:ascii="Times New Roman" w:hAnsi="Times New Roman"/>
          <w:sz w:val="28"/>
          <w:szCs w:val="28"/>
        </w:rPr>
        <w:t>（</w:t>
      </w:r>
      <w:r>
        <w:rPr>
          <w:rFonts w:ascii="Times New Roman" w:hAnsi="Times New Roman"/>
          <w:sz w:val="28"/>
          <w:szCs w:val="28"/>
        </w:rPr>
        <w:t>6</w:t>
      </w:r>
      <w:r>
        <w:rPr>
          <w:rFonts w:hint="eastAsia" w:ascii="Times New Roman" w:hAnsi="Times New Roman"/>
          <w:sz w:val="28"/>
          <w:szCs w:val="28"/>
        </w:rPr>
        <w:t>）《中华人民共和国长江保护法》（</w:t>
      </w:r>
      <w:r>
        <w:rPr>
          <w:rFonts w:ascii="Times New Roman" w:hAnsi="Times New Roman"/>
          <w:sz w:val="28"/>
          <w:szCs w:val="28"/>
        </w:rPr>
        <w:t>2021</w:t>
      </w:r>
      <w:r>
        <w:rPr>
          <w:rFonts w:hint="eastAsia" w:ascii="Times New Roman" w:hAnsi="Times New Roman"/>
          <w:sz w:val="28"/>
          <w:szCs w:val="28"/>
        </w:rPr>
        <w:t>年</w:t>
      </w:r>
      <w:r>
        <w:rPr>
          <w:rFonts w:ascii="Times New Roman" w:hAnsi="Times New Roman"/>
          <w:sz w:val="28"/>
          <w:szCs w:val="28"/>
        </w:rPr>
        <w:t>3</w:t>
      </w:r>
      <w:r>
        <w:rPr>
          <w:rFonts w:hint="eastAsia" w:ascii="Times New Roman" w:hAnsi="Times New Roman"/>
          <w:sz w:val="28"/>
          <w:szCs w:val="28"/>
        </w:rPr>
        <w:t>月）</w:t>
      </w:r>
    </w:p>
    <w:p>
      <w:pPr>
        <w:adjustRightInd w:val="0"/>
        <w:snapToGrid w:val="0"/>
        <w:spacing w:line="594" w:lineRule="exact"/>
        <w:ind w:firstLine="560" w:firstLineChars="200"/>
        <w:rPr>
          <w:rFonts w:ascii="Times New Roman" w:hAnsi="Times New Roman"/>
          <w:sz w:val="28"/>
          <w:szCs w:val="28"/>
        </w:rPr>
      </w:pPr>
      <w:r>
        <w:rPr>
          <w:rFonts w:hint="eastAsia" w:ascii="Times New Roman" w:hAnsi="Times New Roman"/>
          <w:sz w:val="28"/>
          <w:szCs w:val="28"/>
        </w:rPr>
        <w:t>（</w:t>
      </w:r>
      <w:r>
        <w:rPr>
          <w:rFonts w:ascii="Times New Roman" w:hAnsi="Times New Roman"/>
          <w:sz w:val="28"/>
          <w:szCs w:val="28"/>
        </w:rPr>
        <w:t>7</w:t>
      </w:r>
      <w:r>
        <w:rPr>
          <w:rFonts w:hint="eastAsia" w:ascii="Times New Roman" w:hAnsi="Times New Roman"/>
          <w:sz w:val="28"/>
          <w:szCs w:val="28"/>
        </w:rPr>
        <w:t>）《重庆市水资源管理条例》（</w:t>
      </w:r>
      <w:r>
        <w:rPr>
          <w:rFonts w:ascii="Times New Roman" w:hAnsi="Times New Roman"/>
          <w:sz w:val="28"/>
          <w:szCs w:val="28"/>
        </w:rPr>
        <w:t xml:space="preserve">2015 </w:t>
      </w:r>
      <w:r>
        <w:rPr>
          <w:rFonts w:hint="eastAsia" w:ascii="Times New Roman" w:hAnsi="Times New Roman"/>
          <w:sz w:val="28"/>
          <w:szCs w:val="28"/>
        </w:rPr>
        <w:t>年</w:t>
      </w:r>
      <w:r>
        <w:rPr>
          <w:rFonts w:ascii="Times New Roman" w:hAnsi="Times New Roman"/>
          <w:sz w:val="28"/>
          <w:szCs w:val="28"/>
        </w:rPr>
        <w:t xml:space="preserve"> 10 </w:t>
      </w:r>
      <w:r>
        <w:rPr>
          <w:rFonts w:hint="eastAsia" w:ascii="Times New Roman" w:hAnsi="Times New Roman"/>
          <w:sz w:val="28"/>
          <w:szCs w:val="28"/>
        </w:rPr>
        <w:t>月）</w:t>
      </w:r>
    </w:p>
    <w:p>
      <w:pPr>
        <w:adjustRightInd w:val="0"/>
        <w:snapToGrid w:val="0"/>
        <w:spacing w:line="594" w:lineRule="exact"/>
        <w:ind w:firstLine="280" w:firstLineChars="100"/>
        <w:rPr>
          <w:rFonts w:ascii="Times New Roman" w:hAnsi="Times New Roman" w:eastAsia="黑体"/>
          <w:sz w:val="28"/>
          <w:szCs w:val="28"/>
        </w:rPr>
      </w:pPr>
      <w:r>
        <w:rPr>
          <w:rFonts w:ascii="Times New Roman" w:hAnsi="Times New Roman" w:eastAsia="黑体"/>
          <w:sz w:val="28"/>
          <w:szCs w:val="28"/>
        </w:rPr>
        <w:t xml:space="preserve">3.2.2.2 </w:t>
      </w:r>
      <w:r>
        <w:rPr>
          <w:rFonts w:hint="eastAsia" w:ascii="Times New Roman" w:hAnsi="Times New Roman" w:eastAsia="黑体"/>
          <w:sz w:val="28"/>
          <w:szCs w:val="28"/>
        </w:rPr>
        <w:t>规范性文件</w:t>
      </w:r>
    </w:p>
    <w:p>
      <w:pPr>
        <w:adjustRightInd w:val="0"/>
        <w:snapToGrid w:val="0"/>
        <w:spacing w:line="594" w:lineRule="exact"/>
        <w:ind w:firstLine="560" w:firstLineChars="200"/>
        <w:rPr>
          <w:rFonts w:ascii="Times New Roman" w:hAnsi="Times New Roman"/>
          <w:sz w:val="28"/>
          <w:szCs w:val="28"/>
        </w:rPr>
      </w:pPr>
      <w:r>
        <w:rPr>
          <w:rFonts w:hint="eastAsia" w:ascii="Times New Roman" w:hAnsi="Times New Roman"/>
          <w:sz w:val="28"/>
          <w:szCs w:val="28"/>
        </w:rPr>
        <w:t>（</w:t>
      </w:r>
      <w:r>
        <w:rPr>
          <w:rFonts w:ascii="Times New Roman" w:hAnsi="Times New Roman"/>
          <w:sz w:val="28"/>
          <w:szCs w:val="28"/>
        </w:rPr>
        <w:t>1</w:t>
      </w:r>
      <w:r>
        <w:rPr>
          <w:rFonts w:hint="eastAsia" w:ascii="Times New Roman" w:hAnsi="Times New Roman"/>
          <w:sz w:val="28"/>
          <w:szCs w:val="28"/>
        </w:rPr>
        <w:t>）《国家节水行动实施方案》</w:t>
      </w:r>
    </w:p>
    <w:p>
      <w:pPr>
        <w:adjustRightInd w:val="0"/>
        <w:snapToGrid w:val="0"/>
        <w:spacing w:line="594" w:lineRule="exact"/>
        <w:ind w:firstLine="560" w:firstLineChars="200"/>
        <w:rPr>
          <w:rFonts w:ascii="Times New Roman" w:hAnsi="Times New Roman"/>
          <w:sz w:val="28"/>
          <w:szCs w:val="28"/>
        </w:rPr>
      </w:pPr>
      <w:r>
        <w:rPr>
          <w:rFonts w:hint="eastAsia" w:ascii="Times New Roman" w:hAnsi="Times New Roman"/>
          <w:sz w:val="28"/>
          <w:szCs w:val="28"/>
        </w:rPr>
        <w:t>（</w:t>
      </w:r>
      <w:r>
        <w:rPr>
          <w:rFonts w:ascii="Times New Roman" w:hAnsi="Times New Roman"/>
          <w:sz w:val="28"/>
          <w:szCs w:val="28"/>
        </w:rPr>
        <w:t>2</w:t>
      </w:r>
      <w:r>
        <w:rPr>
          <w:rFonts w:hint="eastAsia" w:ascii="Times New Roman" w:hAnsi="Times New Roman"/>
          <w:sz w:val="28"/>
          <w:szCs w:val="28"/>
        </w:rPr>
        <w:t>）《水利部关于开展县域节水型社会达标建设工作的通知》（水资源〔</w:t>
      </w:r>
      <w:r>
        <w:rPr>
          <w:rFonts w:ascii="Times New Roman" w:hAnsi="Times New Roman"/>
          <w:sz w:val="28"/>
          <w:szCs w:val="28"/>
        </w:rPr>
        <w:t>2017</w:t>
      </w:r>
      <w:r>
        <w:rPr>
          <w:rFonts w:hint="eastAsia" w:ascii="Times New Roman" w:hAnsi="Times New Roman"/>
          <w:sz w:val="28"/>
          <w:szCs w:val="28"/>
        </w:rPr>
        <w:t>〕</w:t>
      </w:r>
      <w:r>
        <w:rPr>
          <w:rFonts w:ascii="Times New Roman" w:hAnsi="Times New Roman"/>
          <w:sz w:val="28"/>
          <w:szCs w:val="28"/>
        </w:rPr>
        <w:t xml:space="preserve">184 </w:t>
      </w:r>
      <w:r>
        <w:rPr>
          <w:rFonts w:hint="eastAsia" w:ascii="Times New Roman" w:hAnsi="Times New Roman"/>
          <w:sz w:val="28"/>
          <w:szCs w:val="28"/>
        </w:rPr>
        <w:t>号）</w:t>
      </w:r>
    </w:p>
    <w:p>
      <w:pPr>
        <w:adjustRightInd w:val="0"/>
        <w:snapToGrid w:val="0"/>
        <w:spacing w:line="594" w:lineRule="exact"/>
        <w:ind w:firstLine="560" w:firstLineChars="200"/>
        <w:rPr>
          <w:rFonts w:ascii="Times New Roman" w:hAnsi="Times New Roman"/>
          <w:sz w:val="28"/>
          <w:szCs w:val="28"/>
        </w:rPr>
      </w:pPr>
      <w:r>
        <w:rPr>
          <w:rFonts w:hint="eastAsia" w:ascii="Times New Roman" w:hAnsi="Times New Roman"/>
          <w:sz w:val="28"/>
          <w:szCs w:val="28"/>
        </w:rPr>
        <w:t>（</w:t>
      </w:r>
      <w:r>
        <w:rPr>
          <w:rFonts w:ascii="Times New Roman" w:hAnsi="Times New Roman"/>
          <w:sz w:val="28"/>
          <w:szCs w:val="28"/>
        </w:rPr>
        <w:t>3</w:t>
      </w:r>
      <w:r>
        <w:rPr>
          <w:rFonts w:hint="eastAsia" w:ascii="Times New Roman" w:hAnsi="Times New Roman"/>
          <w:sz w:val="28"/>
          <w:szCs w:val="28"/>
        </w:rPr>
        <w:t>）《国家发展和改革委员会住房城乡建设部关于加快建立健全城镇非居民用水超定额累进加价制度的指导意见》（发改价格〔</w:t>
      </w:r>
      <w:r>
        <w:rPr>
          <w:rFonts w:ascii="Times New Roman" w:hAnsi="Times New Roman"/>
          <w:sz w:val="28"/>
          <w:szCs w:val="28"/>
        </w:rPr>
        <w:t>2017</w:t>
      </w:r>
      <w:r>
        <w:rPr>
          <w:rFonts w:hint="eastAsia" w:ascii="Times New Roman" w:hAnsi="Times New Roman"/>
          <w:sz w:val="28"/>
          <w:szCs w:val="28"/>
        </w:rPr>
        <w:t>〕</w:t>
      </w:r>
      <w:r>
        <w:rPr>
          <w:rFonts w:ascii="Times New Roman" w:hAnsi="Times New Roman"/>
          <w:sz w:val="28"/>
          <w:szCs w:val="28"/>
        </w:rPr>
        <w:t xml:space="preserve">1792 </w:t>
      </w:r>
      <w:r>
        <w:rPr>
          <w:rFonts w:hint="eastAsia" w:ascii="Times New Roman" w:hAnsi="Times New Roman"/>
          <w:sz w:val="28"/>
          <w:szCs w:val="28"/>
        </w:rPr>
        <w:t>号）</w:t>
      </w:r>
    </w:p>
    <w:p>
      <w:pPr>
        <w:adjustRightInd w:val="0"/>
        <w:snapToGrid w:val="0"/>
        <w:spacing w:line="594" w:lineRule="exact"/>
        <w:ind w:firstLine="560" w:firstLineChars="200"/>
        <w:rPr>
          <w:rFonts w:ascii="Times New Roman" w:hAnsi="Times New Roman"/>
          <w:sz w:val="28"/>
          <w:szCs w:val="28"/>
        </w:rPr>
      </w:pPr>
      <w:r>
        <w:rPr>
          <w:rFonts w:hint="eastAsia" w:ascii="Times New Roman" w:hAnsi="Times New Roman"/>
          <w:sz w:val="28"/>
          <w:szCs w:val="28"/>
        </w:rPr>
        <w:t>（</w:t>
      </w:r>
      <w:r>
        <w:rPr>
          <w:rFonts w:ascii="Times New Roman" w:hAnsi="Times New Roman"/>
          <w:sz w:val="28"/>
          <w:szCs w:val="28"/>
        </w:rPr>
        <w:t>4</w:t>
      </w:r>
      <w:r>
        <w:rPr>
          <w:rFonts w:hint="eastAsia" w:ascii="Times New Roman" w:hAnsi="Times New Roman"/>
          <w:sz w:val="28"/>
          <w:szCs w:val="28"/>
        </w:rPr>
        <w:t>）《重庆市节约用水管理办法（试行）》（渝府发〔</w:t>
      </w:r>
      <w:r>
        <w:rPr>
          <w:rFonts w:ascii="Times New Roman" w:hAnsi="Times New Roman"/>
          <w:sz w:val="28"/>
          <w:szCs w:val="28"/>
        </w:rPr>
        <w:t>2018</w:t>
      </w:r>
      <w:r>
        <w:rPr>
          <w:rFonts w:hint="eastAsia" w:ascii="Times New Roman" w:hAnsi="Times New Roman"/>
          <w:sz w:val="28"/>
          <w:szCs w:val="28"/>
        </w:rPr>
        <w:t>〕</w:t>
      </w:r>
      <w:r>
        <w:rPr>
          <w:rFonts w:ascii="Times New Roman" w:hAnsi="Times New Roman"/>
          <w:sz w:val="28"/>
          <w:szCs w:val="28"/>
        </w:rPr>
        <w:t xml:space="preserve">42 </w:t>
      </w:r>
      <w:r>
        <w:rPr>
          <w:rFonts w:hint="eastAsia" w:ascii="Times New Roman" w:hAnsi="Times New Roman"/>
          <w:sz w:val="28"/>
          <w:szCs w:val="28"/>
        </w:rPr>
        <w:t>号）</w:t>
      </w:r>
    </w:p>
    <w:p>
      <w:pPr>
        <w:adjustRightInd w:val="0"/>
        <w:snapToGrid w:val="0"/>
        <w:spacing w:line="594" w:lineRule="exact"/>
        <w:ind w:firstLine="560" w:firstLineChars="200"/>
        <w:rPr>
          <w:rFonts w:ascii="Times New Roman" w:hAnsi="Times New Roman"/>
          <w:sz w:val="28"/>
          <w:szCs w:val="28"/>
        </w:rPr>
      </w:pPr>
      <w:r>
        <w:rPr>
          <w:rFonts w:hint="eastAsia" w:ascii="Times New Roman" w:hAnsi="Times New Roman"/>
          <w:sz w:val="28"/>
          <w:szCs w:val="28"/>
        </w:rPr>
        <w:t>（</w:t>
      </w:r>
      <w:r>
        <w:rPr>
          <w:rFonts w:ascii="Times New Roman" w:hAnsi="Times New Roman"/>
          <w:sz w:val="28"/>
          <w:szCs w:val="28"/>
        </w:rPr>
        <w:t>5</w:t>
      </w:r>
      <w:r>
        <w:rPr>
          <w:rFonts w:hint="eastAsia" w:ascii="Times New Roman" w:hAnsi="Times New Roman"/>
          <w:sz w:val="28"/>
          <w:szCs w:val="28"/>
        </w:rPr>
        <w:t>）《重庆市取水许可和水资源费征收管理办法》（渝府令第</w:t>
      </w:r>
      <w:r>
        <w:rPr>
          <w:rFonts w:ascii="Times New Roman" w:hAnsi="Times New Roman"/>
          <w:sz w:val="28"/>
          <w:szCs w:val="28"/>
        </w:rPr>
        <w:t xml:space="preserve">158 </w:t>
      </w:r>
      <w:r>
        <w:rPr>
          <w:rFonts w:hint="eastAsia" w:ascii="Times New Roman" w:hAnsi="Times New Roman"/>
          <w:sz w:val="28"/>
          <w:szCs w:val="28"/>
        </w:rPr>
        <w:t>号）</w:t>
      </w:r>
    </w:p>
    <w:p>
      <w:pPr>
        <w:adjustRightInd w:val="0"/>
        <w:snapToGrid w:val="0"/>
        <w:spacing w:line="594" w:lineRule="exact"/>
        <w:ind w:firstLine="560" w:firstLineChars="200"/>
        <w:rPr>
          <w:rFonts w:ascii="Times New Roman" w:hAnsi="Times New Roman"/>
          <w:sz w:val="28"/>
          <w:szCs w:val="28"/>
        </w:rPr>
      </w:pPr>
      <w:r>
        <w:rPr>
          <w:rFonts w:hint="eastAsia" w:ascii="Times New Roman" w:hAnsi="Times New Roman"/>
          <w:sz w:val="28"/>
          <w:szCs w:val="28"/>
        </w:rPr>
        <w:t>（</w:t>
      </w:r>
      <w:r>
        <w:rPr>
          <w:rFonts w:ascii="Times New Roman" w:hAnsi="Times New Roman"/>
          <w:sz w:val="28"/>
          <w:szCs w:val="28"/>
        </w:rPr>
        <w:t>6</w:t>
      </w:r>
      <w:r>
        <w:rPr>
          <w:rFonts w:hint="eastAsia" w:ascii="Times New Roman" w:hAnsi="Times New Roman"/>
          <w:sz w:val="28"/>
          <w:szCs w:val="28"/>
        </w:rPr>
        <w:t>）《重庆市水利局重庆市发展和改革委员会关于印发“十三五”水资源消耗总量和强度双控行动方案实施意见的通知》（渝水〔</w:t>
      </w:r>
      <w:r>
        <w:rPr>
          <w:rFonts w:ascii="Times New Roman" w:hAnsi="Times New Roman"/>
          <w:sz w:val="28"/>
          <w:szCs w:val="28"/>
        </w:rPr>
        <w:t>2017</w:t>
      </w:r>
      <w:r>
        <w:rPr>
          <w:rFonts w:hint="eastAsia" w:ascii="Times New Roman" w:hAnsi="Times New Roman"/>
          <w:sz w:val="28"/>
          <w:szCs w:val="28"/>
        </w:rPr>
        <w:t>〕</w:t>
      </w:r>
      <w:r>
        <w:rPr>
          <w:rFonts w:ascii="Times New Roman" w:hAnsi="Times New Roman"/>
          <w:sz w:val="28"/>
          <w:szCs w:val="28"/>
        </w:rPr>
        <w:t xml:space="preserve">59 </w:t>
      </w:r>
      <w:r>
        <w:rPr>
          <w:rFonts w:hint="eastAsia" w:ascii="Times New Roman" w:hAnsi="Times New Roman"/>
          <w:sz w:val="28"/>
          <w:szCs w:val="28"/>
        </w:rPr>
        <w:t>号）</w:t>
      </w:r>
    </w:p>
    <w:p>
      <w:pPr>
        <w:adjustRightInd w:val="0"/>
        <w:snapToGrid w:val="0"/>
        <w:spacing w:line="594" w:lineRule="exact"/>
        <w:ind w:firstLine="560" w:firstLineChars="200"/>
        <w:rPr>
          <w:rFonts w:ascii="Times New Roman" w:hAnsi="Times New Roman"/>
          <w:sz w:val="28"/>
          <w:szCs w:val="28"/>
        </w:rPr>
      </w:pPr>
      <w:r>
        <w:rPr>
          <w:rFonts w:hint="eastAsia" w:ascii="Times New Roman" w:hAnsi="Times New Roman"/>
          <w:sz w:val="28"/>
          <w:szCs w:val="28"/>
        </w:rPr>
        <w:t>（</w:t>
      </w:r>
      <w:r>
        <w:rPr>
          <w:rFonts w:ascii="Times New Roman" w:hAnsi="Times New Roman"/>
          <w:sz w:val="28"/>
          <w:szCs w:val="28"/>
        </w:rPr>
        <w:t>7</w:t>
      </w:r>
      <w:r>
        <w:rPr>
          <w:rFonts w:hint="eastAsia" w:ascii="Times New Roman" w:hAnsi="Times New Roman"/>
          <w:sz w:val="28"/>
          <w:szCs w:val="28"/>
        </w:rPr>
        <w:t>）《重庆市水利局关于印发</w:t>
      </w:r>
      <w:r>
        <w:rPr>
          <w:rFonts w:ascii="Times New Roman" w:hAnsi="Times New Roman"/>
          <w:sz w:val="28"/>
          <w:szCs w:val="28"/>
        </w:rPr>
        <w:t xml:space="preserve"> 2020 </w:t>
      </w:r>
      <w:r>
        <w:rPr>
          <w:rFonts w:hint="eastAsia" w:ascii="Times New Roman" w:hAnsi="Times New Roman"/>
          <w:sz w:val="28"/>
          <w:szCs w:val="28"/>
        </w:rPr>
        <w:t>年全市节约用水工作要点及重点任务清单的通知》（渝水节水〔</w:t>
      </w:r>
      <w:r>
        <w:rPr>
          <w:rFonts w:ascii="Times New Roman" w:hAnsi="Times New Roman"/>
          <w:sz w:val="28"/>
          <w:szCs w:val="28"/>
        </w:rPr>
        <w:t>2020</w:t>
      </w:r>
      <w:r>
        <w:rPr>
          <w:rFonts w:hint="eastAsia" w:ascii="Times New Roman" w:hAnsi="Times New Roman"/>
          <w:sz w:val="28"/>
          <w:szCs w:val="28"/>
        </w:rPr>
        <w:t>〕</w:t>
      </w:r>
      <w:r>
        <w:rPr>
          <w:rFonts w:ascii="Times New Roman" w:hAnsi="Times New Roman"/>
          <w:sz w:val="28"/>
          <w:szCs w:val="28"/>
        </w:rPr>
        <w:t xml:space="preserve">1 </w:t>
      </w:r>
      <w:r>
        <w:rPr>
          <w:rFonts w:hint="eastAsia" w:ascii="Times New Roman" w:hAnsi="Times New Roman"/>
          <w:sz w:val="28"/>
          <w:szCs w:val="28"/>
        </w:rPr>
        <w:t>号）</w:t>
      </w:r>
    </w:p>
    <w:p>
      <w:pPr>
        <w:adjustRightInd w:val="0"/>
        <w:snapToGrid w:val="0"/>
        <w:spacing w:line="594" w:lineRule="exact"/>
        <w:ind w:firstLine="560" w:firstLineChars="200"/>
        <w:rPr>
          <w:rFonts w:ascii="Times New Roman" w:hAnsi="Times New Roman"/>
          <w:sz w:val="28"/>
          <w:szCs w:val="28"/>
        </w:rPr>
      </w:pPr>
      <w:r>
        <w:rPr>
          <w:rFonts w:hint="eastAsia" w:ascii="Times New Roman" w:hAnsi="Times New Roman"/>
          <w:sz w:val="28"/>
          <w:szCs w:val="28"/>
        </w:rPr>
        <w:t>（</w:t>
      </w:r>
      <w:r>
        <w:rPr>
          <w:rFonts w:ascii="Times New Roman" w:hAnsi="Times New Roman"/>
          <w:sz w:val="28"/>
          <w:szCs w:val="28"/>
        </w:rPr>
        <w:t>8</w:t>
      </w:r>
      <w:r>
        <w:rPr>
          <w:rFonts w:hint="eastAsia" w:ascii="Times New Roman" w:hAnsi="Times New Roman"/>
          <w:sz w:val="28"/>
          <w:szCs w:val="28"/>
        </w:rPr>
        <w:t>）《重庆市节水行动实施方案》（渝水〔</w:t>
      </w:r>
      <w:r>
        <w:rPr>
          <w:rFonts w:ascii="Times New Roman" w:hAnsi="Times New Roman"/>
          <w:sz w:val="28"/>
          <w:szCs w:val="28"/>
        </w:rPr>
        <w:t>2020</w:t>
      </w:r>
      <w:r>
        <w:rPr>
          <w:rFonts w:hint="eastAsia" w:ascii="Times New Roman" w:hAnsi="Times New Roman"/>
          <w:sz w:val="28"/>
          <w:szCs w:val="28"/>
        </w:rPr>
        <w:t>〕</w:t>
      </w:r>
      <w:r>
        <w:rPr>
          <w:rFonts w:ascii="Times New Roman" w:hAnsi="Times New Roman"/>
          <w:sz w:val="28"/>
          <w:szCs w:val="28"/>
        </w:rPr>
        <w:t xml:space="preserve">30 </w:t>
      </w:r>
      <w:r>
        <w:rPr>
          <w:rFonts w:hint="eastAsia" w:ascii="Times New Roman" w:hAnsi="Times New Roman"/>
          <w:sz w:val="28"/>
          <w:szCs w:val="28"/>
        </w:rPr>
        <w:t>号）</w:t>
      </w:r>
    </w:p>
    <w:p>
      <w:pPr>
        <w:adjustRightInd w:val="0"/>
        <w:snapToGrid w:val="0"/>
        <w:spacing w:line="594" w:lineRule="exact"/>
        <w:ind w:firstLine="560" w:firstLineChars="200"/>
        <w:rPr>
          <w:rFonts w:ascii="Times New Roman" w:hAnsi="Times New Roman"/>
          <w:sz w:val="28"/>
          <w:szCs w:val="28"/>
        </w:rPr>
      </w:pPr>
      <w:r>
        <w:rPr>
          <w:rFonts w:hint="eastAsia" w:ascii="Times New Roman" w:hAnsi="Times New Roman"/>
          <w:sz w:val="28"/>
          <w:szCs w:val="28"/>
        </w:rPr>
        <w:t>（</w:t>
      </w:r>
      <w:r>
        <w:rPr>
          <w:rFonts w:ascii="Times New Roman" w:hAnsi="Times New Roman"/>
          <w:sz w:val="28"/>
          <w:szCs w:val="28"/>
        </w:rPr>
        <w:t>9</w:t>
      </w:r>
      <w:r>
        <w:rPr>
          <w:rFonts w:hint="eastAsia" w:ascii="Times New Roman" w:hAnsi="Times New Roman"/>
          <w:sz w:val="28"/>
          <w:szCs w:val="28"/>
        </w:rPr>
        <w:t>）《重庆市水利局重庆市发展和改革委员会重庆市财政局等</w:t>
      </w:r>
      <w:r>
        <w:rPr>
          <w:rFonts w:ascii="Times New Roman" w:hAnsi="Times New Roman"/>
          <w:sz w:val="28"/>
          <w:szCs w:val="28"/>
        </w:rPr>
        <w:t xml:space="preserve"> 9 </w:t>
      </w:r>
      <w:r>
        <w:rPr>
          <w:rFonts w:hint="eastAsia" w:ascii="Times New Roman" w:hAnsi="Times New Roman"/>
          <w:sz w:val="28"/>
          <w:szCs w:val="28"/>
        </w:rPr>
        <w:t>部门关于全面推进节水型社会建设的指导意见》（渝水〔</w:t>
      </w:r>
      <w:r>
        <w:rPr>
          <w:rFonts w:ascii="Times New Roman" w:hAnsi="Times New Roman"/>
          <w:sz w:val="28"/>
          <w:szCs w:val="28"/>
        </w:rPr>
        <w:t>2016</w:t>
      </w:r>
      <w:r>
        <w:rPr>
          <w:rFonts w:hint="eastAsia" w:ascii="Times New Roman" w:hAnsi="Times New Roman"/>
          <w:sz w:val="28"/>
          <w:szCs w:val="28"/>
        </w:rPr>
        <w:t>〕</w:t>
      </w:r>
      <w:r>
        <w:rPr>
          <w:rFonts w:ascii="Times New Roman" w:hAnsi="Times New Roman"/>
          <w:sz w:val="28"/>
          <w:szCs w:val="28"/>
        </w:rPr>
        <w:t xml:space="preserve">82 </w:t>
      </w:r>
      <w:r>
        <w:rPr>
          <w:rFonts w:hint="eastAsia" w:ascii="Times New Roman" w:hAnsi="Times New Roman"/>
          <w:sz w:val="28"/>
          <w:szCs w:val="28"/>
        </w:rPr>
        <w:t>号）</w:t>
      </w:r>
    </w:p>
    <w:p>
      <w:pPr>
        <w:adjustRightInd w:val="0"/>
        <w:snapToGrid w:val="0"/>
        <w:spacing w:line="594" w:lineRule="exact"/>
        <w:ind w:firstLine="560" w:firstLineChars="200"/>
        <w:rPr>
          <w:rFonts w:ascii="Times New Roman" w:hAnsi="Times New Roman"/>
          <w:sz w:val="28"/>
          <w:szCs w:val="28"/>
        </w:rPr>
      </w:pPr>
      <w:r>
        <w:rPr>
          <w:rFonts w:hint="eastAsia" w:ascii="Times New Roman" w:hAnsi="Times New Roman"/>
          <w:sz w:val="28"/>
          <w:szCs w:val="28"/>
        </w:rPr>
        <w:t>（</w:t>
      </w:r>
      <w:r>
        <w:rPr>
          <w:rFonts w:ascii="Times New Roman" w:hAnsi="Times New Roman"/>
          <w:sz w:val="28"/>
          <w:szCs w:val="28"/>
        </w:rPr>
        <w:t>10</w:t>
      </w:r>
      <w:r>
        <w:rPr>
          <w:rFonts w:hint="eastAsia" w:ascii="Times New Roman" w:hAnsi="Times New Roman"/>
          <w:sz w:val="28"/>
          <w:szCs w:val="28"/>
        </w:rPr>
        <w:t>）《重庆市物价局关于建立主城区居民用水阶梯价格制度的通知》（渝价〔</w:t>
      </w:r>
      <w:r>
        <w:rPr>
          <w:rFonts w:ascii="Times New Roman" w:hAnsi="Times New Roman"/>
          <w:sz w:val="28"/>
          <w:szCs w:val="28"/>
        </w:rPr>
        <w:t>2015</w:t>
      </w:r>
      <w:r>
        <w:rPr>
          <w:rFonts w:hint="eastAsia" w:ascii="Times New Roman" w:hAnsi="Times New Roman"/>
          <w:sz w:val="28"/>
          <w:szCs w:val="28"/>
        </w:rPr>
        <w:t>〕</w:t>
      </w:r>
      <w:r>
        <w:rPr>
          <w:rFonts w:ascii="Times New Roman" w:hAnsi="Times New Roman"/>
          <w:sz w:val="28"/>
          <w:szCs w:val="28"/>
        </w:rPr>
        <w:t xml:space="preserve">279 </w:t>
      </w:r>
      <w:r>
        <w:rPr>
          <w:rFonts w:hint="eastAsia" w:ascii="Times New Roman" w:hAnsi="Times New Roman"/>
          <w:sz w:val="28"/>
          <w:szCs w:val="28"/>
        </w:rPr>
        <w:t>号）</w:t>
      </w:r>
    </w:p>
    <w:p>
      <w:pPr>
        <w:adjustRightInd w:val="0"/>
        <w:snapToGrid w:val="0"/>
        <w:spacing w:line="594" w:lineRule="exact"/>
        <w:ind w:firstLine="560" w:firstLineChars="200"/>
        <w:rPr>
          <w:rFonts w:ascii="Times New Roman" w:hAnsi="Times New Roman"/>
          <w:sz w:val="28"/>
          <w:szCs w:val="28"/>
        </w:rPr>
      </w:pPr>
      <w:r>
        <w:rPr>
          <w:rFonts w:hint="eastAsia" w:ascii="Times New Roman" w:hAnsi="Times New Roman"/>
          <w:sz w:val="28"/>
          <w:szCs w:val="28"/>
        </w:rPr>
        <w:t>（</w:t>
      </w:r>
      <w:r>
        <w:rPr>
          <w:rFonts w:ascii="Times New Roman" w:hAnsi="Times New Roman"/>
          <w:sz w:val="28"/>
          <w:szCs w:val="28"/>
        </w:rPr>
        <w:t>11</w:t>
      </w:r>
      <w:r>
        <w:rPr>
          <w:rFonts w:hint="eastAsia" w:ascii="Times New Roman" w:hAnsi="Times New Roman"/>
          <w:sz w:val="28"/>
          <w:szCs w:val="28"/>
        </w:rPr>
        <w:t>）《重庆市人民政府办公厅关于推进农业水价综合改革</w:t>
      </w:r>
      <w:r>
        <w:rPr>
          <w:rFonts w:ascii="Times New Roman" w:hAnsi="Times New Roman"/>
          <w:sz w:val="28"/>
          <w:szCs w:val="28"/>
        </w:rPr>
        <w:t>(</w:t>
      </w:r>
      <w:r>
        <w:rPr>
          <w:rFonts w:hint="eastAsia" w:ascii="Times New Roman" w:hAnsi="Times New Roman"/>
          <w:sz w:val="28"/>
          <w:szCs w:val="28"/>
        </w:rPr>
        <w:t>试点</w:t>
      </w:r>
      <w:r>
        <w:rPr>
          <w:rFonts w:ascii="Times New Roman" w:hAnsi="Times New Roman"/>
          <w:sz w:val="28"/>
          <w:szCs w:val="28"/>
        </w:rPr>
        <w:t>)</w:t>
      </w:r>
      <w:r>
        <w:rPr>
          <w:rFonts w:hint="eastAsia" w:ascii="Times New Roman" w:hAnsi="Times New Roman"/>
          <w:sz w:val="28"/>
          <w:szCs w:val="28"/>
        </w:rPr>
        <w:t>的实施意见》（渝府办发〔</w:t>
      </w:r>
      <w:r>
        <w:rPr>
          <w:rFonts w:ascii="Times New Roman" w:hAnsi="Times New Roman"/>
          <w:sz w:val="28"/>
          <w:szCs w:val="28"/>
        </w:rPr>
        <w:t>2016</w:t>
      </w:r>
      <w:r>
        <w:rPr>
          <w:rFonts w:hint="eastAsia" w:ascii="Times New Roman" w:hAnsi="Times New Roman"/>
          <w:sz w:val="28"/>
          <w:szCs w:val="28"/>
        </w:rPr>
        <w:t>〕</w:t>
      </w:r>
      <w:r>
        <w:rPr>
          <w:rFonts w:ascii="Times New Roman" w:hAnsi="Times New Roman"/>
          <w:sz w:val="28"/>
          <w:szCs w:val="28"/>
        </w:rPr>
        <w:t xml:space="preserve">150 </w:t>
      </w:r>
      <w:r>
        <w:rPr>
          <w:rFonts w:hint="eastAsia" w:ascii="Times New Roman" w:hAnsi="Times New Roman"/>
          <w:sz w:val="28"/>
          <w:szCs w:val="28"/>
        </w:rPr>
        <w:t>号）</w:t>
      </w:r>
    </w:p>
    <w:p>
      <w:pPr>
        <w:adjustRightInd w:val="0"/>
        <w:snapToGrid w:val="0"/>
        <w:spacing w:line="594" w:lineRule="exact"/>
        <w:ind w:firstLine="560" w:firstLineChars="200"/>
        <w:rPr>
          <w:rFonts w:ascii="Times New Roman" w:hAnsi="Times New Roman"/>
          <w:sz w:val="28"/>
          <w:szCs w:val="28"/>
        </w:rPr>
      </w:pPr>
      <w:r>
        <w:rPr>
          <w:rFonts w:hint="eastAsia" w:ascii="Times New Roman" w:hAnsi="Times New Roman"/>
          <w:sz w:val="28"/>
          <w:szCs w:val="28"/>
        </w:rPr>
        <w:t>（</w:t>
      </w:r>
      <w:r>
        <w:rPr>
          <w:rFonts w:ascii="Times New Roman" w:hAnsi="Times New Roman"/>
          <w:sz w:val="28"/>
          <w:szCs w:val="28"/>
        </w:rPr>
        <w:t>12</w:t>
      </w:r>
      <w:r>
        <w:rPr>
          <w:rFonts w:hint="eastAsia" w:ascii="Times New Roman" w:hAnsi="Times New Roman"/>
          <w:sz w:val="28"/>
          <w:szCs w:val="28"/>
        </w:rPr>
        <w:t>）《重庆市物价局重庆市水利局关于加强农业水价管理的指导意见》（渝价〔</w:t>
      </w:r>
      <w:r>
        <w:rPr>
          <w:rFonts w:ascii="Times New Roman" w:hAnsi="Times New Roman"/>
          <w:sz w:val="28"/>
          <w:szCs w:val="28"/>
        </w:rPr>
        <w:t>2018</w:t>
      </w:r>
      <w:r>
        <w:rPr>
          <w:rFonts w:hint="eastAsia" w:ascii="Times New Roman" w:hAnsi="Times New Roman"/>
          <w:sz w:val="28"/>
          <w:szCs w:val="28"/>
        </w:rPr>
        <w:t>〕</w:t>
      </w:r>
      <w:r>
        <w:rPr>
          <w:rFonts w:ascii="Times New Roman" w:hAnsi="Times New Roman"/>
          <w:sz w:val="28"/>
          <w:szCs w:val="28"/>
        </w:rPr>
        <w:t xml:space="preserve">89 </w:t>
      </w:r>
      <w:r>
        <w:rPr>
          <w:rFonts w:hint="eastAsia" w:ascii="Times New Roman" w:hAnsi="Times New Roman"/>
          <w:sz w:val="28"/>
          <w:szCs w:val="28"/>
        </w:rPr>
        <w:t>号）</w:t>
      </w:r>
    </w:p>
    <w:p>
      <w:pPr>
        <w:adjustRightInd w:val="0"/>
        <w:snapToGrid w:val="0"/>
        <w:spacing w:line="594" w:lineRule="exact"/>
        <w:ind w:firstLine="560" w:firstLineChars="200"/>
        <w:rPr>
          <w:rFonts w:ascii="Times New Roman" w:hAnsi="Times New Roman"/>
          <w:sz w:val="28"/>
          <w:szCs w:val="28"/>
        </w:rPr>
      </w:pPr>
      <w:r>
        <w:rPr>
          <w:rFonts w:hint="eastAsia" w:ascii="Times New Roman" w:hAnsi="Times New Roman"/>
          <w:sz w:val="28"/>
          <w:szCs w:val="28"/>
        </w:rPr>
        <w:t>（</w:t>
      </w:r>
      <w:r>
        <w:rPr>
          <w:rFonts w:ascii="Times New Roman" w:hAnsi="Times New Roman"/>
          <w:sz w:val="28"/>
          <w:szCs w:val="28"/>
        </w:rPr>
        <w:t>13</w:t>
      </w:r>
      <w:r>
        <w:rPr>
          <w:rFonts w:hint="eastAsia" w:ascii="Times New Roman" w:hAnsi="Times New Roman"/>
          <w:sz w:val="28"/>
          <w:szCs w:val="28"/>
        </w:rPr>
        <w:t>）《重庆市水利局办公室关于进一步加强节水型社会建设工作的通知》（渝水办资源〔</w:t>
      </w:r>
      <w:r>
        <w:rPr>
          <w:rFonts w:ascii="Times New Roman" w:hAnsi="Times New Roman"/>
          <w:sz w:val="28"/>
          <w:szCs w:val="28"/>
        </w:rPr>
        <w:t>2018</w:t>
      </w:r>
      <w:r>
        <w:rPr>
          <w:rFonts w:hint="eastAsia" w:ascii="Times New Roman" w:hAnsi="Times New Roman"/>
          <w:sz w:val="28"/>
          <w:szCs w:val="28"/>
        </w:rPr>
        <w:t>〕</w:t>
      </w:r>
      <w:r>
        <w:rPr>
          <w:rFonts w:ascii="Times New Roman" w:hAnsi="Times New Roman"/>
          <w:sz w:val="28"/>
          <w:szCs w:val="28"/>
        </w:rPr>
        <w:t xml:space="preserve">34 </w:t>
      </w:r>
      <w:r>
        <w:rPr>
          <w:rFonts w:hint="eastAsia" w:ascii="Times New Roman" w:hAnsi="Times New Roman"/>
          <w:sz w:val="28"/>
          <w:szCs w:val="28"/>
        </w:rPr>
        <w:t>号）</w:t>
      </w:r>
    </w:p>
    <w:p>
      <w:pPr>
        <w:adjustRightInd w:val="0"/>
        <w:snapToGrid w:val="0"/>
        <w:spacing w:line="594" w:lineRule="exact"/>
        <w:ind w:firstLine="560" w:firstLineChars="200"/>
        <w:rPr>
          <w:rFonts w:ascii="Times New Roman" w:hAnsi="Times New Roman"/>
          <w:sz w:val="28"/>
          <w:szCs w:val="28"/>
        </w:rPr>
      </w:pPr>
      <w:r>
        <w:rPr>
          <w:rFonts w:hint="eastAsia" w:ascii="Times New Roman" w:hAnsi="Times New Roman"/>
          <w:sz w:val="28"/>
          <w:szCs w:val="28"/>
        </w:rPr>
        <w:t>（</w:t>
      </w:r>
      <w:r>
        <w:rPr>
          <w:rFonts w:ascii="Times New Roman" w:hAnsi="Times New Roman"/>
          <w:sz w:val="28"/>
          <w:szCs w:val="28"/>
        </w:rPr>
        <w:t>14</w:t>
      </w:r>
      <w:r>
        <w:rPr>
          <w:rFonts w:hint="eastAsia" w:ascii="Times New Roman" w:hAnsi="Times New Roman"/>
          <w:sz w:val="28"/>
          <w:szCs w:val="28"/>
        </w:rPr>
        <w:t>）《重庆市物价局重庆市城市管理委员会重庆市经济和信息化委员会重庆市水利局关于印发〈重庆市建立健全城镇非居民用水超定额累进加价制度实施方案〉的通知》（渝价〔</w:t>
      </w:r>
      <w:r>
        <w:rPr>
          <w:rFonts w:ascii="Times New Roman" w:hAnsi="Times New Roman"/>
          <w:sz w:val="28"/>
          <w:szCs w:val="28"/>
        </w:rPr>
        <w:t>2018</w:t>
      </w:r>
      <w:r>
        <w:rPr>
          <w:rFonts w:hint="eastAsia" w:ascii="Times New Roman" w:hAnsi="Times New Roman"/>
          <w:sz w:val="28"/>
          <w:szCs w:val="28"/>
        </w:rPr>
        <w:t>〕</w:t>
      </w:r>
      <w:r>
        <w:rPr>
          <w:rFonts w:ascii="Times New Roman" w:hAnsi="Times New Roman"/>
          <w:sz w:val="28"/>
          <w:szCs w:val="28"/>
        </w:rPr>
        <w:t xml:space="preserve">117 </w:t>
      </w:r>
      <w:r>
        <w:rPr>
          <w:rFonts w:hint="eastAsia" w:ascii="Times New Roman" w:hAnsi="Times New Roman"/>
          <w:sz w:val="28"/>
          <w:szCs w:val="28"/>
        </w:rPr>
        <w:t>号）</w:t>
      </w:r>
    </w:p>
    <w:p>
      <w:pPr>
        <w:adjustRightInd w:val="0"/>
        <w:snapToGrid w:val="0"/>
        <w:spacing w:line="594" w:lineRule="exact"/>
        <w:ind w:firstLine="280" w:firstLineChars="100"/>
        <w:rPr>
          <w:rFonts w:ascii="Times New Roman" w:hAnsi="Times New Roman" w:eastAsia="黑体"/>
          <w:sz w:val="28"/>
          <w:szCs w:val="28"/>
        </w:rPr>
      </w:pPr>
      <w:bookmarkStart w:id="69" w:name="_Toc49947"/>
      <w:r>
        <w:rPr>
          <w:rFonts w:ascii="Times New Roman" w:hAnsi="Times New Roman" w:eastAsia="黑体"/>
          <w:sz w:val="28"/>
          <w:szCs w:val="28"/>
        </w:rPr>
        <w:t>3.2.2.3</w:t>
      </w:r>
      <w:bookmarkEnd w:id="69"/>
      <w:r>
        <w:rPr>
          <w:rFonts w:hint="eastAsia" w:ascii="Times New Roman" w:hAnsi="Times New Roman" w:eastAsia="黑体"/>
          <w:sz w:val="28"/>
          <w:szCs w:val="28"/>
        </w:rPr>
        <w:t>技术标准</w:t>
      </w:r>
    </w:p>
    <w:p>
      <w:pPr>
        <w:adjustRightInd w:val="0"/>
        <w:snapToGrid w:val="0"/>
        <w:spacing w:line="594" w:lineRule="exact"/>
        <w:ind w:firstLine="560" w:firstLineChars="200"/>
        <w:rPr>
          <w:rFonts w:ascii="Times New Roman" w:hAnsi="Times New Roman"/>
          <w:sz w:val="28"/>
          <w:szCs w:val="28"/>
        </w:rPr>
      </w:pPr>
      <w:r>
        <w:rPr>
          <w:rFonts w:hint="eastAsia" w:ascii="Times New Roman" w:hAnsi="Times New Roman"/>
          <w:sz w:val="28"/>
          <w:szCs w:val="28"/>
        </w:rPr>
        <w:t>（</w:t>
      </w:r>
      <w:r>
        <w:rPr>
          <w:rFonts w:ascii="Times New Roman" w:hAnsi="Times New Roman"/>
          <w:sz w:val="28"/>
          <w:szCs w:val="28"/>
        </w:rPr>
        <w:t>1</w:t>
      </w:r>
      <w:r>
        <w:rPr>
          <w:rFonts w:hint="eastAsia" w:ascii="Times New Roman" w:hAnsi="Times New Roman"/>
          <w:sz w:val="28"/>
          <w:szCs w:val="28"/>
        </w:rPr>
        <w:t>）《节水型社区评价导则》（</w:t>
      </w:r>
      <w:r>
        <w:rPr>
          <w:rFonts w:ascii="Times New Roman" w:hAnsi="Times New Roman"/>
          <w:sz w:val="28"/>
          <w:szCs w:val="28"/>
        </w:rPr>
        <w:t>GB/T2692-2011</w:t>
      </w:r>
      <w:r>
        <w:rPr>
          <w:rFonts w:hint="eastAsia" w:ascii="Times New Roman" w:hAnsi="Times New Roman"/>
          <w:sz w:val="28"/>
          <w:szCs w:val="28"/>
        </w:rPr>
        <w:t>）</w:t>
      </w:r>
    </w:p>
    <w:p>
      <w:pPr>
        <w:adjustRightInd w:val="0"/>
        <w:snapToGrid w:val="0"/>
        <w:spacing w:line="594" w:lineRule="exact"/>
        <w:ind w:firstLine="560" w:firstLineChars="200"/>
        <w:rPr>
          <w:rFonts w:ascii="Times New Roman" w:hAnsi="Times New Roman"/>
          <w:sz w:val="28"/>
          <w:szCs w:val="28"/>
        </w:rPr>
      </w:pPr>
      <w:r>
        <w:rPr>
          <w:rFonts w:hint="eastAsia" w:ascii="Times New Roman" w:hAnsi="Times New Roman"/>
          <w:sz w:val="28"/>
          <w:szCs w:val="28"/>
        </w:rPr>
        <w:t>（</w:t>
      </w:r>
      <w:r>
        <w:rPr>
          <w:rFonts w:ascii="Times New Roman" w:hAnsi="Times New Roman"/>
          <w:sz w:val="28"/>
          <w:szCs w:val="28"/>
        </w:rPr>
        <w:t>2</w:t>
      </w:r>
      <w:r>
        <w:rPr>
          <w:rFonts w:hint="eastAsia" w:ascii="Times New Roman" w:hAnsi="Times New Roman"/>
          <w:sz w:val="28"/>
          <w:szCs w:val="28"/>
        </w:rPr>
        <w:t>）《节水型企业评价导则》（</w:t>
      </w:r>
      <w:r>
        <w:rPr>
          <w:rFonts w:ascii="Times New Roman" w:hAnsi="Times New Roman"/>
          <w:sz w:val="28"/>
          <w:szCs w:val="28"/>
        </w:rPr>
        <w:t>GB/T7119-2006</w:t>
      </w:r>
      <w:r>
        <w:rPr>
          <w:rFonts w:hint="eastAsia" w:ascii="Times New Roman" w:hAnsi="Times New Roman"/>
          <w:sz w:val="28"/>
          <w:szCs w:val="28"/>
        </w:rPr>
        <w:t>）</w:t>
      </w:r>
    </w:p>
    <w:p>
      <w:pPr>
        <w:adjustRightInd w:val="0"/>
        <w:snapToGrid w:val="0"/>
        <w:spacing w:line="594" w:lineRule="exact"/>
        <w:ind w:firstLine="560" w:firstLineChars="200"/>
        <w:rPr>
          <w:rFonts w:ascii="Times New Roman" w:hAnsi="Times New Roman"/>
          <w:sz w:val="28"/>
          <w:szCs w:val="28"/>
        </w:rPr>
      </w:pPr>
      <w:r>
        <w:rPr>
          <w:rFonts w:hint="eastAsia" w:ascii="Times New Roman" w:hAnsi="Times New Roman"/>
          <w:sz w:val="28"/>
          <w:szCs w:val="28"/>
        </w:rPr>
        <w:t>（</w:t>
      </w:r>
      <w:r>
        <w:rPr>
          <w:rFonts w:ascii="Times New Roman" w:hAnsi="Times New Roman"/>
          <w:sz w:val="28"/>
          <w:szCs w:val="28"/>
        </w:rPr>
        <w:t>3</w:t>
      </w:r>
      <w:r>
        <w:rPr>
          <w:rFonts w:hint="eastAsia" w:ascii="Times New Roman" w:hAnsi="Times New Roman"/>
          <w:sz w:val="28"/>
          <w:szCs w:val="28"/>
        </w:rPr>
        <w:t>）《服务业节水型单位评价导则》（</w:t>
      </w:r>
      <w:r>
        <w:rPr>
          <w:rFonts w:ascii="Times New Roman" w:hAnsi="Times New Roman"/>
          <w:sz w:val="28"/>
          <w:szCs w:val="28"/>
        </w:rPr>
        <w:t>GB/T26922-2011</w:t>
      </w:r>
      <w:r>
        <w:rPr>
          <w:rFonts w:hint="eastAsia" w:ascii="Times New Roman" w:hAnsi="Times New Roman"/>
          <w:sz w:val="28"/>
          <w:szCs w:val="28"/>
        </w:rPr>
        <w:t>）</w:t>
      </w:r>
    </w:p>
    <w:p>
      <w:pPr>
        <w:adjustRightInd w:val="0"/>
        <w:snapToGrid w:val="0"/>
        <w:spacing w:line="594" w:lineRule="exact"/>
        <w:ind w:firstLine="560" w:firstLineChars="200"/>
        <w:rPr>
          <w:rFonts w:ascii="Times New Roman" w:hAnsi="Times New Roman"/>
          <w:sz w:val="28"/>
          <w:szCs w:val="28"/>
        </w:rPr>
      </w:pPr>
      <w:r>
        <w:rPr>
          <w:rFonts w:hint="eastAsia" w:ascii="Times New Roman" w:hAnsi="Times New Roman"/>
          <w:sz w:val="28"/>
          <w:szCs w:val="28"/>
        </w:rPr>
        <w:t>（</w:t>
      </w:r>
      <w:r>
        <w:rPr>
          <w:rFonts w:ascii="Times New Roman" w:hAnsi="Times New Roman"/>
          <w:sz w:val="28"/>
          <w:szCs w:val="28"/>
        </w:rPr>
        <w:t>4</w:t>
      </w:r>
      <w:r>
        <w:rPr>
          <w:rFonts w:hint="eastAsia" w:ascii="Times New Roman" w:hAnsi="Times New Roman"/>
          <w:sz w:val="28"/>
          <w:szCs w:val="28"/>
        </w:rPr>
        <w:t>）《节水型产品通用技术条件》（</w:t>
      </w:r>
      <w:r>
        <w:rPr>
          <w:rFonts w:ascii="Times New Roman" w:hAnsi="Times New Roman"/>
          <w:sz w:val="28"/>
          <w:szCs w:val="28"/>
        </w:rPr>
        <w:t>GB/T18870-2016</w:t>
      </w:r>
      <w:r>
        <w:rPr>
          <w:rFonts w:hint="eastAsia" w:ascii="Times New Roman" w:hAnsi="Times New Roman"/>
          <w:sz w:val="28"/>
          <w:szCs w:val="28"/>
        </w:rPr>
        <w:t>）</w:t>
      </w:r>
    </w:p>
    <w:p>
      <w:pPr>
        <w:adjustRightInd w:val="0"/>
        <w:snapToGrid w:val="0"/>
        <w:spacing w:line="594" w:lineRule="exact"/>
        <w:ind w:firstLine="560" w:firstLineChars="200"/>
        <w:rPr>
          <w:rFonts w:ascii="Times New Roman" w:hAnsi="Times New Roman"/>
          <w:sz w:val="28"/>
          <w:szCs w:val="28"/>
        </w:rPr>
      </w:pPr>
      <w:r>
        <w:rPr>
          <w:rFonts w:hint="eastAsia" w:ascii="Times New Roman" w:hAnsi="Times New Roman"/>
          <w:sz w:val="28"/>
          <w:szCs w:val="28"/>
        </w:rPr>
        <w:t>（</w:t>
      </w:r>
      <w:r>
        <w:rPr>
          <w:rFonts w:ascii="Times New Roman" w:hAnsi="Times New Roman"/>
          <w:sz w:val="28"/>
          <w:szCs w:val="28"/>
        </w:rPr>
        <w:t>5</w:t>
      </w:r>
      <w:r>
        <w:rPr>
          <w:rFonts w:hint="eastAsia" w:ascii="Times New Roman" w:hAnsi="Times New Roman"/>
          <w:sz w:val="28"/>
          <w:szCs w:val="28"/>
        </w:rPr>
        <w:t>）《节水型生活用水器具》（</w:t>
      </w:r>
      <w:r>
        <w:rPr>
          <w:rFonts w:ascii="Times New Roman" w:hAnsi="Times New Roman"/>
          <w:sz w:val="28"/>
          <w:szCs w:val="28"/>
        </w:rPr>
        <w:t>CJ/T 164-2014</w:t>
      </w:r>
      <w:r>
        <w:rPr>
          <w:rFonts w:hint="eastAsia" w:ascii="Times New Roman" w:hAnsi="Times New Roman"/>
          <w:sz w:val="28"/>
          <w:szCs w:val="28"/>
        </w:rPr>
        <w:t>）</w:t>
      </w:r>
    </w:p>
    <w:p>
      <w:pPr>
        <w:adjustRightInd w:val="0"/>
        <w:snapToGrid w:val="0"/>
        <w:spacing w:line="594" w:lineRule="exact"/>
        <w:ind w:firstLine="560" w:firstLineChars="200"/>
        <w:rPr>
          <w:rFonts w:ascii="Times New Roman" w:hAnsi="Times New Roman"/>
          <w:sz w:val="28"/>
          <w:szCs w:val="28"/>
        </w:rPr>
      </w:pPr>
      <w:r>
        <w:rPr>
          <w:rFonts w:hint="eastAsia" w:ascii="Times New Roman" w:hAnsi="Times New Roman"/>
          <w:sz w:val="28"/>
          <w:szCs w:val="28"/>
        </w:rPr>
        <w:t>（</w:t>
      </w:r>
      <w:r>
        <w:rPr>
          <w:rFonts w:ascii="Times New Roman" w:hAnsi="Times New Roman"/>
          <w:sz w:val="28"/>
          <w:szCs w:val="28"/>
        </w:rPr>
        <w:t>6</w:t>
      </w:r>
      <w:r>
        <w:rPr>
          <w:rFonts w:hint="eastAsia" w:ascii="Times New Roman" w:hAnsi="Times New Roman"/>
          <w:sz w:val="28"/>
          <w:szCs w:val="28"/>
        </w:rPr>
        <w:t>）《城市节水评价标准》（</w:t>
      </w:r>
      <w:r>
        <w:rPr>
          <w:rFonts w:ascii="Times New Roman" w:hAnsi="Times New Roman"/>
          <w:sz w:val="28"/>
          <w:szCs w:val="28"/>
        </w:rPr>
        <w:t>GB/T51083-2015</w:t>
      </w:r>
      <w:r>
        <w:rPr>
          <w:rFonts w:hint="eastAsia" w:ascii="Times New Roman" w:hAnsi="Times New Roman"/>
          <w:sz w:val="28"/>
          <w:szCs w:val="28"/>
        </w:rPr>
        <w:t>）</w:t>
      </w:r>
    </w:p>
    <w:p>
      <w:pPr>
        <w:adjustRightInd w:val="0"/>
        <w:snapToGrid w:val="0"/>
        <w:spacing w:line="594" w:lineRule="exact"/>
        <w:ind w:firstLine="560" w:firstLineChars="200"/>
        <w:rPr>
          <w:rFonts w:ascii="Times New Roman" w:hAnsi="Times New Roman"/>
          <w:sz w:val="28"/>
          <w:szCs w:val="28"/>
        </w:rPr>
      </w:pPr>
      <w:r>
        <w:rPr>
          <w:rFonts w:hint="eastAsia" w:ascii="Times New Roman" w:hAnsi="Times New Roman"/>
          <w:sz w:val="28"/>
          <w:szCs w:val="28"/>
        </w:rPr>
        <w:t>（</w:t>
      </w:r>
      <w:r>
        <w:rPr>
          <w:rFonts w:ascii="Times New Roman" w:hAnsi="Times New Roman"/>
          <w:sz w:val="28"/>
          <w:szCs w:val="28"/>
        </w:rPr>
        <w:t>7</w:t>
      </w:r>
      <w:r>
        <w:rPr>
          <w:rFonts w:hint="eastAsia" w:ascii="Times New Roman" w:hAnsi="Times New Roman"/>
          <w:sz w:val="28"/>
          <w:szCs w:val="28"/>
        </w:rPr>
        <w:t>）《城镇供水管网漏损控制及评定标准》（</w:t>
      </w:r>
      <w:r>
        <w:rPr>
          <w:rFonts w:ascii="Times New Roman" w:hAnsi="Times New Roman"/>
          <w:sz w:val="28"/>
          <w:szCs w:val="28"/>
        </w:rPr>
        <w:t>CJJ 92-2016</w:t>
      </w:r>
      <w:r>
        <w:rPr>
          <w:rFonts w:hint="eastAsia" w:ascii="Times New Roman" w:hAnsi="Times New Roman"/>
          <w:sz w:val="28"/>
          <w:szCs w:val="28"/>
        </w:rPr>
        <w:t>）</w:t>
      </w:r>
    </w:p>
    <w:p>
      <w:pPr>
        <w:adjustRightInd w:val="0"/>
        <w:snapToGrid w:val="0"/>
        <w:spacing w:line="594" w:lineRule="exact"/>
        <w:ind w:firstLine="560" w:firstLineChars="200"/>
        <w:rPr>
          <w:rFonts w:ascii="Times New Roman" w:hAnsi="Times New Roman"/>
          <w:sz w:val="28"/>
          <w:szCs w:val="28"/>
        </w:rPr>
      </w:pPr>
      <w:r>
        <w:rPr>
          <w:rFonts w:hint="eastAsia" w:ascii="Times New Roman" w:hAnsi="Times New Roman"/>
          <w:sz w:val="28"/>
          <w:szCs w:val="28"/>
        </w:rPr>
        <w:t>（</w:t>
      </w:r>
      <w:r>
        <w:rPr>
          <w:rFonts w:ascii="Times New Roman" w:hAnsi="Times New Roman"/>
          <w:sz w:val="28"/>
          <w:szCs w:val="28"/>
        </w:rPr>
        <w:t>8</w:t>
      </w:r>
      <w:r>
        <w:rPr>
          <w:rFonts w:hint="eastAsia" w:ascii="Times New Roman" w:hAnsi="Times New Roman"/>
          <w:sz w:val="28"/>
          <w:szCs w:val="28"/>
        </w:rPr>
        <w:t>）《建筑中水设计标准》（</w:t>
      </w:r>
      <w:r>
        <w:rPr>
          <w:rFonts w:ascii="Times New Roman" w:hAnsi="Times New Roman"/>
          <w:sz w:val="28"/>
          <w:szCs w:val="28"/>
        </w:rPr>
        <w:t>GB 50336-2018</w:t>
      </w:r>
      <w:r>
        <w:rPr>
          <w:rFonts w:hint="eastAsia" w:ascii="Times New Roman" w:hAnsi="Times New Roman"/>
          <w:sz w:val="28"/>
          <w:szCs w:val="28"/>
        </w:rPr>
        <w:t>）</w:t>
      </w:r>
    </w:p>
    <w:p>
      <w:pPr>
        <w:adjustRightInd w:val="0"/>
        <w:snapToGrid w:val="0"/>
        <w:spacing w:line="594" w:lineRule="exact"/>
        <w:ind w:firstLine="560" w:firstLineChars="200"/>
        <w:rPr>
          <w:rFonts w:ascii="Times New Roman" w:hAnsi="Times New Roman"/>
          <w:sz w:val="28"/>
          <w:szCs w:val="28"/>
        </w:rPr>
      </w:pPr>
      <w:r>
        <w:rPr>
          <w:rFonts w:hint="eastAsia" w:ascii="Times New Roman" w:hAnsi="Times New Roman"/>
          <w:sz w:val="28"/>
          <w:szCs w:val="28"/>
        </w:rPr>
        <w:t>（</w:t>
      </w:r>
      <w:r>
        <w:rPr>
          <w:rFonts w:ascii="Times New Roman" w:hAnsi="Times New Roman"/>
          <w:sz w:val="28"/>
          <w:szCs w:val="28"/>
        </w:rPr>
        <w:t>9</w:t>
      </w:r>
      <w:r>
        <w:rPr>
          <w:rFonts w:hint="eastAsia" w:ascii="Times New Roman" w:hAnsi="Times New Roman"/>
          <w:sz w:val="28"/>
          <w:szCs w:val="28"/>
        </w:rPr>
        <w:t>）《建筑与小区雨水控制及利用工程技术规范》（</w:t>
      </w:r>
      <w:r>
        <w:rPr>
          <w:rFonts w:ascii="Times New Roman" w:hAnsi="Times New Roman"/>
          <w:sz w:val="28"/>
          <w:szCs w:val="28"/>
        </w:rPr>
        <w:t>GB 504-2018</w:t>
      </w:r>
      <w:r>
        <w:rPr>
          <w:rFonts w:hint="eastAsia" w:ascii="Times New Roman" w:hAnsi="Times New Roman"/>
          <w:sz w:val="28"/>
          <w:szCs w:val="28"/>
        </w:rPr>
        <w:t>）</w:t>
      </w:r>
    </w:p>
    <w:p>
      <w:pPr>
        <w:adjustRightInd w:val="0"/>
        <w:snapToGrid w:val="0"/>
        <w:spacing w:line="594" w:lineRule="exact"/>
        <w:ind w:firstLine="560" w:firstLineChars="200"/>
        <w:rPr>
          <w:rFonts w:ascii="Times New Roman" w:hAnsi="Times New Roman"/>
          <w:sz w:val="28"/>
          <w:szCs w:val="28"/>
        </w:rPr>
      </w:pPr>
      <w:r>
        <w:rPr>
          <w:rFonts w:hint="eastAsia" w:ascii="Times New Roman" w:hAnsi="Times New Roman"/>
          <w:sz w:val="28"/>
          <w:szCs w:val="28"/>
        </w:rPr>
        <w:t>（</w:t>
      </w:r>
      <w:r>
        <w:rPr>
          <w:rFonts w:ascii="Times New Roman" w:hAnsi="Times New Roman"/>
          <w:sz w:val="28"/>
          <w:szCs w:val="28"/>
        </w:rPr>
        <w:t>10</w:t>
      </w:r>
      <w:r>
        <w:rPr>
          <w:rFonts w:hint="eastAsia" w:ascii="Times New Roman" w:hAnsi="Times New Roman"/>
          <w:sz w:val="28"/>
          <w:szCs w:val="28"/>
        </w:rPr>
        <w:t>）《重庆市灌溉用水定额（</w:t>
      </w:r>
      <w:r>
        <w:rPr>
          <w:rFonts w:ascii="Times New Roman" w:hAnsi="Times New Roman"/>
          <w:sz w:val="28"/>
          <w:szCs w:val="28"/>
        </w:rPr>
        <w:t xml:space="preserve">2017 </w:t>
      </w:r>
      <w:r>
        <w:rPr>
          <w:rFonts w:hint="eastAsia" w:ascii="Times New Roman" w:hAnsi="Times New Roman"/>
          <w:sz w:val="28"/>
          <w:szCs w:val="28"/>
        </w:rPr>
        <w:t>年修订版）》</w:t>
      </w:r>
    </w:p>
    <w:p>
      <w:pPr>
        <w:adjustRightInd w:val="0"/>
        <w:snapToGrid w:val="0"/>
        <w:spacing w:line="594" w:lineRule="exact"/>
        <w:ind w:firstLine="560" w:firstLineChars="200"/>
        <w:rPr>
          <w:rFonts w:ascii="Times New Roman" w:hAnsi="Times New Roman"/>
          <w:sz w:val="28"/>
          <w:szCs w:val="28"/>
        </w:rPr>
      </w:pPr>
      <w:r>
        <w:rPr>
          <w:rFonts w:hint="eastAsia" w:ascii="Times New Roman" w:hAnsi="Times New Roman"/>
          <w:sz w:val="28"/>
          <w:szCs w:val="28"/>
        </w:rPr>
        <w:t>（</w:t>
      </w:r>
      <w:r>
        <w:rPr>
          <w:rFonts w:ascii="Times New Roman" w:hAnsi="Times New Roman"/>
          <w:sz w:val="28"/>
          <w:szCs w:val="28"/>
        </w:rPr>
        <w:t>11</w:t>
      </w:r>
      <w:r>
        <w:rPr>
          <w:rFonts w:hint="eastAsia" w:ascii="Times New Roman" w:hAnsi="Times New Roman"/>
          <w:sz w:val="28"/>
          <w:szCs w:val="28"/>
        </w:rPr>
        <w:t>）《重庆市第二三产业用水定额（</w:t>
      </w:r>
      <w:r>
        <w:rPr>
          <w:rFonts w:ascii="Times New Roman" w:hAnsi="Times New Roman"/>
          <w:sz w:val="28"/>
          <w:szCs w:val="28"/>
        </w:rPr>
        <w:t>2020</w:t>
      </w:r>
      <w:r>
        <w:rPr>
          <w:rFonts w:hint="eastAsia" w:ascii="Times New Roman" w:hAnsi="Times New Roman"/>
          <w:sz w:val="28"/>
          <w:szCs w:val="28"/>
        </w:rPr>
        <w:t>年版）》</w:t>
      </w:r>
    </w:p>
    <w:p>
      <w:pPr>
        <w:adjustRightInd w:val="0"/>
        <w:snapToGrid w:val="0"/>
        <w:spacing w:line="594" w:lineRule="exact"/>
        <w:ind w:firstLine="280" w:firstLineChars="100"/>
        <w:rPr>
          <w:rFonts w:ascii="Times New Roman" w:hAnsi="Times New Roman" w:eastAsia="黑体"/>
          <w:sz w:val="28"/>
          <w:szCs w:val="28"/>
        </w:rPr>
      </w:pPr>
      <w:bookmarkStart w:id="70" w:name="_Toc49948"/>
      <w:r>
        <w:rPr>
          <w:rFonts w:ascii="Times New Roman" w:hAnsi="Times New Roman" w:eastAsia="黑体"/>
          <w:sz w:val="28"/>
          <w:szCs w:val="28"/>
        </w:rPr>
        <w:t xml:space="preserve">3.2.2.4 </w:t>
      </w:r>
      <w:r>
        <w:rPr>
          <w:rFonts w:hint="eastAsia" w:ascii="Times New Roman" w:hAnsi="Times New Roman" w:eastAsia="黑体"/>
          <w:sz w:val="28"/>
          <w:szCs w:val="28"/>
        </w:rPr>
        <w:t>技术文件及其他</w:t>
      </w:r>
      <w:bookmarkEnd w:id="70"/>
    </w:p>
    <w:p>
      <w:pPr>
        <w:adjustRightInd w:val="0"/>
        <w:snapToGrid w:val="0"/>
        <w:spacing w:line="594" w:lineRule="exact"/>
        <w:ind w:firstLine="560" w:firstLineChars="200"/>
        <w:rPr>
          <w:rFonts w:ascii="Times New Roman" w:hAnsi="Times New Roman"/>
          <w:sz w:val="28"/>
          <w:szCs w:val="28"/>
        </w:rPr>
      </w:pPr>
      <w:r>
        <w:rPr>
          <w:rFonts w:hint="eastAsia" w:ascii="Times New Roman" w:hAnsi="Times New Roman"/>
          <w:sz w:val="28"/>
          <w:szCs w:val="28"/>
        </w:rPr>
        <w:t>（</w:t>
      </w:r>
      <w:r>
        <w:rPr>
          <w:rFonts w:ascii="Times New Roman" w:hAnsi="Times New Roman"/>
          <w:sz w:val="28"/>
          <w:szCs w:val="28"/>
        </w:rPr>
        <w:t>1</w:t>
      </w:r>
      <w:r>
        <w:rPr>
          <w:rFonts w:hint="eastAsia" w:ascii="Times New Roman" w:hAnsi="Times New Roman"/>
          <w:sz w:val="28"/>
          <w:szCs w:val="28"/>
        </w:rPr>
        <w:t>）《重庆市水利局关于印发重庆市“十四五”节约用水规划工作方案和编制技术大纲的通知》（渝水节水〔</w:t>
      </w:r>
      <w:r>
        <w:rPr>
          <w:rFonts w:ascii="Times New Roman" w:hAnsi="Times New Roman"/>
          <w:sz w:val="28"/>
          <w:szCs w:val="28"/>
        </w:rPr>
        <w:t>2020</w:t>
      </w:r>
      <w:r>
        <w:rPr>
          <w:rFonts w:hint="eastAsia" w:ascii="Times New Roman" w:hAnsi="Times New Roman"/>
          <w:sz w:val="28"/>
          <w:szCs w:val="28"/>
        </w:rPr>
        <w:t>〕</w:t>
      </w:r>
      <w:r>
        <w:rPr>
          <w:rFonts w:ascii="Times New Roman" w:hAnsi="Times New Roman"/>
          <w:sz w:val="28"/>
          <w:szCs w:val="28"/>
        </w:rPr>
        <w:t xml:space="preserve">3 </w:t>
      </w:r>
      <w:r>
        <w:rPr>
          <w:rFonts w:hint="eastAsia" w:ascii="Times New Roman" w:hAnsi="Times New Roman"/>
          <w:sz w:val="28"/>
          <w:szCs w:val="28"/>
        </w:rPr>
        <w:t>号）</w:t>
      </w:r>
    </w:p>
    <w:p>
      <w:pPr>
        <w:adjustRightInd w:val="0"/>
        <w:snapToGrid w:val="0"/>
        <w:spacing w:line="594" w:lineRule="exact"/>
        <w:ind w:firstLine="560" w:firstLineChars="200"/>
        <w:rPr>
          <w:rFonts w:ascii="Times New Roman" w:hAnsi="Times New Roman"/>
          <w:sz w:val="28"/>
          <w:szCs w:val="24"/>
        </w:rPr>
      </w:pPr>
      <w:r>
        <w:rPr>
          <w:rFonts w:hint="eastAsia" w:ascii="Times New Roman" w:hAnsi="Times New Roman"/>
          <w:sz w:val="28"/>
          <w:szCs w:val="24"/>
        </w:rPr>
        <w:t>（</w:t>
      </w:r>
      <w:r>
        <w:rPr>
          <w:rFonts w:ascii="Times New Roman" w:hAnsi="Times New Roman"/>
          <w:sz w:val="28"/>
          <w:szCs w:val="24"/>
        </w:rPr>
        <w:t>2</w:t>
      </w:r>
      <w:r>
        <w:rPr>
          <w:rFonts w:hint="eastAsia" w:ascii="Times New Roman" w:hAnsi="Times New Roman"/>
          <w:sz w:val="28"/>
          <w:szCs w:val="24"/>
        </w:rPr>
        <w:t>）《重庆市水资源公报》（</w:t>
      </w:r>
      <w:r>
        <w:rPr>
          <w:rFonts w:ascii="Times New Roman" w:hAnsi="Times New Roman"/>
          <w:sz w:val="28"/>
          <w:szCs w:val="24"/>
        </w:rPr>
        <w:t>2016-2020</w:t>
      </w:r>
      <w:r>
        <w:rPr>
          <w:rFonts w:hint="eastAsia" w:ascii="Times New Roman" w:hAnsi="Times New Roman"/>
          <w:sz w:val="28"/>
          <w:szCs w:val="24"/>
        </w:rPr>
        <w:t>年）</w:t>
      </w:r>
    </w:p>
    <w:p>
      <w:pPr>
        <w:adjustRightInd w:val="0"/>
        <w:snapToGrid w:val="0"/>
        <w:spacing w:line="594" w:lineRule="exact"/>
        <w:ind w:firstLine="560" w:firstLineChars="200"/>
        <w:rPr>
          <w:rFonts w:ascii="Times New Roman" w:hAnsi="Times New Roman"/>
          <w:sz w:val="28"/>
          <w:szCs w:val="24"/>
        </w:rPr>
      </w:pPr>
      <w:r>
        <w:rPr>
          <w:rFonts w:hint="eastAsia" w:ascii="Times New Roman" w:hAnsi="Times New Roman"/>
          <w:sz w:val="28"/>
          <w:szCs w:val="24"/>
        </w:rPr>
        <w:t>（</w:t>
      </w:r>
      <w:r>
        <w:rPr>
          <w:rFonts w:ascii="Times New Roman" w:hAnsi="Times New Roman"/>
          <w:sz w:val="28"/>
          <w:szCs w:val="24"/>
        </w:rPr>
        <w:t>3</w:t>
      </w:r>
      <w:r>
        <w:rPr>
          <w:rFonts w:hint="eastAsia" w:ascii="Times New Roman" w:hAnsi="Times New Roman"/>
          <w:sz w:val="28"/>
          <w:szCs w:val="24"/>
        </w:rPr>
        <w:t>）《重庆市渝北区人民政府办公室关于印发</w:t>
      </w:r>
      <w:r>
        <w:rPr>
          <w:rFonts w:ascii="Times New Roman" w:hAnsi="Times New Roman"/>
          <w:sz w:val="28"/>
          <w:szCs w:val="24"/>
        </w:rPr>
        <w:t>&lt;</w:t>
      </w:r>
      <w:r>
        <w:rPr>
          <w:rFonts w:hint="eastAsia" w:ascii="Times New Roman" w:hAnsi="Times New Roman"/>
          <w:sz w:val="28"/>
          <w:szCs w:val="24"/>
        </w:rPr>
        <w:t>重庆市渝北区节水行动实施方案</w:t>
      </w:r>
      <w:r>
        <w:rPr>
          <w:rFonts w:ascii="Times New Roman" w:hAnsi="Times New Roman"/>
          <w:sz w:val="28"/>
          <w:szCs w:val="24"/>
        </w:rPr>
        <w:t>&gt;</w:t>
      </w:r>
      <w:r>
        <w:rPr>
          <w:rFonts w:hint="eastAsia" w:ascii="Times New Roman" w:hAnsi="Times New Roman"/>
          <w:sz w:val="28"/>
          <w:szCs w:val="24"/>
        </w:rPr>
        <w:t>的通知》</w:t>
      </w:r>
    </w:p>
    <w:p>
      <w:pPr>
        <w:adjustRightInd w:val="0"/>
        <w:snapToGrid w:val="0"/>
        <w:spacing w:line="594" w:lineRule="exact"/>
        <w:ind w:firstLine="560" w:firstLineChars="200"/>
        <w:rPr>
          <w:rFonts w:ascii="Times New Roman" w:hAnsi="Times New Roman"/>
          <w:sz w:val="28"/>
          <w:szCs w:val="24"/>
        </w:rPr>
      </w:pPr>
      <w:r>
        <w:rPr>
          <w:rFonts w:hint="eastAsia" w:ascii="Times New Roman" w:hAnsi="Times New Roman"/>
          <w:sz w:val="28"/>
          <w:szCs w:val="24"/>
        </w:rPr>
        <w:t>（</w:t>
      </w:r>
      <w:r>
        <w:rPr>
          <w:rFonts w:ascii="Times New Roman" w:hAnsi="Times New Roman"/>
          <w:sz w:val="28"/>
          <w:szCs w:val="24"/>
        </w:rPr>
        <w:t>4</w:t>
      </w:r>
      <w:r>
        <w:rPr>
          <w:rFonts w:hint="eastAsia" w:ascii="Times New Roman" w:hAnsi="Times New Roman"/>
          <w:sz w:val="28"/>
          <w:szCs w:val="24"/>
        </w:rPr>
        <w:t>）《重庆市渝北区节水型社会建设规划报告（</w:t>
      </w:r>
      <w:r>
        <w:rPr>
          <w:rFonts w:ascii="Times New Roman" w:hAnsi="Times New Roman"/>
          <w:sz w:val="28"/>
          <w:szCs w:val="24"/>
        </w:rPr>
        <w:t>2016-2020</w:t>
      </w:r>
      <w:r>
        <w:rPr>
          <w:rFonts w:hint="eastAsia" w:ascii="Times New Roman" w:hAnsi="Times New Roman"/>
          <w:sz w:val="28"/>
          <w:szCs w:val="24"/>
        </w:rPr>
        <w:t>年）》</w:t>
      </w:r>
    </w:p>
    <w:p>
      <w:pPr>
        <w:adjustRightInd w:val="0"/>
        <w:snapToGrid w:val="0"/>
        <w:spacing w:line="594" w:lineRule="exact"/>
        <w:ind w:firstLine="560" w:firstLineChars="200"/>
        <w:rPr>
          <w:rFonts w:ascii="Times New Roman" w:hAnsi="Times New Roman"/>
          <w:sz w:val="28"/>
          <w:szCs w:val="24"/>
        </w:rPr>
      </w:pPr>
      <w:r>
        <w:rPr>
          <w:rFonts w:hint="eastAsia" w:ascii="Times New Roman" w:hAnsi="Times New Roman"/>
          <w:sz w:val="28"/>
          <w:szCs w:val="24"/>
        </w:rPr>
        <w:t>（</w:t>
      </w:r>
      <w:r>
        <w:rPr>
          <w:rFonts w:ascii="Times New Roman" w:hAnsi="Times New Roman"/>
          <w:sz w:val="28"/>
          <w:szCs w:val="24"/>
        </w:rPr>
        <w:t>5</w:t>
      </w:r>
      <w:r>
        <w:rPr>
          <w:rFonts w:hint="eastAsia" w:ascii="Times New Roman" w:hAnsi="Times New Roman"/>
          <w:sz w:val="28"/>
          <w:szCs w:val="24"/>
        </w:rPr>
        <w:t>）《重庆渝北区乡村振兴战略“十四五”规划》（征求意见稿）</w:t>
      </w:r>
    </w:p>
    <w:p>
      <w:pPr>
        <w:adjustRightInd w:val="0"/>
        <w:snapToGrid w:val="0"/>
        <w:spacing w:line="594" w:lineRule="exact"/>
        <w:ind w:firstLine="560" w:firstLineChars="200"/>
        <w:rPr>
          <w:rFonts w:ascii="Times New Roman" w:hAnsi="Times New Roman"/>
          <w:sz w:val="28"/>
          <w:szCs w:val="24"/>
        </w:rPr>
      </w:pPr>
      <w:r>
        <w:rPr>
          <w:rFonts w:hint="eastAsia" w:ascii="Times New Roman" w:hAnsi="Times New Roman"/>
          <w:sz w:val="28"/>
          <w:szCs w:val="24"/>
        </w:rPr>
        <w:t>（</w:t>
      </w:r>
      <w:r>
        <w:rPr>
          <w:rFonts w:ascii="Times New Roman" w:hAnsi="Times New Roman"/>
          <w:sz w:val="28"/>
          <w:szCs w:val="24"/>
        </w:rPr>
        <w:t>6</w:t>
      </w:r>
      <w:r>
        <w:rPr>
          <w:rFonts w:hint="eastAsia" w:ascii="Times New Roman" w:hAnsi="Times New Roman"/>
          <w:sz w:val="28"/>
          <w:szCs w:val="24"/>
        </w:rPr>
        <w:t>）《重庆市渝北区“十四五”水安全保障规划报告》（征求意见稿）</w:t>
      </w:r>
    </w:p>
    <w:p>
      <w:pPr>
        <w:adjustRightInd w:val="0"/>
        <w:snapToGrid w:val="0"/>
        <w:spacing w:line="594" w:lineRule="exact"/>
        <w:ind w:firstLine="560" w:firstLineChars="200"/>
        <w:rPr>
          <w:rFonts w:ascii="Times New Roman" w:hAnsi="Times New Roman"/>
          <w:sz w:val="28"/>
          <w:szCs w:val="24"/>
        </w:rPr>
      </w:pPr>
      <w:r>
        <w:rPr>
          <w:rFonts w:hint="eastAsia" w:ascii="Times New Roman" w:hAnsi="Times New Roman"/>
          <w:sz w:val="28"/>
          <w:szCs w:val="24"/>
        </w:rPr>
        <w:t>（</w:t>
      </w:r>
      <w:r>
        <w:rPr>
          <w:rFonts w:ascii="Times New Roman" w:hAnsi="Times New Roman"/>
          <w:sz w:val="28"/>
          <w:szCs w:val="24"/>
        </w:rPr>
        <w:t>7</w:t>
      </w:r>
      <w:r>
        <w:rPr>
          <w:rFonts w:hint="eastAsia" w:ascii="Times New Roman" w:hAnsi="Times New Roman"/>
          <w:sz w:val="28"/>
          <w:szCs w:val="24"/>
        </w:rPr>
        <w:t>）《渝北区“十四五”城市基础设施专项规划》（征求意见稿）</w:t>
      </w:r>
    </w:p>
    <w:p>
      <w:pPr>
        <w:adjustRightInd w:val="0"/>
        <w:snapToGrid w:val="0"/>
        <w:spacing w:line="594" w:lineRule="exact"/>
        <w:ind w:firstLine="560" w:firstLineChars="200"/>
        <w:rPr>
          <w:rFonts w:ascii="Times New Roman" w:hAnsi="Times New Roman"/>
          <w:sz w:val="28"/>
          <w:szCs w:val="24"/>
        </w:rPr>
      </w:pPr>
      <w:r>
        <w:rPr>
          <w:rFonts w:hint="eastAsia" w:ascii="Times New Roman" w:hAnsi="Times New Roman"/>
          <w:sz w:val="28"/>
          <w:szCs w:val="24"/>
        </w:rPr>
        <w:t>（</w:t>
      </w:r>
      <w:r>
        <w:rPr>
          <w:rFonts w:ascii="Times New Roman" w:hAnsi="Times New Roman"/>
          <w:sz w:val="28"/>
          <w:szCs w:val="24"/>
        </w:rPr>
        <w:t>8</w:t>
      </w:r>
      <w:r>
        <w:rPr>
          <w:rFonts w:hint="eastAsia" w:ascii="Times New Roman" w:hAnsi="Times New Roman"/>
          <w:sz w:val="28"/>
          <w:szCs w:val="24"/>
        </w:rPr>
        <w:t>）《渝北区城市节水专项规划》（征求意见稿）</w:t>
      </w:r>
    </w:p>
    <w:p>
      <w:pPr>
        <w:adjustRightInd w:val="0"/>
        <w:snapToGrid w:val="0"/>
        <w:spacing w:line="594" w:lineRule="exact"/>
        <w:ind w:firstLine="560" w:firstLineChars="200"/>
        <w:rPr>
          <w:rFonts w:ascii="Times New Roman" w:hAnsi="Times New Roman"/>
          <w:sz w:val="28"/>
          <w:szCs w:val="24"/>
        </w:rPr>
      </w:pPr>
      <w:r>
        <w:rPr>
          <w:rFonts w:hint="eastAsia" w:ascii="Times New Roman" w:hAnsi="Times New Roman"/>
          <w:sz w:val="28"/>
          <w:szCs w:val="24"/>
        </w:rPr>
        <w:t>（</w:t>
      </w:r>
      <w:r>
        <w:rPr>
          <w:rFonts w:ascii="Times New Roman" w:hAnsi="Times New Roman"/>
          <w:sz w:val="28"/>
          <w:szCs w:val="24"/>
        </w:rPr>
        <w:t>9</w:t>
      </w:r>
      <w:r>
        <w:rPr>
          <w:rFonts w:hint="eastAsia" w:ascii="Times New Roman" w:hAnsi="Times New Roman"/>
          <w:sz w:val="28"/>
          <w:szCs w:val="24"/>
        </w:rPr>
        <w:t>）其他资料</w:t>
      </w:r>
    </w:p>
    <w:p>
      <w:pPr>
        <w:keepNext/>
        <w:keepLines/>
        <w:spacing w:before="260" w:after="260" w:line="413" w:lineRule="auto"/>
        <w:ind w:firstLine="281" w:firstLineChars="100"/>
        <w:outlineLvl w:val="1"/>
        <w:rPr>
          <w:rFonts w:ascii="Times New Roman" w:hAnsi="Times New Roman"/>
          <w:b/>
          <w:bCs/>
          <w:kern w:val="44"/>
          <w:sz w:val="28"/>
          <w:szCs w:val="28"/>
        </w:rPr>
      </w:pPr>
      <w:bookmarkStart w:id="71" w:name="_Toc90482782"/>
      <w:r>
        <w:rPr>
          <w:rFonts w:ascii="Times New Roman" w:hAnsi="Times New Roman"/>
          <w:b/>
          <w:bCs/>
          <w:kern w:val="44"/>
          <w:sz w:val="28"/>
          <w:szCs w:val="28"/>
        </w:rPr>
        <w:t xml:space="preserve">3.3 </w:t>
      </w:r>
      <w:r>
        <w:rPr>
          <w:rFonts w:hint="eastAsia" w:ascii="Times New Roman" w:hAnsi="Times New Roman"/>
          <w:b/>
          <w:bCs/>
          <w:kern w:val="44"/>
          <w:sz w:val="28"/>
          <w:szCs w:val="28"/>
        </w:rPr>
        <w:t>规划目标</w:t>
      </w:r>
      <w:bookmarkEnd w:id="71"/>
    </w:p>
    <w:p>
      <w:pPr>
        <w:keepNext/>
        <w:keepLines/>
        <w:spacing w:before="260" w:after="260" w:line="413" w:lineRule="auto"/>
        <w:ind w:firstLine="560" w:firstLineChars="200"/>
        <w:outlineLvl w:val="2"/>
        <w:rPr>
          <w:rFonts w:ascii="Times New Roman" w:hAnsi="Times New Roman" w:eastAsia="黑体"/>
          <w:sz w:val="28"/>
          <w:szCs w:val="24"/>
        </w:rPr>
      </w:pPr>
      <w:bookmarkStart w:id="72" w:name="_Toc90482783"/>
      <w:bookmarkStart w:id="73" w:name="_Toc6995"/>
      <w:r>
        <w:rPr>
          <w:rFonts w:ascii="Times New Roman" w:hAnsi="Times New Roman" w:eastAsia="黑体"/>
          <w:sz w:val="28"/>
          <w:szCs w:val="24"/>
        </w:rPr>
        <w:t xml:space="preserve">3.3.1 </w:t>
      </w:r>
      <w:r>
        <w:rPr>
          <w:rFonts w:hint="eastAsia" w:ascii="Times New Roman" w:hAnsi="Times New Roman" w:eastAsia="黑体"/>
          <w:sz w:val="28"/>
          <w:szCs w:val="24"/>
        </w:rPr>
        <w:t>总体目标</w:t>
      </w:r>
      <w:bookmarkEnd w:id="72"/>
      <w:bookmarkEnd w:id="73"/>
    </w:p>
    <w:p>
      <w:pPr>
        <w:spacing w:line="360" w:lineRule="auto"/>
        <w:ind w:firstLine="560" w:firstLineChars="200"/>
        <w:rPr>
          <w:rFonts w:ascii="Times New Roman" w:hAnsi="Times New Roman"/>
          <w:sz w:val="28"/>
          <w:szCs w:val="28"/>
        </w:rPr>
      </w:pPr>
      <w:r>
        <w:rPr>
          <w:rFonts w:hint="eastAsia" w:ascii="Times New Roman" w:hAnsi="Times New Roman"/>
          <w:sz w:val="28"/>
          <w:szCs w:val="28"/>
        </w:rPr>
        <w:t>以水资源优化配置和高效利用为核心，协调开源与节流，工业用水、城市生活用水、生态用水与经济、社会、环境的关系，实现需水与供、节水，工业节水与生活节水，节约用水与经济社会发展，节水与生态环境保护的协调平衡。通过建立科学的节水指标体系，提升节水综合管理水平，增强全社会节水意识，提高用水效率，减少污水排放，保护生态环境，使渝北区的节水总体指标达到或超过重庆市和国家节水发展规划的要求。</w:t>
      </w:r>
    </w:p>
    <w:p>
      <w:pPr>
        <w:spacing w:line="360" w:lineRule="auto"/>
        <w:ind w:firstLine="560" w:firstLineChars="200"/>
        <w:rPr>
          <w:rFonts w:ascii="Times New Roman" w:hAnsi="Times New Roman"/>
          <w:sz w:val="28"/>
          <w:szCs w:val="28"/>
        </w:rPr>
      </w:pPr>
      <w:r>
        <w:rPr>
          <w:rFonts w:hint="eastAsia" w:ascii="Times New Roman" w:hAnsi="Times New Roman"/>
          <w:sz w:val="28"/>
          <w:szCs w:val="28"/>
        </w:rPr>
        <w:t>到</w:t>
      </w:r>
      <w:r>
        <w:rPr>
          <w:rFonts w:ascii="Times New Roman" w:hAnsi="Times New Roman"/>
          <w:sz w:val="28"/>
          <w:szCs w:val="28"/>
        </w:rPr>
        <w:t xml:space="preserve"> 2025 </w:t>
      </w:r>
      <w:r>
        <w:rPr>
          <w:rFonts w:hint="eastAsia" w:ascii="Times New Roman" w:hAnsi="Times New Roman"/>
          <w:sz w:val="28"/>
          <w:szCs w:val="28"/>
        </w:rPr>
        <w:t>年，节水型生产和生活方式基本建立，节水产业初具规模，非常规水利用规模有所增大，用水效率和效益显著提高，全社会节水意识明显增强。根据渝北区用水水平现状和市级下达用水指标目标要求，确定渝北区用水总量控制目标为</w:t>
      </w:r>
      <w:r>
        <w:rPr>
          <w:rFonts w:ascii="Times New Roman" w:hAnsi="Times New Roman"/>
          <w:sz w:val="28"/>
          <w:szCs w:val="28"/>
        </w:rPr>
        <w:t>3.6350</w:t>
      </w:r>
      <w:r>
        <w:rPr>
          <w:rFonts w:hint="eastAsia" w:ascii="Times New Roman" w:hAnsi="Times New Roman"/>
          <w:sz w:val="28"/>
          <w:szCs w:val="28"/>
        </w:rPr>
        <w:t>亿立方米，万元国内生产总值用水量和万元工业增加值用水量均较</w:t>
      </w:r>
      <w:r>
        <w:rPr>
          <w:rFonts w:ascii="Times New Roman" w:hAnsi="Times New Roman"/>
          <w:sz w:val="28"/>
          <w:szCs w:val="28"/>
        </w:rPr>
        <w:t xml:space="preserve"> 2020 </w:t>
      </w:r>
      <w:r>
        <w:rPr>
          <w:rFonts w:hint="eastAsia" w:ascii="Times New Roman" w:hAnsi="Times New Roman"/>
          <w:sz w:val="28"/>
          <w:szCs w:val="28"/>
        </w:rPr>
        <w:t>年降低</w:t>
      </w:r>
      <w:r>
        <w:rPr>
          <w:rFonts w:ascii="Times New Roman" w:hAnsi="Times New Roman"/>
          <w:sz w:val="28"/>
          <w:szCs w:val="28"/>
        </w:rPr>
        <w:t xml:space="preserve"> 5%</w:t>
      </w:r>
      <w:r>
        <w:rPr>
          <w:rFonts w:hint="eastAsia" w:ascii="Times New Roman" w:hAnsi="Times New Roman"/>
          <w:sz w:val="28"/>
          <w:szCs w:val="28"/>
        </w:rPr>
        <w:t>。</w:t>
      </w:r>
    </w:p>
    <w:p>
      <w:pPr>
        <w:keepNext/>
        <w:keepLines/>
        <w:spacing w:before="260" w:after="260" w:line="413" w:lineRule="auto"/>
        <w:ind w:firstLine="560" w:firstLineChars="200"/>
        <w:outlineLvl w:val="2"/>
        <w:rPr>
          <w:rFonts w:ascii="Times New Roman" w:hAnsi="Times New Roman" w:eastAsia="黑体"/>
          <w:sz w:val="28"/>
          <w:szCs w:val="24"/>
        </w:rPr>
      </w:pPr>
      <w:bookmarkStart w:id="74" w:name="_Toc29875"/>
      <w:bookmarkStart w:id="75" w:name="_Toc90482784"/>
      <w:r>
        <w:rPr>
          <w:rFonts w:ascii="Times New Roman" w:hAnsi="Times New Roman" w:eastAsia="黑体"/>
          <w:sz w:val="28"/>
          <w:szCs w:val="24"/>
        </w:rPr>
        <w:t xml:space="preserve">3.3.2 </w:t>
      </w:r>
      <w:r>
        <w:rPr>
          <w:rFonts w:hint="eastAsia" w:ascii="Times New Roman" w:hAnsi="Times New Roman" w:eastAsia="黑体"/>
          <w:sz w:val="28"/>
          <w:szCs w:val="24"/>
        </w:rPr>
        <w:t>分领域目标</w:t>
      </w:r>
      <w:bookmarkEnd w:id="74"/>
      <w:bookmarkEnd w:id="75"/>
    </w:p>
    <w:p>
      <w:pPr>
        <w:adjustRightInd w:val="0"/>
        <w:snapToGrid w:val="0"/>
        <w:spacing w:line="360" w:lineRule="auto"/>
        <w:ind w:firstLine="560" w:firstLineChars="200"/>
        <w:rPr>
          <w:rFonts w:ascii="Times New Roman" w:hAnsi="Times New Roman"/>
          <w:sz w:val="28"/>
          <w:szCs w:val="28"/>
        </w:rPr>
      </w:pPr>
      <w:r>
        <w:rPr>
          <w:rFonts w:hint="eastAsia" w:ascii="Times New Roman" w:hAnsi="Times New Roman"/>
          <w:sz w:val="28"/>
          <w:szCs w:val="28"/>
        </w:rPr>
        <w:t>（</w:t>
      </w:r>
      <w:r>
        <w:rPr>
          <w:rFonts w:ascii="Times New Roman" w:hAnsi="Times New Roman"/>
          <w:sz w:val="28"/>
          <w:szCs w:val="28"/>
        </w:rPr>
        <w:t>1</w:t>
      </w:r>
      <w:r>
        <w:rPr>
          <w:rFonts w:hint="eastAsia" w:ascii="Times New Roman" w:hAnsi="Times New Roman"/>
          <w:sz w:val="28"/>
          <w:szCs w:val="28"/>
        </w:rPr>
        <w:t>）农业节水目标</w:t>
      </w:r>
    </w:p>
    <w:p>
      <w:pPr>
        <w:adjustRightInd w:val="0"/>
        <w:snapToGrid w:val="0"/>
        <w:spacing w:line="360" w:lineRule="auto"/>
        <w:ind w:firstLine="560" w:firstLineChars="200"/>
        <w:rPr>
          <w:rFonts w:ascii="Times New Roman" w:hAnsi="Times New Roman"/>
          <w:sz w:val="28"/>
          <w:szCs w:val="28"/>
        </w:rPr>
      </w:pPr>
      <w:r>
        <w:rPr>
          <w:rFonts w:hint="eastAsia" w:ascii="Times New Roman" w:hAnsi="Times New Roman"/>
          <w:sz w:val="28"/>
          <w:szCs w:val="28"/>
        </w:rPr>
        <w:t>到</w:t>
      </w:r>
      <w:r>
        <w:rPr>
          <w:rFonts w:ascii="Times New Roman" w:hAnsi="Times New Roman"/>
          <w:sz w:val="28"/>
          <w:szCs w:val="28"/>
        </w:rPr>
        <w:t xml:space="preserve"> 2025 </w:t>
      </w:r>
      <w:r>
        <w:rPr>
          <w:rFonts w:hint="eastAsia" w:ascii="Times New Roman" w:hAnsi="Times New Roman"/>
          <w:sz w:val="28"/>
          <w:szCs w:val="28"/>
        </w:rPr>
        <w:t>年，初步建立农业生产布局与水资源条件相匹配、农业用水规模与用水效率相协调、工程措施与非工程措施相结合的农业节水体系，建设高标准农田</w:t>
      </w:r>
      <w:r>
        <w:rPr>
          <w:rFonts w:ascii="Times New Roman" w:hAnsi="Times New Roman"/>
          <w:sz w:val="28"/>
          <w:szCs w:val="28"/>
        </w:rPr>
        <w:t>12</w:t>
      </w:r>
      <w:r>
        <w:rPr>
          <w:rFonts w:hint="eastAsia" w:ascii="Times New Roman" w:hAnsi="Times New Roman"/>
          <w:sz w:val="28"/>
          <w:szCs w:val="28"/>
        </w:rPr>
        <w:t>万亩，建设高效节水灌溉面积</w:t>
      </w:r>
      <w:r>
        <w:rPr>
          <w:rFonts w:ascii="Times New Roman" w:hAnsi="Times New Roman"/>
          <w:sz w:val="28"/>
          <w:szCs w:val="28"/>
        </w:rPr>
        <w:t>1.5</w:t>
      </w:r>
      <w:r>
        <w:rPr>
          <w:rFonts w:hint="eastAsia" w:ascii="Times New Roman" w:hAnsi="Times New Roman"/>
          <w:sz w:val="28"/>
          <w:szCs w:val="28"/>
        </w:rPr>
        <w:t>万亩。</w:t>
      </w:r>
    </w:p>
    <w:p>
      <w:pPr>
        <w:ind w:firstLine="560" w:firstLineChars="200"/>
        <w:rPr>
          <w:rFonts w:ascii="Times New Roman" w:hAnsi="Times New Roman"/>
          <w:sz w:val="28"/>
          <w:szCs w:val="28"/>
        </w:rPr>
      </w:pPr>
      <w:r>
        <w:rPr>
          <w:rFonts w:hint="eastAsia" w:ascii="Times New Roman" w:hAnsi="Times New Roman"/>
          <w:sz w:val="28"/>
          <w:szCs w:val="28"/>
        </w:rPr>
        <w:t>（</w:t>
      </w:r>
      <w:r>
        <w:rPr>
          <w:rFonts w:ascii="Times New Roman" w:hAnsi="Times New Roman"/>
          <w:sz w:val="28"/>
          <w:szCs w:val="28"/>
        </w:rPr>
        <w:t>2</w:t>
      </w:r>
      <w:r>
        <w:rPr>
          <w:rFonts w:hint="eastAsia" w:ascii="Times New Roman" w:hAnsi="Times New Roman"/>
          <w:sz w:val="28"/>
          <w:szCs w:val="28"/>
        </w:rPr>
        <w:t>）工业节水目标</w:t>
      </w:r>
    </w:p>
    <w:p>
      <w:pPr>
        <w:ind w:firstLine="560" w:firstLineChars="200"/>
        <w:rPr>
          <w:rFonts w:ascii="Times New Roman" w:hAnsi="Times New Roman"/>
          <w:sz w:val="28"/>
          <w:szCs w:val="28"/>
        </w:rPr>
      </w:pPr>
      <w:r>
        <w:rPr>
          <w:rFonts w:hint="eastAsia" w:ascii="Times New Roman" w:hAnsi="Times New Roman"/>
          <w:sz w:val="28"/>
          <w:szCs w:val="28"/>
        </w:rPr>
        <w:t>以提高水的利用效率为核心，加快建立适应渝北区水资源承载力的工业结构，基本形成符合渝北区情、水情的工业水资源安全保障与高效利用体系，初步建立节水防污型工业基本框架。在重点用水行业开展节水型企业创建，到</w:t>
      </w:r>
      <w:r>
        <w:rPr>
          <w:rFonts w:ascii="Times New Roman" w:hAnsi="Times New Roman"/>
          <w:sz w:val="28"/>
          <w:szCs w:val="28"/>
        </w:rPr>
        <w:t xml:space="preserve"> 2025 </w:t>
      </w:r>
      <w:r>
        <w:rPr>
          <w:rFonts w:hint="eastAsia" w:ascii="Times New Roman" w:hAnsi="Times New Roman"/>
          <w:sz w:val="28"/>
          <w:szCs w:val="28"/>
        </w:rPr>
        <w:t>年，重点用水行业年用水</w:t>
      </w:r>
      <w:r>
        <w:rPr>
          <w:rFonts w:ascii="Times New Roman" w:hAnsi="Times New Roman"/>
          <w:sz w:val="28"/>
          <w:szCs w:val="28"/>
        </w:rPr>
        <w:t>10</w:t>
      </w:r>
      <w:r>
        <w:rPr>
          <w:rFonts w:hint="eastAsia" w:ascii="Times New Roman" w:hAnsi="Times New Roman"/>
          <w:sz w:val="28"/>
          <w:szCs w:val="28"/>
        </w:rPr>
        <w:t>万立方米以上的规模以上企业全覆盖，规模以上工业水重复利用率达到</w:t>
      </w:r>
      <w:r>
        <w:rPr>
          <w:rFonts w:ascii="Times New Roman" w:hAnsi="Times New Roman"/>
          <w:sz w:val="28"/>
          <w:szCs w:val="28"/>
        </w:rPr>
        <w:t xml:space="preserve"> 90%</w:t>
      </w:r>
      <w:r>
        <w:rPr>
          <w:rFonts w:hint="eastAsia" w:ascii="Times New Roman" w:hAnsi="Times New Roman"/>
          <w:sz w:val="28"/>
          <w:szCs w:val="28"/>
        </w:rPr>
        <w:t>，工业用水计量率达到</w:t>
      </w:r>
      <w:r>
        <w:rPr>
          <w:rFonts w:ascii="Times New Roman" w:hAnsi="Times New Roman"/>
          <w:sz w:val="28"/>
          <w:szCs w:val="28"/>
        </w:rPr>
        <w:t xml:space="preserve"> 100 %</w:t>
      </w:r>
      <w:r>
        <w:rPr>
          <w:rFonts w:hint="eastAsia" w:ascii="Times New Roman" w:hAnsi="Times New Roman"/>
          <w:sz w:val="28"/>
          <w:szCs w:val="28"/>
        </w:rPr>
        <w:t>。</w:t>
      </w:r>
    </w:p>
    <w:p>
      <w:pPr>
        <w:ind w:firstLine="560" w:firstLineChars="200"/>
        <w:rPr>
          <w:rFonts w:ascii="Times New Roman" w:hAnsi="Times New Roman"/>
          <w:sz w:val="28"/>
          <w:szCs w:val="28"/>
        </w:rPr>
      </w:pPr>
      <w:r>
        <w:rPr>
          <w:rFonts w:hint="eastAsia" w:ascii="Times New Roman" w:hAnsi="Times New Roman"/>
          <w:sz w:val="28"/>
          <w:szCs w:val="28"/>
        </w:rPr>
        <w:t>（</w:t>
      </w:r>
      <w:r>
        <w:rPr>
          <w:rFonts w:ascii="Times New Roman" w:hAnsi="Times New Roman"/>
          <w:sz w:val="28"/>
          <w:szCs w:val="28"/>
        </w:rPr>
        <w:t>3</w:t>
      </w:r>
      <w:r>
        <w:rPr>
          <w:rFonts w:hint="eastAsia" w:ascii="Times New Roman" w:hAnsi="Times New Roman"/>
          <w:sz w:val="28"/>
          <w:szCs w:val="28"/>
        </w:rPr>
        <w:t>）城镇生活节水目标</w:t>
      </w:r>
    </w:p>
    <w:p>
      <w:pPr>
        <w:ind w:firstLine="560" w:firstLineChars="200"/>
        <w:rPr>
          <w:rFonts w:ascii="Times New Roman" w:hAnsi="Times New Roman"/>
          <w:sz w:val="28"/>
          <w:szCs w:val="28"/>
        </w:rPr>
      </w:pPr>
      <w:r>
        <w:rPr>
          <w:rFonts w:hint="eastAsia" w:ascii="Times New Roman" w:hAnsi="Times New Roman"/>
          <w:sz w:val="28"/>
          <w:szCs w:val="28"/>
        </w:rPr>
        <w:t>通过强化生活与服务业用水管理，加强城市供水管网改造，进一步推广节水设施和器具，提高城市生活用水效率。到</w:t>
      </w:r>
      <w:r>
        <w:rPr>
          <w:rFonts w:ascii="Times New Roman" w:hAnsi="Times New Roman"/>
          <w:sz w:val="28"/>
          <w:szCs w:val="28"/>
        </w:rPr>
        <w:t xml:space="preserve"> 2025 </w:t>
      </w:r>
      <w:r>
        <w:rPr>
          <w:rFonts w:hint="eastAsia" w:ascii="Times New Roman" w:hAnsi="Times New Roman"/>
          <w:sz w:val="28"/>
          <w:szCs w:val="28"/>
        </w:rPr>
        <w:t>年，城市公共供水管网漏损率控制在</w:t>
      </w:r>
      <w:r>
        <w:rPr>
          <w:rFonts w:ascii="Times New Roman" w:hAnsi="Times New Roman"/>
          <w:sz w:val="28"/>
          <w:szCs w:val="28"/>
        </w:rPr>
        <w:t>9%</w:t>
      </w:r>
      <w:r>
        <w:rPr>
          <w:rFonts w:hint="eastAsia" w:ascii="Times New Roman" w:hAnsi="Times New Roman"/>
          <w:sz w:val="28"/>
          <w:szCs w:val="28"/>
        </w:rPr>
        <w:t>以内，新建公共建筑全部采用节水器具，城市再生水利用率达到</w:t>
      </w:r>
      <w:r>
        <w:rPr>
          <w:rFonts w:ascii="Times New Roman" w:hAnsi="Times New Roman"/>
          <w:sz w:val="28"/>
          <w:szCs w:val="28"/>
        </w:rPr>
        <w:t>15%</w:t>
      </w:r>
      <w:r>
        <w:rPr>
          <w:rFonts w:hint="eastAsia" w:ascii="Times New Roman" w:hAnsi="Times New Roman"/>
          <w:sz w:val="28"/>
          <w:szCs w:val="28"/>
        </w:rPr>
        <w:t>以上，服务业节水水平明显提升，节水型机关全面建成。</w:t>
      </w:r>
    </w:p>
    <w:p>
      <w:pPr>
        <w:ind w:firstLine="560" w:firstLineChars="200"/>
        <w:rPr>
          <w:rFonts w:ascii="Times New Roman" w:hAnsi="Times New Roman"/>
          <w:sz w:val="28"/>
          <w:szCs w:val="28"/>
        </w:rPr>
      </w:pPr>
      <w:r>
        <w:rPr>
          <w:rFonts w:hint="eastAsia" w:ascii="Times New Roman" w:hAnsi="Times New Roman"/>
          <w:sz w:val="28"/>
          <w:szCs w:val="28"/>
        </w:rPr>
        <w:t>（</w:t>
      </w:r>
      <w:r>
        <w:rPr>
          <w:rFonts w:ascii="Times New Roman" w:hAnsi="Times New Roman"/>
          <w:sz w:val="28"/>
          <w:szCs w:val="28"/>
        </w:rPr>
        <w:t>4</w:t>
      </w:r>
      <w:r>
        <w:rPr>
          <w:rFonts w:hint="eastAsia" w:ascii="Times New Roman" w:hAnsi="Times New Roman"/>
          <w:sz w:val="28"/>
          <w:szCs w:val="28"/>
        </w:rPr>
        <w:t>）生态保护目标</w:t>
      </w:r>
    </w:p>
    <w:p>
      <w:pPr>
        <w:ind w:firstLine="560" w:firstLineChars="200"/>
        <w:rPr>
          <w:rFonts w:ascii="Times New Roman" w:hAnsi="Times New Roman"/>
          <w:sz w:val="28"/>
          <w:szCs w:val="28"/>
        </w:rPr>
      </w:pPr>
      <w:r>
        <w:rPr>
          <w:rFonts w:hint="eastAsia" w:ascii="Times New Roman" w:hAnsi="Times New Roman"/>
          <w:sz w:val="28"/>
          <w:szCs w:val="28"/>
        </w:rPr>
        <w:t>通过节约用水，提高水资源利用效率，减少污水排放量和污染物入河量；加强水资源的保护，实行污水和污染物入河总量控制，提高水功能区水质。到</w:t>
      </w:r>
      <w:r>
        <w:rPr>
          <w:rFonts w:ascii="Times New Roman" w:hAnsi="Times New Roman"/>
          <w:sz w:val="28"/>
          <w:szCs w:val="28"/>
        </w:rPr>
        <w:t xml:space="preserve"> 2025 </w:t>
      </w:r>
      <w:r>
        <w:rPr>
          <w:rFonts w:hint="eastAsia" w:ascii="Times New Roman" w:hAnsi="Times New Roman"/>
          <w:sz w:val="28"/>
          <w:szCs w:val="28"/>
        </w:rPr>
        <w:t>年，工业废水达标排放率达到</w:t>
      </w:r>
      <w:r>
        <w:rPr>
          <w:rFonts w:ascii="Times New Roman" w:hAnsi="Times New Roman"/>
          <w:sz w:val="28"/>
          <w:szCs w:val="28"/>
        </w:rPr>
        <w:t xml:space="preserve"> 100%</w:t>
      </w:r>
      <w:r>
        <w:rPr>
          <w:rFonts w:hint="eastAsia" w:ascii="Times New Roman" w:hAnsi="Times New Roman"/>
          <w:sz w:val="28"/>
          <w:szCs w:val="28"/>
        </w:rPr>
        <w:t>，城市生活污水处理率达到</w:t>
      </w:r>
      <w:r>
        <w:rPr>
          <w:rFonts w:ascii="Times New Roman" w:hAnsi="Times New Roman"/>
          <w:sz w:val="28"/>
          <w:szCs w:val="28"/>
        </w:rPr>
        <w:t xml:space="preserve"> 100%</w:t>
      </w:r>
      <w:r>
        <w:rPr>
          <w:rFonts w:hint="eastAsia" w:ascii="Times New Roman" w:hAnsi="Times New Roman"/>
          <w:sz w:val="28"/>
          <w:szCs w:val="28"/>
        </w:rPr>
        <w:t>，水功能区水质达标率达到</w:t>
      </w:r>
      <w:r>
        <w:rPr>
          <w:rFonts w:ascii="Times New Roman" w:hAnsi="Times New Roman"/>
          <w:sz w:val="28"/>
          <w:szCs w:val="28"/>
        </w:rPr>
        <w:t xml:space="preserve"> 90%</w:t>
      </w:r>
      <w:r>
        <w:rPr>
          <w:rFonts w:hint="eastAsia" w:ascii="Times New Roman" w:hAnsi="Times New Roman"/>
          <w:sz w:val="28"/>
          <w:szCs w:val="28"/>
        </w:rPr>
        <w:t>以上。</w:t>
      </w:r>
    </w:p>
    <w:p>
      <w:pPr>
        <w:widowControl/>
        <w:jc w:val="left"/>
        <w:rPr>
          <w:rFonts w:ascii="Times New Roman" w:hAnsi="Times New Roman"/>
          <w:b/>
          <w:color w:val="0070C0"/>
          <w:sz w:val="28"/>
          <w:szCs w:val="28"/>
        </w:rPr>
      </w:pPr>
      <w:r>
        <w:rPr>
          <w:rFonts w:ascii="Times New Roman" w:hAnsi="Times New Roman"/>
          <w:b/>
          <w:color w:val="0070C0"/>
          <w:sz w:val="28"/>
          <w:szCs w:val="28"/>
        </w:rPr>
        <w:br w:type="page"/>
      </w:r>
    </w:p>
    <w:p>
      <w:pPr>
        <w:ind w:firstLine="482" w:firstLineChars="200"/>
        <w:jc w:val="center"/>
        <w:rPr>
          <w:rFonts w:ascii="Times New Roman" w:hAnsi="Times New Roman"/>
          <w:b/>
          <w:bCs/>
          <w:sz w:val="24"/>
          <w:szCs w:val="24"/>
        </w:rPr>
      </w:pPr>
      <w:r>
        <w:rPr>
          <w:rFonts w:hint="eastAsia" w:ascii="Times New Roman" w:hAnsi="Times New Roman"/>
          <w:b/>
          <w:bCs/>
          <w:sz w:val="24"/>
          <w:szCs w:val="24"/>
        </w:rPr>
        <w:t>表</w:t>
      </w:r>
      <w:r>
        <w:rPr>
          <w:rFonts w:ascii="Times New Roman" w:hAnsi="Times New Roman"/>
          <w:b/>
          <w:bCs/>
          <w:sz w:val="24"/>
          <w:szCs w:val="24"/>
        </w:rPr>
        <w:t xml:space="preserve"> 3-1 </w:t>
      </w:r>
      <w:r>
        <w:rPr>
          <w:rFonts w:hint="eastAsia" w:ascii="Times New Roman" w:hAnsi="Times New Roman"/>
          <w:b/>
          <w:bCs/>
          <w:sz w:val="24"/>
          <w:szCs w:val="24"/>
        </w:rPr>
        <w:t>渝北区</w:t>
      </w:r>
      <w:r>
        <w:rPr>
          <w:rFonts w:ascii="Times New Roman" w:hAnsi="Times New Roman"/>
          <w:b/>
          <w:bCs/>
          <w:sz w:val="24"/>
          <w:szCs w:val="24"/>
        </w:rPr>
        <w:t>“</w:t>
      </w:r>
      <w:r>
        <w:rPr>
          <w:rFonts w:hint="eastAsia" w:ascii="Times New Roman" w:hAnsi="Times New Roman"/>
          <w:b/>
          <w:bCs/>
          <w:sz w:val="24"/>
          <w:szCs w:val="24"/>
        </w:rPr>
        <w:t>十四五</w:t>
      </w:r>
      <w:r>
        <w:rPr>
          <w:rFonts w:ascii="Times New Roman" w:hAnsi="Times New Roman"/>
          <w:b/>
          <w:bCs/>
          <w:sz w:val="24"/>
          <w:szCs w:val="24"/>
        </w:rPr>
        <w:t>”</w:t>
      </w:r>
      <w:r>
        <w:rPr>
          <w:rFonts w:hint="eastAsia" w:ascii="Times New Roman" w:hAnsi="Times New Roman"/>
          <w:b/>
          <w:bCs/>
          <w:sz w:val="24"/>
          <w:szCs w:val="24"/>
        </w:rPr>
        <w:t>节约用水规划主要指标表</w:t>
      </w:r>
    </w:p>
    <w:tbl>
      <w:tblPr>
        <w:tblStyle w:val="21"/>
        <w:tblW w:w="5380" w:type="pct"/>
        <w:jc w:val="center"/>
        <w:tblLayout w:type="autofit"/>
        <w:tblCellMar>
          <w:top w:w="0" w:type="dxa"/>
          <w:left w:w="46" w:type="dxa"/>
          <w:bottom w:w="0" w:type="dxa"/>
          <w:right w:w="0" w:type="dxa"/>
        </w:tblCellMar>
      </w:tblPr>
      <w:tblGrid>
        <w:gridCol w:w="926"/>
        <w:gridCol w:w="642"/>
        <w:gridCol w:w="428"/>
        <w:gridCol w:w="2998"/>
        <w:gridCol w:w="572"/>
        <w:gridCol w:w="1426"/>
        <w:gridCol w:w="1144"/>
        <w:gridCol w:w="856"/>
      </w:tblGrid>
      <w:tr>
        <w:tblPrEx>
          <w:tblCellMar>
            <w:top w:w="0" w:type="dxa"/>
            <w:left w:w="46" w:type="dxa"/>
            <w:bottom w:w="0" w:type="dxa"/>
            <w:right w:w="0" w:type="dxa"/>
          </w:tblCellMar>
        </w:tblPrEx>
        <w:trPr>
          <w:trHeight w:val="804" w:hRule="atLeast"/>
          <w:jc w:val="center"/>
        </w:trPr>
        <w:tc>
          <w:tcPr>
            <w:tcW w:w="872" w:type="pct"/>
            <w:gridSpan w:val="2"/>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right="41"/>
              <w:jc w:val="center"/>
              <w:rPr>
                <w:rFonts w:ascii="Times New Roman" w:hAnsi="Times New Roman" w:eastAsia="Times New Roman"/>
                <w:sz w:val="32"/>
              </w:rPr>
            </w:pPr>
            <w:r>
              <w:rPr>
                <w:rFonts w:hint="eastAsia" w:ascii="Times New Roman" w:hAnsi="Times New Roman"/>
              </w:rPr>
              <w:t>目标类型</w:t>
            </w:r>
          </w:p>
        </w:tc>
        <w:tc>
          <w:tcPr>
            <w:tcW w:w="238" w:type="pct"/>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2"/>
              <w:jc w:val="center"/>
              <w:rPr>
                <w:rFonts w:ascii="Times New Roman" w:hAnsi="Times New Roman" w:eastAsia="Times New Roman"/>
                <w:sz w:val="32"/>
              </w:rPr>
            </w:pPr>
            <w:r>
              <w:rPr>
                <w:rFonts w:hint="eastAsia" w:ascii="Times New Roman" w:hAnsi="Times New Roman"/>
              </w:rPr>
              <w:t>序号</w:t>
            </w:r>
          </w:p>
        </w:tc>
        <w:tc>
          <w:tcPr>
            <w:tcW w:w="1667" w:type="pct"/>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right="51"/>
              <w:jc w:val="center"/>
              <w:rPr>
                <w:rFonts w:ascii="Times New Roman" w:hAnsi="Times New Roman" w:eastAsia="Times New Roman"/>
                <w:sz w:val="32"/>
              </w:rPr>
            </w:pPr>
            <w:r>
              <w:rPr>
                <w:rFonts w:hint="eastAsia" w:ascii="Times New Roman" w:hAnsi="Times New Roman"/>
              </w:rPr>
              <w:t>指标名称</w:t>
            </w:r>
          </w:p>
        </w:tc>
        <w:tc>
          <w:tcPr>
            <w:tcW w:w="318" w:type="pct"/>
            <w:tcBorders>
              <w:top w:val="single" w:color="000000" w:sz="4" w:space="0"/>
              <w:left w:val="single" w:color="000000" w:sz="4" w:space="0"/>
              <w:bottom w:val="single" w:color="000000" w:sz="4" w:space="0"/>
              <w:right w:val="single" w:color="000000" w:sz="4" w:space="0"/>
            </w:tcBorders>
            <w:vAlign w:val="center"/>
          </w:tcPr>
          <w:p>
            <w:pPr>
              <w:widowControl/>
              <w:spacing w:line="259" w:lineRule="auto"/>
              <w:rPr>
                <w:rFonts w:ascii="Times New Roman" w:hAnsi="Times New Roman" w:eastAsia="Times New Roman"/>
                <w:sz w:val="32"/>
              </w:rPr>
            </w:pPr>
            <w:r>
              <w:rPr>
                <w:rFonts w:hint="eastAsia" w:ascii="Times New Roman" w:hAnsi="Times New Roman"/>
              </w:rPr>
              <w:t>单位</w:t>
            </w:r>
          </w:p>
        </w:tc>
        <w:tc>
          <w:tcPr>
            <w:tcW w:w="793" w:type="pct"/>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111"/>
              <w:jc w:val="center"/>
              <w:rPr>
                <w:rFonts w:ascii="Times New Roman" w:hAnsi="Times New Roman" w:eastAsia="Times New Roman"/>
                <w:sz w:val="32"/>
              </w:rPr>
            </w:pPr>
            <w:r>
              <w:rPr>
                <w:rFonts w:hint="eastAsia" w:ascii="Times New Roman" w:hAnsi="Times New Roman"/>
              </w:rPr>
              <w:t>现状</w:t>
            </w:r>
          </w:p>
        </w:tc>
        <w:tc>
          <w:tcPr>
            <w:tcW w:w="636" w:type="pct"/>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10"/>
              <w:jc w:val="center"/>
              <w:rPr>
                <w:rFonts w:ascii="Times New Roman" w:hAnsi="Times New Roman" w:eastAsia="Times New Roman"/>
                <w:sz w:val="32"/>
              </w:rPr>
            </w:pPr>
            <w:r>
              <w:rPr>
                <w:rFonts w:ascii="Times New Roman" w:hAnsi="Times New Roman"/>
              </w:rPr>
              <w:t>2025</w:t>
            </w:r>
            <w:r>
              <w:rPr>
                <w:rFonts w:hint="eastAsia" w:ascii="Times New Roman" w:hAnsi="Times New Roman"/>
              </w:rPr>
              <w:t>年</w:t>
            </w:r>
          </w:p>
        </w:tc>
        <w:tc>
          <w:tcPr>
            <w:tcW w:w="476" w:type="pct"/>
            <w:tcBorders>
              <w:top w:val="single" w:color="000000" w:sz="4" w:space="0"/>
              <w:left w:val="single" w:color="000000" w:sz="4" w:space="0"/>
              <w:bottom w:val="single" w:color="000000" w:sz="4" w:space="0"/>
              <w:right w:val="single" w:color="000000" w:sz="4" w:space="0"/>
            </w:tcBorders>
            <w:vAlign w:val="center"/>
          </w:tcPr>
          <w:p>
            <w:pPr>
              <w:widowControl/>
              <w:spacing w:line="259" w:lineRule="auto"/>
              <w:jc w:val="center"/>
              <w:rPr>
                <w:rFonts w:ascii="Times New Roman" w:hAnsi="Times New Roman" w:eastAsia="Times New Roman"/>
                <w:sz w:val="32"/>
              </w:rPr>
            </w:pPr>
            <w:r>
              <w:rPr>
                <w:rFonts w:hint="eastAsia" w:ascii="Times New Roman" w:hAnsi="Times New Roman"/>
              </w:rPr>
              <w:t>指标属性</w:t>
            </w:r>
          </w:p>
        </w:tc>
      </w:tr>
      <w:tr>
        <w:tblPrEx>
          <w:tblCellMar>
            <w:top w:w="0" w:type="dxa"/>
            <w:left w:w="46" w:type="dxa"/>
            <w:bottom w:w="0" w:type="dxa"/>
            <w:right w:w="0" w:type="dxa"/>
          </w:tblCellMar>
        </w:tblPrEx>
        <w:trPr>
          <w:trHeight w:val="804" w:hRule="atLeast"/>
          <w:jc w:val="center"/>
        </w:trPr>
        <w:tc>
          <w:tcPr>
            <w:tcW w:w="872" w:type="pct"/>
            <w:gridSpan w:val="2"/>
            <w:vMerge w:val="restart"/>
            <w:tcBorders>
              <w:top w:val="single" w:color="000000" w:sz="4" w:space="0"/>
              <w:left w:val="single" w:color="000000" w:sz="4" w:space="0"/>
              <w:right w:val="single" w:color="000000" w:sz="4" w:space="0"/>
            </w:tcBorders>
            <w:vAlign w:val="center"/>
          </w:tcPr>
          <w:p>
            <w:pPr>
              <w:spacing w:line="259" w:lineRule="auto"/>
              <w:ind w:right="41"/>
              <w:jc w:val="center"/>
              <w:rPr>
                <w:rFonts w:ascii="Times New Roman" w:hAnsi="Times New Roman"/>
              </w:rPr>
            </w:pPr>
            <w:r>
              <w:rPr>
                <w:rFonts w:hint="eastAsia" w:ascii="Times New Roman" w:hAnsi="Times New Roman"/>
              </w:rPr>
              <w:t>总体目标</w:t>
            </w:r>
          </w:p>
        </w:tc>
        <w:tc>
          <w:tcPr>
            <w:tcW w:w="238" w:type="pct"/>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2"/>
              <w:jc w:val="center"/>
              <w:rPr>
                <w:rFonts w:ascii="Times New Roman" w:hAnsi="Times New Roman"/>
              </w:rPr>
            </w:pPr>
            <w:r>
              <w:rPr>
                <w:rFonts w:ascii="Times New Roman" w:hAnsi="Times New Roman"/>
              </w:rPr>
              <w:t>1</w:t>
            </w:r>
          </w:p>
        </w:tc>
        <w:tc>
          <w:tcPr>
            <w:tcW w:w="1667" w:type="pct"/>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right="51"/>
              <w:jc w:val="center"/>
              <w:rPr>
                <w:rFonts w:ascii="Times New Roman" w:hAnsi="Times New Roman"/>
              </w:rPr>
            </w:pPr>
            <w:r>
              <w:rPr>
                <w:rFonts w:hint="eastAsia" w:ascii="Times New Roman" w:hAnsi="Times New Roman"/>
              </w:rPr>
              <w:t>用水总量</w:t>
            </w:r>
          </w:p>
        </w:tc>
        <w:tc>
          <w:tcPr>
            <w:tcW w:w="318" w:type="pct"/>
            <w:tcBorders>
              <w:top w:val="single" w:color="000000" w:sz="4" w:space="0"/>
              <w:left w:val="single" w:color="000000" w:sz="4" w:space="0"/>
              <w:bottom w:val="single" w:color="000000" w:sz="4" w:space="0"/>
              <w:right w:val="single" w:color="000000" w:sz="4" w:space="0"/>
            </w:tcBorders>
            <w:vAlign w:val="center"/>
          </w:tcPr>
          <w:p>
            <w:pPr>
              <w:widowControl/>
              <w:spacing w:line="259" w:lineRule="auto"/>
              <w:rPr>
                <w:rFonts w:ascii="Times New Roman" w:hAnsi="Times New Roman"/>
              </w:rPr>
            </w:pPr>
            <w:r>
              <w:rPr>
                <w:rFonts w:hint="eastAsia" w:ascii="Times New Roman" w:hAnsi="Times New Roman"/>
              </w:rPr>
              <w:t>亿立方米</w:t>
            </w:r>
          </w:p>
        </w:tc>
        <w:tc>
          <w:tcPr>
            <w:tcW w:w="793" w:type="pct"/>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111"/>
              <w:jc w:val="center"/>
              <w:rPr>
                <w:rFonts w:ascii="Times New Roman" w:hAnsi="Times New Roman"/>
              </w:rPr>
            </w:pPr>
            <w:r>
              <w:rPr>
                <w:rFonts w:ascii="Times New Roman" w:hAnsi="Times New Roman"/>
              </w:rPr>
              <w:t>2.4843</w:t>
            </w:r>
          </w:p>
        </w:tc>
        <w:tc>
          <w:tcPr>
            <w:tcW w:w="636" w:type="pct"/>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10"/>
              <w:jc w:val="center"/>
              <w:rPr>
                <w:rFonts w:ascii="Times New Roman" w:hAnsi="Times New Roman"/>
              </w:rPr>
            </w:pPr>
            <w:r>
              <w:rPr>
                <w:rFonts w:ascii="Times New Roman" w:hAnsi="Times New Roman"/>
              </w:rPr>
              <w:t>3.6350</w:t>
            </w:r>
          </w:p>
        </w:tc>
        <w:tc>
          <w:tcPr>
            <w:tcW w:w="476" w:type="pct"/>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5"/>
              <w:rPr>
                <w:rFonts w:ascii="Times New Roman" w:hAnsi="Times New Roman"/>
              </w:rPr>
            </w:pPr>
            <w:r>
              <w:rPr>
                <w:rFonts w:hint="eastAsia" w:ascii="Times New Roman" w:hAnsi="Times New Roman"/>
              </w:rPr>
              <w:t>约束性</w:t>
            </w:r>
          </w:p>
        </w:tc>
      </w:tr>
      <w:tr>
        <w:tblPrEx>
          <w:tblCellMar>
            <w:top w:w="0" w:type="dxa"/>
            <w:left w:w="46" w:type="dxa"/>
            <w:bottom w:w="0" w:type="dxa"/>
            <w:right w:w="0" w:type="dxa"/>
          </w:tblCellMar>
        </w:tblPrEx>
        <w:trPr>
          <w:trHeight w:val="576" w:hRule="atLeast"/>
          <w:jc w:val="center"/>
        </w:trPr>
        <w:tc>
          <w:tcPr>
            <w:tcW w:w="872" w:type="pct"/>
            <w:gridSpan w:val="2"/>
            <w:vMerge w:val="continue"/>
            <w:tcBorders>
              <w:left w:val="single" w:color="000000" w:sz="4" w:space="0"/>
              <w:right w:val="single" w:color="000000" w:sz="4" w:space="0"/>
            </w:tcBorders>
            <w:vAlign w:val="center"/>
          </w:tcPr>
          <w:p>
            <w:pPr>
              <w:widowControl/>
              <w:spacing w:line="259" w:lineRule="auto"/>
              <w:ind w:right="41"/>
              <w:jc w:val="center"/>
              <w:rPr>
                <w:rFonts w:ascii="Times New Roman" w:hAnsi="Times New Roman"/>
              </w:rPr>
            </w:pPr>
          </w:p>
        </w:tc>
        <w:tc>
          <w:tcPr>
            <w:tcW w:w="238" w:type="pct"/>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right="46"/>
              <w:jc w:val="center"/>
              <w:rPr>
                <w:rFonts w:ascii="Times New Roman" w:hAnsi="Times New Roman" w:eastAsia="Times New Roman"/>
                <w:sz w:val="32"/>
              </w:rPr>
            </w:pPr>
            <w:r>
              <w:rPr>
                <w:rFonts w:ascii="Times New Roman" w:hAnsi="Times New Roman"/>
              </w:rPr>
              <w:t>2</w:t>
            </w:r>
          </w:p>
        </w:tc>
        <w:tc>
          <w:tcPr>
            <w:tcW w:w="1667" w:type="pct"/>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right="48"/>
              <w:jc w:val="center"/>
              <w:rPr>
                <w:rFonts w:ascii="Times New Roman" w:hAnsi="Times New Roman" w:eastAsia="Times New Roman"/>
                <w:sz w:val="32"/>
              </w:rPr>
            </w:pPr>
            <w:r>
              <w:rPr>
                <w:rFonts w:hint="eastAsia" w:ascii="Times New Roman" w:hAnsi="Times New Roman"/>
              </w:rPr>
              <w:t>万元</w:t>
            </w:r>
            <w:r>
              <w:rPr>
                <w:rFonts w:ascii="Times New Roman" w:hAnsi="Times New Roman"/>
              </w:rPr>
              <w:t xml:space="preserve">GDP </w:t>
            </w:r>
            <w:r>
              <w:rPr>
                <w:rFonts w:hint="eastAsia" w:ascii="Times New Roman" w:hAnsi="Times New Roman"/>
              </w:rPr>
              <w:t>用水量下降</w:t>
            </w:r>
          </w:p>
        </w:tc>
        <w:tc>
          <w:tcPr>
            <w:tcW w:w="318" w:type="pct"/>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122"/>
              <w:jc w:val="left"/>
              <w:rPr>
                <w:rFonts w:ascii="Times New Roman" w:hAnsi="Times New Roman" w:eastAsia="Times New Roman"/>
                <w:sz w:val="32"/>
              </w:rPr>
            </w:pPr>
            <w:r>
              <w:rPr>
                <w:rFonts w:ascii="Times New Roman" w:hAnsi="Times New Roman"/>
              </w:rPr>
              <w:t>%</w:t>
            </w:r>
          </w:p>
        </w:tc>
        <w:tc>
          <w:tcPr>
            <w:tcW w:w="793" w:type="pct"/>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1"/>
              <w:jc w:val="center"/>
              <w:rPr>
                <w:rFonts w:ascii="Times New Roman" w:hAnsi="Times New Roman" w:eastAsia="Times New Roman"/>
                <w:sz w:val="32"/>
              </w:rPr>
            </w:pPr>
            <w:r>
              <w:rPr>
                <w:rFonts w:ascii="Times New Roman" w:hAnsi="Times New Roman" w:eastAsia="Times New Roman"/>
                <w:sz w:val="32"/>
              </w:rPr>
              <w:t>/</w:t>
            </w:r>
          </w:p>
        </w:tc>
        <w:tc>
          <w:tcPr>
            <w:tcW w:w="636" w:type="pct"/>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5"/>
              <w:jc w:val="center"/>
              <w:rPr>
                <w:rFonts w:ascii="Times New Roman" w:hAnsi="Times New Roman" w:eastAsia="Times New Roman"/>
                <w:sz w:val="32"/>
              </w:rPr>
            </w:pPr>
            <w:r>
              <w:rPr>
                <w:rFonts w:ascii="Times New Roman" w:hAnsi="Times New Roman"/>
              </w:rPr>
              <w:t>5%</w:t>
            </w:r>
          </w:p>
        </w:tc>
        <w:tc>
          <w:tcPr>
            <w:tcW w:w="476" w:type="pct"/>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5"/>
              <w:rPr>
                <w:rFonts w:ascii="Times New Roman" w:hAnsi="Times New Roman" w:eastAsia="Times New Roman"/>
                <w:sz w:val="32"/>
              </w:rPr>
            </w:pPr>
            <w:r>
              <w:rPr>
                <w:rFonts w:hint="eastAsia" w:ascii="Times New Roman" w:hAnsi="Times New Roman"/>
              </w:rPr>
              <w:t>约束性</w:t>
            </w:r>
          </w:p>
        </w:tc>
      </w:tr>
      <w:tr>
        <w:tblPrEx>
          <w:tblCellMar>
            <w:top w:w="0" w:type="dxa"/>
            <w:left w:w="46" w:type="dxa"/>
            <w:bottom w:w="0" w:type="dxa"/>
            <w:right w:w="0" w:type="dxa"/>
          </w:tblCellMar>
        </w:tblPrEx>
        <w:trPr>
          <w:trHeight w:val="576" w:hRule="atLeast"/>
          <w:jc w:val="center"/>
        </w:trPr>
        <w:tc>
          <w:tcPr>
            <w:tcW w:w="872" w:type="pct"/>
            <w:gridSpan w:val="2"/>
            <w:vMerge w:val="continue"/>
            <w:tcBorders>
              <w:left w:val="single" w:color="000000" w:sz="4" w:space="0"/>
              <w:right w:val="single" w:color="000000" w:sz="4" w:space="0"/>
            </w:tcBorders>
          </w:tcPr>
          <w:p>
            <w:pPr>
              <w:widowControl/>
              <w:spacing w:after="160" w:line="259" w:lineRule="auto"/>
              <w:jc w:val="left"/>
              <w:rPr>
                <w:rFonts w:ascii="Times New Roman" w:hAnsi="Times New Roman" w:eastAsia="Times New Roman"/>
                <w:sz w:val="32"/>
              </w:rPr>
            </w:pPr>
          </w:p>
        </w:tc>
        <w:tc>
          <w:tcPr>
            <w:tcW w:w="238" w:type="pct"/>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right="46"/>
              <w:jc w:val="center"/>
              <w:rPr>
                <w:rFonts w:ascii="Times New Roman" w:hAnsi="Times New Roman" w:eastAsia="Times New Roman"/>
                <w:sz w:val="32"/>
              </w:rPr>
            </w:pPr>
            <w:r>
              <w:rPr>
                <w:rFonts w:ascii="Times New Roman" w:hAnsi="Times New Roman"/>
              </w:rPr>
              <w:t>3</w:t>
            </w:r>
          </w:p>
        </w:tc>
        <w:tc>
          <w:tcPr>
            <w:tcW w:w="1667" w:type="pct"/>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72"/>
              <w:rPr>
                <w:rFonts w:ascii="Times New Roman" w:hAnsi="Times New Roman" w:eastAsia="Times New Roman"/>
                <w:sz w:val="32"/>
              </w:rPr>
            </w:pPr>
            <w:r>
              <w:rPr>
                <w:rFonts w:hint="eastAsia" w:ascii="Times New Roman" w:hAnsi="Times New Roman"/>
              </w:rPr>
              <w:t>其中万元工业增加值用水量下降</w:t>
            </w:r>
          </w:p>
        </w:tc>
        <w:tc>
          <w:tcPr>
            <w:tcW w:w="318" w:type="pct"/>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122"/>
              <w:jc w:val="left"/>
              <w:rPr>
                <w:rFonts w:ascii="Times New Roman" w:hAnsi="Times New Roman" w:eastAsia="Times New Roman"/>
                <w:sz w:val="32"/>
              </w:rPr>
            </w:pPr>
            <w:r>
              <w:rPr>
                <w:rFonts w:ascii="Times New Roman" w:hAnsi="Times New Roman"/>
              </w:rPr>
              <w:t>%</w:t>
            </w:r>
          </w:p>
        </w:tc>
        <w:tc>
          <w:tcPr>
            <w:tcW w:w="793" w:type="pct"/>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1"/>
              <w:jc w:val="center"/>
              <w:rPr>
                <w:rFonts w:ascii="Times New Roman" w:hAnsi="Times New Roman"/>
              </w:rPr>
            </w:pPr>
            <w:r>
              <w:rPr>
                <w:rFonts w:ascii="Times New Roman" w:hAnsi="Times New Roman"/>
              </w:rPr>
              <w:t>/</w:t>
            </w:r>
          </w:p>
        </w:tc>
        <w:tc>
          <w:tcPr>
            <w:tcW w:w="636" w:type="pct"/>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5"/>
              <w:jc w:val="center"/>
              <w:rPr>
                <w:rFonts w:ascii="Times New Roman" w:hAnsi="Times New Roman"/>
              </w:rPr>
            </w:pPr>
            <w:r>
              <w:rPr>
                <w:rFonts w:ascii="Times New Roman" w:hAnsi="Times New Roman"/>
              </w:rPr>
              <w:t>5%</w:t>
            </w:r>
          </w:p>
        </w:tc>
        <w:tc>
          <w:tcPr>
            <w:tcW w:w="476" w:type="pct"/>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5"/>
              <w:rPr>
                <w:rFonts w:ascii="Times New Roman" w:hAnsi="Times New Roman" w:eastAsia="Times New Roman"/>
                <w:sz w:val="32"/>
              </w:rPr>
            </w:pPr>
            <w:r>
              <w:rPr>
                <w:rFonts w:hint="eastAsia" w:ascii="Times New Roman" w:hAnsi="Times New Roman"/>
              </w:rPr>
              <w:t>约束性</w:t>
            </w:r>
          </w:p>
        </w:tc>
      </w:tr>
      <w:tr>
        <w:tblPrEx>
          <w:tblCellMar>
            <w:top w:w="0" w:type="dxa"/>
            <w:left w:w="46" w:type="dxa"/>
            <w:bottom w:w="0" w:type="dxa"/>
            <w:right w:w="0" w:type="dxa"/>
          </w:tblCellMar>
        </w:tblPrEx>
        <w:trPr>
          <w:trHeight w:val="576" w:hRule="atLeast"/>
          <w:jc w:val="center"/>
        </w:trPr>
        <w:tc>
          <w:tcPr>
            <w:tcW w:w="872" w:type="pct"/>
            <w:gridSpan w:val="2"/>
            <w:vMerge w:val="continue"/>
            <w:tcBorders>
              <w:left w:val="single" w:color="000000" w:sz="4" w:space="0"/>
              <w:bottom w:val="single" w:color="auto" w:sz="4" w:space="0"/>
              <w:right w:val="single" w:color="000000" w:sz="4" w:space="0"/>
            </w:tcBorders>
          </w:tcPr>
          <w:p>
            <w:pPr>
              <w:widowControl/>
              <w:spacing w:after="160" w:line="259" w:lineRule="auto"/>
              <w:jc w:val="left"/>
              <w:rPr>
                <w:rFonts w:ascii="Times New Roman" w:hAnsi="Times New Roman" w:eastAsia="Times New Roman"/>
                <w:sz w:val="32"/>
              </w:rPr>
            </w:pPr>
          </w:p>
        </w:tc>
        <w:tc>
          <w:tcPr>
            <w:tcW w:w="238" w:type="pct"/>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right="46"/>
              <w:jc w:val="center"/>
              <w:rPr>
                <w:rFonts w:ascii="Times New Roman" w:hAnsi="Times New Roman"/>
              </w:rPr>
            </w:pPr>
            <w:r>
              <w:rPr>
                <w:rFonts w:ascii="Times New Roman" w:hAnsi="Times New Roman"/>
              </w:rPr>
              <w:t>4</w:t>
            </w:r>
          </w:p>
        </w:tc>
        <w:tc>
          <w:tcPr>
            <w:tcW w:w="1667" w:type="pct"/>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72"/>
              <w:jc w:val="center"/>
              <w:rPr>
                <w:rFonts w:ascii="Times New Roman" w:hAnsi="Times New Roman"/>
              </w:rPr>
            </w:pPr>
            <w:r>
              <w:rPr>
                <w:rFonts w:hint="eastAsia" w:ascii="Times New Roman" w:hAnsi="Times New Roman"/>
              </w:rPr>
              <w:t>农田灌溉水利用系数</w:t>
            </w:r>
          </w:p>
        </w:tc>
        <w:tc>
          <w:tcPr>
            <w:tcW w:w="318" w:type="pct"/>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122"/>
              <w:jc w:val="left"/>
              <w:rPr>
                <w:rFonts w:ascii="Times New Roman" w:hAnsi="Times New Roman"/>
              </w:rPr>
            </w:pPr>
          </w:p>
        </w:tc>
        <w:tc>
          <w:tcPr>
            <w:tcW w:w="793" w:type="pct"/>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1"/>
              <w:jc w:val="center"/>
              <w:rPr>
                <w:rFonts w:ascii="Times New Roman" w:hAnsi="Times New Roman"/>
              </w:rPr>
            </w:pPr>
            <w:r>
              <w:rPr>
                <w:rFonts w:ascii="Times New Roman" w:hAnsi="Times New Roman"/>
              </w:rPr>
              <w:t>0.5043</w:t>
            </w:r>
          </w:p>
        </w:tc>
        <w:tc>
          <w:tcPr>
            <w:tcW w:w="636" w:type="pct"/>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5"/>
              <w:jc w:val="center"/>
              <w:rPr>
                <w:rFonts w:ascii="Times New Roman" w:hAnsi="Times New Roman"/>
              </w:rPr>
            </w:pPr>
            <w:r>
              <w:rPr>
                <w:rFonts w:ascii="Times New Roman" w:hAnsi="Times New Roman"/>
              </w:rPr>
              <w:t>0.5160</w:t>
            </w:r>
          </w:p>
        </w:tc>
        <w:tc>
          <w:tcPr>
            <w:tcW w:w="476" w:type="pct"/>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5"/>
              <w:rPr>
                <w:rFonts w:ascii="Times New Roman" w:hAnsi="Times New Roman"/>
              </w:rPr>
            </w:pPr>
            <w:r>
              <w:rPr>
                <w:rFonts w:hint="eastAsia" w:ascii="Times New Roman" w:hAnsi="Times New Roman"/>
              </w:rPr>
              <w:t>约束性</w:t>
            </w:r>
          </w:p>
        </w:tc>
      </w:tr>
      <w:tr>
        <w:tblPrEx>
          <w:tblCellMar>
            <w:top w:w="0" w:type="dxa"/>
            <w:left w:w="46" w:type="dxa"/>
            <w:bottom w:w="0" w:type="dxa"/>
            <w:right w:w="0" w:type="dxa"/>
          </w:tblCellMar>
        </w:tblPrEx>
        <w:trPr>
          <w:trHeight w:val="576" w:hRule="atLeast"/>
          <w:jc w:val="center"/>
        </w:trPr>
        <w:tc>
          <w:tcPr>
            <w:tcW w:w="515" w:type="pct"/>
            <w:tcBorders>
              <w:top w:val="single" w:color="auto" w:sz="4" w:space="0"/>
              <w:left w:val="single" w:color="auto" w:sz="4" w:space="0"/>
              <w:bottom w:val="single" w:color="auto" w:sz="4" w:space="0"/>
              <w:right w:val="single" w:color="auto" w:sz="4" w:space="0"/>
            </w:tcBorders>
            <w:vAlign w:val="center"/>
          </w:tcPr>
          <w:p>
            <w:pPr>
              <w:widowControl/>
              <w:spacing w:after="160" w:line="259" w:lineRule="auto"/>
              <w:jc w:val="center"/>
              <w:rPr>
                <w:rFonts w:ascii="Times New Roman" w:hAnsi="Times New Roman"/>
              </w:rPr>
            </w:pPr>
            <w:r>
              <w:rPr>
                <w:rFonts w:hint="eastAsia" w:ascii="Times New Roman" w:hAnsi="Times New Roman"/>
              </w:rPr>
              <w:t>分领域目标</w:t>
            </w:r>
          </w:p>
        </w:tc>
        <w:tc>
          <w:tcPr>
            <w:tcW w:w="357" w:type="pct"/>
            <w:tcBorders>
              <w:top w:val="single" w:color="auto" w:sz="4" w:space="0"/>
              <w:left w:val="single" w:color="auto" w:sz="4" w:space="0"/>
              <w:bottom w:val="single" w:color="auto" w:sz="4" w:space="0"/>
              <w:right w:val="single" w:color="auto" w:sz="4" w:space="0"/>
            </w:tcBorders>
            <w:vAlign w:val="center"/>
          </w:tcPr>
          <w:p>
            <w:pPr>
              <w:widowControl/>
              <w:spacing w:after="160" w:line="259" w:lineRule="auto"/>
              <w:jc w:val="left"/>
              <w:rPr>
                <w:rFonts w:ascii="Times New Roman" w:hAnsi="Times New Roman"/>
              </w:rPr>
            </w:pPr>
            <w:r>
              <w:rPr>
                <w:rFonts w:hint="eastAsia" w:ascii="Times New Roman" w:hAnsi="Times New Roman"/>
              </w:rPr>
              <w:t>农业</w:t>
            </w:r>
          </w:p>
        </w:tc>
        <w:tc>
          <w:tcPr>
            <w:tcW w:w="238" w:type="pct"/>
            <w:tcBorders>
              <w:top w:val="single" w:color="000000" w:sz="4" w:space="0"/>
              <w:left w:val="single" w:color="auto" w:sz="4" w:space="0"/>
              <w:bottom w:val="single" w:color="000000" w:sz="4" w:space="0"/>
              <w:right w:val="single" w:color="000000" w:sz="4" w:space="0"/>
            </w:tcBorders>
            <w:vAlign w:val="center"/>
          </w:tcPr>
          <w:p>
            <w:pPr>
              <w:widowControl/>
              <w:spacing w:line="259" w:lineRule="auto"/>
              <w:ind w:right="46"/>
              <w:jc w:val="center"/>
              <w:rPr>
                <w:rFonts w:ascii="Times New Roman" w:hAnsi="Times New Roman" w:eastAsia="Times New Roman"/>
                <w:szCs w:val="21"/>
              </w:rPr>
            </w:pPr>
            <w:r>
              <w:rPr>
                <w:rFonts w:ascii="Times New Roman" w:hAnsi="Times New Roman" w:eastAsia="Times New Roman"/>
                <w:szCs w:val="21"/>
              </w:rPr>
              <w:t>5</w:t>
            </w:r>
          </w:p>
        </w:tc>
        <w:tc>
          <w:tcPr>
            <w:tcW w:w="1667" w:type="pct"/>
            <w:tcBorders>
              <w:top w:val="single" w:color="000000" w:sz="4" w:space="0"/>
              <w:left w:val="single" w:color="000000" w:sz="4" w:space="0"/>
              <w:bottom w:val="single" w:color="000000" w:sz="4" w:space="0"/>
              <w:right w:val="single" w:color="000000" w:sz="4" w:space="0"/>
            </w:tcBorders>
            <w:vAlign w:val="center"/>
          </w:tcPr>
          <w:p>
            <w:pPr>
              <w:spacing w:line="259" w:lineRule="auto"/>
              <w:ind w:right="48"/>
              <w:jc w:val="center"/>
            </w:pPr>
            <w:r>
              <w:rPr>
                <w:rFonts w:hint="eastAsia" w:ascii="宋体" w:hAnsi="宋体" w:cs="宋体"/>
              </w:rPr>
              <w:t>新增高效节水灌溉面积</w:t>
            </w:r>
          </w:p>
        </w:tc>
        <w:tc>
          <w:tcPr>
            <w:tcW w:w="318" w:type="pct"/>
            <w:tcBorders>
              <w:top w:val="single" w:color="000000" w:sz="4" w:space="0"/>
              <w:left w:val="single" w:color="000000" w:sz="4" w:space="0"/>
              <w:bottom w:val="single" w:color="000000" w:sz="4" w:space="0"/>
              <w:right w:val="single" w:color="000000" w:sz="4" w:space="0"/>
            </w:tcBorders>
            <w:vAlign w:val="center"/>
          </w:tcPr>
          <w:p>
            <w:pPr>
              <w:spacing w:line="259" w:lineRule="auto"/>
            </w:pPr>
            <w:r>
              <w:rPr>
                <w:rFonts w:hint="eastAsia" w:ascii="宋体" w:hAnsi="宋体" w:cs="宋体"/>
              </w:rPr>
              <w:t>万亩</w:t>
            </w:r>
          </w:p>
        </w:tc>
        <w:tc>
          <w:tcPr>
            <w:tcW w:w="793" w:type="pct"/>
            <w:tcBorders>
              <w:top w:val="single" w:color="000000" w:sz="4" w:space="0"/>
              <w:left w:val="single" w:color="000000" w:sz="4" w:space="0"/>
              <w:bottom w:val="single" w:color="000000" w:sz="4" w:space="0"/>
              <w:right w:val="single" w:color="000000" w:sz="4" w:space="0"/>
            </w:tcBorders>
            <w:vAlign w:val="center"/>
          </w:tcPr>
          <w:p>
            <w:pPr>
              <w:spacing w:line="259" w:lineRule="auto"/>
              <w:ind w:left="1"/>
              <w:jc w:val="center"/>
            </w:pPr>
            <w:r>
              <w:rPr>
                <w:rFonts w:ascii="Times New Roman" w:hAnsi="Times New Roman"/>
              </w:rPr>
              <w:t>2</w:t>
            </w:r>
          </w:p>
        </w:tc>
        <w:tc>
          <w:tcPr>
            <w:tcW w:w="636" w:type="pct"/>
            <w:tcBorders>
              <w:top w:val="single" w:color="000000" w:sz="4" w:space="0"/>
              <w:left w:val="single" w:color="000000" w:sz="4" w:space="0"/>
              <w:bottom w:val="single" w:color="000000" w:sz="4" w:space="0"/>
              <w:right w:val="single" w:color="000000" w:sz="4" w:space="0"/>
            </w:tcBorders>
            <w:vAlign w:val="center"/>
          </w:tcPr>
          <w:p>
            <w:pPr>
              <w:spacing w:line="259" w:lineRule="auto"/>
              <w:jc w:val="center"/>
            </w:pPr>
            <w:r>
              <w:rPr>
                <w:rFonts w:ascii="Times New Roman" w:hAnsi="Times New Roman"/>
              </w:rPr>
              <w:t>1.5</w:t>
            </w:r>
          </w:p>
        </w:tc>
        <w:tc>
          <w:tcPr>
            <w:tcW w:w="476" w:type="pct"/>
            <w:tcBorders>
              <w:top w:val="single" w:color="000000" w:sz="4" w:space="0"/>
              <w:left w:val="single" w:color="000000" w:sz="4" w:space="0"/>
              <w:bottom w:val="single" w:color="000000" w:sz="4" w:space="0"/>
              <w:right w:val="single" w:color="000000" w:sz="4" w:space="0"/>
            </w:tcBorders>
            <w:vAlign w:val="center"/>
          </w:tcPr>
          <w:p>
            <w:pPr>
              <w:spacing w:line="259" w:lineRule="auto"/>
            </w:pPr>
            <w:r>
              <w:rPr>
                <w:rFonts w:hint="eastAsia" w:ascii="宋体" w:hAnsi="宋体" w:cs="宋体"/>
              </w:rPr>
              <w:t>预期性</w:t>
            </w:r>
          </w:p>
        </w:tc>
      </w:tr>
      <w:tr>
        <w:tblPrEx>
          <w:tblCellMar>
            <w:top w:w="0" w:type="dxa"/>
            <w:left w:w="46" w:type="dxa"/>
            <w:bottom w:w="0" w:type="dxa"/>
            <w:right w:w="0" w:type="dxa"/>
          </w:tblCellMar>
        </w:tblPrEx>
        <w:trPr>
          <w:trHeight w:val="578" w:hRule="atLeast"/>
          <w:jc w:val="center"/>
        </w:trPr>
        <w:tc>
          <w:tcPr>
            <w:tcW w:w="515" w:type="pct"/>
            <w:vMerge w:val="restart"/>
            <w:tcBorders>
              <w:top w:val="single" w:color="auto" w:sz="4" w:space="0"/>
              <w:left w:val="single" w:color="000000" w:sz="4" w:space="0"/>
              <w:right w:val="single" w:color="000000" w:sz="4" w:space="0"/>
            </w:tcBorders>
            <w:vAlign w:val="center"/>
          </w:tcPr>
          <w:p>
            <w:pPr>
              <w:widowControl/>
              <w:spacing w:line="259" w:lineRule="auto"/>
              <w:ind w:left="19"/>
              <w:rPr>
                <w:rFonts w:ascii="Times New Roman" w:hAnsi="Times New Roman" w:eastAsia="Times New Roman"/>
                <w:sz w:val="32"/>
              </w:rPr>
            </w:pPr>
            <w:r>
              <w:rPr>
                <w:rFonts w:hint="eastAsia" w:ascii="Times New Roman" w:hAnsi="Times New Roman"/>
              </w:rPr>
              <w:t>分领域目标</w:t>
            </w:r>
          </w:p>
        </w:tc>
        <w:tc>
          <w:tcPr>
            <w:tcW w:w="357" w:type="pct"/>
            <w:vMerge w:val="restart"/>
            <w:tcBorders>
              <w:top w:val="single" w:color="auto" w:sz="4" w:space="0"/>
              <w:left w:val="single" w:color="000000" w:sz="4" w:space="0"/>
              <w:right w:val="single" w:color="000000" w:sz="4" w:space="0"/>
            </w:tcBorders>
            <w:vAlign w:val="center"/>
          </w:tcPr>
          <w:p>
            <w:pPr>
              <w:widowControl/>
              <w:spacing w:line="259" w:lineRule="auto"/>
              <w:ind w:right="44"/>
              <w:jc w:val="center"/>
              <w:rPr>
                <w:rFonts w:ascii="Times New Roman" w:hAnsi="Times New Roman" w:eastAsia="Times New Roman"/>
                <w:sz w:val="32"/>
              </w:rPr>
            </w:pPr>
            <w:r>
              <w:rPr>
                <w:rFonts w:hint="eastAsia" w:ascii="Times New Roman" w:hAnsi="Times New Roman"/>
              </w:rPr>
              <w:t>工业</w:t>
            </w:r>
          </w:p>
        </w:tc>
        <w:tc>
          <w:tcPr>
            <w:tcW w:w="238" w:type="pct"/>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right="46"/>
              <w:jc w:val="center"/>
              <w:rPr>
                <w:rFonts w:ascii="Times New Roman" w:hAnsi="Times New Roman" w:eastAsia="Times New Roman"/>
                <w:szCs w:val="21"/>
              </w:rPr>
            </w:pPr>
            <w:r>
              <w:rPr>
                <w:rFonts w:ascii="Times New Roman" w:hAnsi="Times New Roman" w:eastAsia="Times New Roman"/>
                <w:szCs w:val="21"/>
              </w:rPr>
              <w:t>6</w:t>
            </w:r>
          </w:p>
        </w:tc>
        <w:tc>
          <w:tcPr>
            <w:tcW w:w="1667" w:type="pct"/>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283"/>
              <w:jc w:val="left"/>
              <w:rPr>
                <w:rFonts w:ascii="Times New Roman" w:hAnsi="Times New Roman" w:eastAsia="Times New Roman"/>
                <w:sz w:val="32"/>
              </w:rPr>
            </w:pPr>
            <w:r>
              <w:rPr>
                <w:rFonts w:hint="eastAsia" w:ascii="Times New Roman" w:hAnsi="Times New Roman"/>
              </w:rPr>
              <w:t>规模以上工业水重复利用率</w:t>
            </w:r>
            <w:r>
              <w:rPr>
                <w:rFonts w:ascii="Times New Roman" w:hAnsi="Times New Roman"/>
              </w:rPr>
              <w:t xml:space="preserve"> (</w:t>
            </w:r>
            <w:r>
              <w:rPr>
                <w:rFonts w:hint="eastAsia" w:ascii="宋体" w:hAnsi="宋体" w:cs="宋体"/>
              </w:rPr>
              <w:t>大渝北数据包含两江新区</w:t>
            </w:r>
            <w:r>
              <w:rPr>
                <w:rFonts w:ascii="Times New Roman" w:hAnsi="Times New Roman"/>
              </w:rPr>
              <w:t>)</w:t>
            </w:r>
          </w:p>
        </w:tc>
        <w:tc>
          <w:tcPr>
            <w:tcW w:w="318" w:type="pct"/>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122"/>
              <w:jc w:val="left"/>
              <w:rPr>
                <w:rFonts w:ascii="Times New Roman" w:hAnsi="Times New Roman" w:eastAsia="Times New Roman"/>
                <w:sz w:val="32"/>
              </w:rPr>
            </w:pPr>
            <w:r>
              <w:rPr>
                <w:rFonts w:ascii="Times New Roman" w:hAnsi="Times New Roman"/>
              </w:rPr>
              <w:t xml:space="preserve">% </w:t>
            </w:r>
          </w:p>
        </w:tc>
        <w:tc>
          <w:tcPr>
            <w:tcW w:w="793" w:type="pct"/>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5"/>
              <w:jc w:val="center"/>
              <w:rPr>
                <w:rFonts w:ascii="Times New Roman" w:hAnsi="Times New Roman" w:eastAsia="Times New Roman"/>
                <w:sz w:val="32"/>
              </w:rPr>
            </w:pPr>
            <w:r>
              <w:rPr>
                <w:rFonts w:ascii="Times New Roman" w:hAnsi="Times New Roman"/>
              </w:rPr>
              <w:t>69%</w:t>
            </w:r>
          </w:p>
        </w:tc>
        <w:tc>
          <w:tcPr>
            <w:tcW w:w="636" w:type="pct"/>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5"/>
              <w:jc w:val="center"/>
              <w:rPr>
                <w:rFonts w:ascii="Times New Roman" w:hAnsi="Times New Roman" w:eastAsia="Times New Roman"/>
                <w:sz w:val="32"/>
              </w:rPr>
            </w:pPr>
            <w:r>
              <w:rPr>
                <w:rFonts w:ascii="Times New Roman" w:hAnsi="Times New Roman"/>
              </w:rPr>
              <w:t>90%</w:t>
            </w:r>
          </w:p>
        </w:tc>
        <w:tc>
          <w:tcPr>
            <w:tcW w:w="476" w:type="pct"/>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5"/>
              <w:rPr>
                <w:rFonts w:ascii="Times New Roman" w:hAnsi="Times New Roman" w:eastAsia="Times New Roman"/>
                <w:sz w:val="32"/>
              </w:rPr>
            </w:pPr>
            <w:r>
              <w:rPr>
                <w:rFonts w:hint="eastAsia" w:ascii="Times New Roman" w:hAnsi="Times New Roman"/>
              </w:rPr>
              <w:t>预期性</w:t>
            </w:r>
          </w:p>
        </w:tc>
      </w:tr>
      <w:tr>
        <w:tblPrEx>
          <w:tblCellMar>
            <w:top w:w="0" w:type="dxa"/>
            <w:left w:w="46" w:type="dxa"/>
            <w:bottom w:w="0" w:type="dxa"/>
            <w:right w:w="0" w:type="dxa"/>
          </w:tblCellMar>
        </w:tblPrEx>
        <w:trPr>
          <w:trHeight w:val="578" w:hRule="atLeast"/>
          <w:jc w:val="center"/>
        </w:trPr>
        <w:tc>
          <w:tcPr>
            <w:tcW w:w="515" w:type="pct"/>
            <w:vMerge w:val="continue"/>
            <w:tcBorders>
              <w:left w:val="single" w:color="000000" w:sz="4" w:space="0"/>
              <w:right w:val="single" w:color="000000" w:sz="4" w:space="0"/>
            </w:tcBorders>
          </w:tcPr>
          <w:p>
            <w:pPr>
              <w:widowControl/>
              <w:spacing w:after="160" w:line="259" w:lineRule="auto"/>
              <w:jc w:val="left"/>
              <w:rPr>
                <w:rFonts w:ascii="Times New Roman" w:hAnsi="Times New Roman" w:eastAsia="Times New Roman"/>
                <w:sz w:val="32"/>
              </w:rPr>
            </w:pPr>
          </w:p>
        </w:tc>
        <w:tc>
          <w:tcPr>
            <w:tcW w:w="357" w:type="pct"/>
            <w:vMerge w:val="continue"/>
            <w:tcBorders>
              <w:left w:val="single" w:color="000000" w:sz="4" w:space="0"/>
              <w:right w:val="single" w:color="000000" w:sz="4" w:space="0"/>
            </w:tcBorders>
          </w:tcPr>
          <w:p>
            <w:pPr>
              <w:widowControl/>
              <w:spacing w:after="160" w:line="259" w:lineRule="auto"/>
              <w:jc w:val="left"/>
              <w:rPr>
                <w:rFonts w:ascii="Times New Roman" w:hAnsi="Times New Roman" w:eastAsia="Times New Roman"/>
                <w:sz w:val="32"/>
              </w:rPr>
            </w:pPr>
          </w:p>
        </w:tc>
        <w:tc>
          <w:tcPr>
            <w:tcW w:w="238" w:type="pct"/>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right="46"/>
              <w:jc w:val="center"/>
              <w:rPr>
                <w:rFonts w:ascii="Times New Roman" w:hAnsi="Times New Roman" w:eastAsia="Times New Roman"/>
                <w:szCs w:val="21"/>
              </w:rPr>
            </w:pPr>
            <w:r>
              <w:rPr>
                <w:rFonts w:ascii="Times New Roman" w:hAnsi="Times New Roman" w:eastAsia="Times New Roman"/>
                <w:szCs w:val="21"/>
              </w:rPr>
              <w:t>7</w:t>
            </w:r>
          </w:p>
        </w:tc>
        <w:tc>
          <w:tcPr>
            <w:tcW w:w="1667" w:type="pct"/>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283"/>
              <w:jc w:val="left"/>
              <w:rPr>
                <w:rFonts w:ascii="Times New Roman" w:hAnsi="Times New Roman"/>
              </w:rPr>
            </w:pPr>
            <w:r>
              <w:rPr>
                <w:rFonts w:hint="eastAsia" w:ascii="Times New Roman" w:hAnsi="Times New Roman"/>
              </w:rPr>
              <w:t>规模以上节水型企业建成率</w:t>
            </w:r>
          </w:p>
        </w:tc>
        <w:tc>
          <w:tcPr>
            <w:tcW w:w="318" w:type="pct"/>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122"/>
              <w:jc w:val="left"/>
              <w:rPr>
                <w:rFonts w:ascii="Times New Roman" w:hAnsi="Times New Roman" w:eastAsia="Times New Roman"/>
                <w:sz w:val="32"/>
              </w:rPr>
            </w:pPr>
            <w:r>
              <w:rPr>
                <w:rFonts w:ascii="Times New Roman" w:hAnsi="Times New Roman"/>
              </w:rPr>
              <w:t xml:space="preserve">% </w:t>
            </w:r>
          </w:p>
        </w:tc>
        <w:tc>
          <w:tcPr>
            <w:tcW w:w="793" w:type="pct"/>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1"/>
              <w:jc w:val="center"/>
              <w:rPr>
                <w:rFonts w:ascii="Times New Roman" w:hAnsi="Times New Roman"/>
              </w:rPr>
            </w:pPr>
            <w:r>
              <w:rPr>
                <w:rFonts w:ascii="Times New Roman" w:hAnsi="Times New Roman"/>
              </w:rPr>
              <w:t>100%</w:t>
            </w:r>
          </w:p>
          <w:p>
            <w:pPr>
              <w:widowControl/>
              <w:spacing w:line="259" w:lineRule="auto"/>
              <w:ind w:left="1"/>
              <w:jc w:val="center"/>
              <w:rPr>
                <w:rFonts w:ascii="Times New Roman" w:hAnsi="Times New Roman"/>
              </w:rPr>
            </w:pPr>
            <w:r>
              <w:rPr>
                <w:rFonts w:hint="eastAsia" w:ascii="Times New Roman" w:hAnsi="Times New Roman"/>
              </w:rPr>
              <w:t>（重点行业年用水量</w:t>
            </w:r>
            <w:r>
              <w:rPr>
                <w:rFonts w:ascii="Times New Roman" w:hAnsi="Times New Roman"/>
              </w:rPr>
              <w:t>20</w:t>
            </w:r>
            <w:r>
              <w:rPr>
                <w:rFonts w:hint="eastAsia" w:ascii="Times New Roman" w:hAnsi="Times New Roman"/>
              </w:rPr>
              <w:t>万</w:t>
            </w:r>
            <w:r>
              <w:rPr>
                <w:rFonts w:ascii="Times New Roman" w:hAnsi="Times New Roman"/>
              </w:rPr>
              <w:t>m</w:t>
            </w:r>
            <w:r>
              <w:rPr>
                <w:rFonts w:ascii="Times New Roman" w:hAnsi="Times New Roman"/>
                <w:vertAlign w:val="superscript"/>
              </w:rPr>
              <w:t>3</w:t>
            </w:r>
            <w:r>
              <w:rPr>
                <w:rFonts w:hint="eastAsia" w:ascii="Times New Roman" w:hAnsi="Times New Roman"/>
              </w:rPr>
              <w:t>以上）</w:t>
            </w:r>
          </w:p>
        </w:tc>
        <w:tc>
          <w:tcPr>
            <w:tcW w:w="636" w:type="pct"/>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1"/>
              <w:jc w:val="center"/>
              <w:rPr>
                <w:rFonts w:ascii="Times New Roman" w:hAnsi="Times New Roman"/>
              </w:rPr>
            </w:pPr>
            <w:r>
              <w:rPr>
                <w:rFonts w:ascii="Times New Roman" w:hAnsi="Times New Roman"/>
              </w:rPr>
              <w:t>100%</w:t>
            </w:r>
          </w:p>
          <w:p>
            <w:pPr>
              <w:widowControl/>
              <w:spacing w:line="259" w:lineRule="auto"/>
              <w:ind w:left="1"/>
              <w:jc w:val="center"/>
              <w:rPr>
                <w:rFonts w:ascii="Times New Roman" w:hAnsi="Times New Roman" w:eastAsia="Times New Roman"/>
                <w:sz w:val="32"/>
              </w:rPr>
            </w:pPr>
            <w:r>
              <w:rPr>
                <w:rFonts w:hint="eastAsia" w:ascii="Times New Roman" w:hAnsi="Times New Roman"/>
              </w:rPr>
              <w:t>（重点行业年用水量</w:t>
            </w:r>
            <w:r>
              <w:rPr>
                <w:rFonts w:ascii="Times New Roman" w:hAnsi="Times New Roman"/>
              </w:rPr>
              <w:t>10</w:t>
            </w:r>
            <w:r>
              <w:rPr>
                <w:rFonts w:hint="eastAsia" w:ascii="Times New Roman" w:hAnsi="Times New Roman"/>
              </w:rPr>
              <w:t>万</w:t>
            </w:r>
            <w:r>
              <w:rPr>
                <w:rFonts w:ascii="Times New Roman" w:hAnsi="Times New Roman"/>
              </w:rPr>
              <w:t>m</w:t>
            </w:r>
            <w:r>
              <w:rPr>
                <w:rFonts w:ascii="Times New Roman" w:hAnsi="Times New Roman"/>
                <w:vertAlign w:val="superscript"/>
              </w:rPr>
              <w:t>3</w:t>
            </w:r>
            <w:r>
              <w:rPr>
                <w:rFonts w:hint="eastAsia" w:ascii="Times New Roman" w:hAnsi="Times New Roman"/>
              </w:rPr>
              <w:t>以上）</w:t>
            </w:r>
          </w:p>
        </w:tc>
        <w:tc>
          <w:tcPr>
            <w:tcW w:w="476" w:type="pct"/>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5"/>
              <w:rPr>
                <w:rFonts w:ascii="Times New Roman" w:hAnsi="Times New Roman" w:eastAsia="Times New Roman"/>
                <w:sz w:val="32"/>
              </w:rPr>
            </w:pPr>
            <w:r>
              <w:rPr>
                <w:rFonts w:hint="eastAsia" w:ascii="Times New Roman" w:hAnsi="Times New Roman"/>
              </w:rPr>
              <w:t>预期性</w:t>
            </w:r>
          </w:p>
        </w:tc>
      </w:tr>
      <w:tr>
        <w:tblPrEx>
          <w:tblCellMar>
            <w:top w:w="0" w:type="dxa"/>
            <w:left w:w="46" w:type="dxa"/>
            <w:bottom w:w="0" w:type="dxa"/>
            <w:right w:w="0" w:type="dxa"/>
          </w:tblCellMar>
        </w:tblPrEx>
        <w:trPr>
          <w:trHeight w:val="578" w:hRule="atLeast"/>
          <w:jc w:val="center"/>
        </w:trPr>
        <w:tc>
          <w:tcPr>
            <w:tcW w:w="515" w:type="pct"/>
            <w:vMerge w:val="continue"/>
            <w:tcBorders>
              <w:left w:val="single" w:color="000000" w:sz="4" w:space="0"/>
              <w:bottom w:val="single" w:color="000000" w:sz="4" w:space="0"/>
              <w:right w:val="single" w:color="000000" w:sz="4" w:space="0"/>
            </w:tcBorders>
          </w:tcPr>
          <w:p>
            <w:pPr>
              <w:widowControl/>
              <w:spacing w:after="160" w:line="259" w:lineRule="auto"/>
              <w:jc w:val="left"/>
              <w:rPr>
                <w:rFonts w:ascii="Times New Roman" w:hAnsi="Times New Roman" w:eastAsia="Times New Roman"/>
                <w:sz w:val="32"/>
              </w:rPr>
            </w:pPr>
          </w:p>
        </w:tc>
        <w:tc>
          <w:tcPr>
            <w:tcW w:w="357" w:type="pct"/>
            <w:vMerge w:val="continue"/>
            <w:tcBorders>
              <w:left w:val="single" w:color="000000" w:sz="4" w:space="0"/>
              <w:bottom w:val="single" w:color="000000" w:sz="4" w:space="0"/>
              <w:right w:val="single" w:color="000000" w:sz="4" w:space="0"/>
            </w:tcBorders>
          </w:tcPr>
          <w:p>
            <w:pPr>
              <w:widowControl/>
              <w:spacing w:after="160" w:line="259" w:lineRule="auto"/>
              <w:jc w:val="left"/>
              <w:rPr>
                <w:rFonts w:ascii="Times New Roman" w:hAnsi="Times New Roman" w:eastAsia="Times New Roman"/>
                <w:sz w:val="32"/>
              </w:rPr>
            </w:pPr>
          </w:p>
        </w:tc>
        <w:tc>
          <w:tcPr>
            <w:tcW w:w="238" w:type="pct"/>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right="46"/>
              <w:jc w:val="center"/>
              <w:rPr>
                <w:rFonts w:ascii="Times New Roman" w:hAnsi="Times New Roman" w:eastAsia="Times New Roman"/>
                <w:szCs w:val="21"/>
              </w:rPr>
            </w:pPr>
            <w:r>
              <w:rPr>
                <w:rFonts w:ascii="Times New Roman" w:hAnsi="Times New Roman" w:eastAsia="Times New Roman"/>
                <w:szCs w:val="21"/>
              </w:rPr>
              <w:t>8</w:t>
            </w:r>
          </w:p>
        </w:tc>
        <w:tc>
          <w:tcPr>
            <w:tcW w:w="1667" w:type="pct"/>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283"/>
              <w:jc w:val="left"/>
              <w:rPr>
                <w:rFonts w:ascii="Times New Roman" w:hAnsi="Times New Roman"/>
              </w:rPr>
            </w:pPr>
            <w:r>
              <w:rPr>
                <w:rFonts w:hint="eastAsia" w:ascii="Times New Roman" w:hAnsi="Times New Roman"/>
              </w:rPr>
              <w:t>工业用水计量率</w:t>
            </w:r>
          </w:p>
        </w:tc>
        <w:tc>
          <w:tcPr>
            <w:tcW w:w="318" w:type="pct"/>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122"/>
              <w:jc w:val="left"/>
              <w:rPr>
                <w:rFonts w:ascii="Times New Roman" w:hAnsi="Times New Roman"/>
              </w:rPr>
            </w:pPr>
            <w:r>
              <w:rPr>
                <w:rFonts w:ascii="宋体" w:hAnsi="宋体"/>
              </w:rPr>
              <w:t>%</w:t>
            </w:r>
          </w:p>
        </w:tc>
        <w:tc>
          <w:tcPr>
            <w:tcW w:w="793" w:type="pct"/>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1"/>
              <w:jc w:val="center"/>
              <w:rPr>
                <w:rFonts w:ascii="Times New Roman" w:hAnsi="Times New Roman"/>
              </w:rPr>
            </w:pPr>
            <w:r>
              <w:rPr>
                <w:rFonts w:ascii="Times New Roman" w:hAnsi="Times New Roman"/>
              </w:rPr>
              <w:t>100%</w:t>
            </w:r>
          </w:p>
        </w:tc>
        <w:tc>
          <w:tcPr>
            <w:tcW w:w="636" w:type="pct"/>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1"/>
              <w:jc w:val="center"/>
              <w:rPr>
                <w:rFonts w:ascii="Times New Roman" w:hAnsi="Times New Roman"/>
              </w:rPr>
            </w:pPr>
            <w:r>
              <w:rPr>
                <w:rFonts w:ascii="Times New Roman" w:hAnsi="Times New Roman"/>
              </w:rPr>
              <w:t>100%</w:t>
            </w:r>
          </w:p>
        </w:tc>
        <w:tc>
          <w:tcPr>
            <w:tcW w:w="476" w:type="pct"/>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5"/>
              <w:rPr>
                <w:rFonts w:ascii="Times New Roman" w:hAnsi="Times New Roman"/>
              </w:rPr>
            </w:pPr>
            <w:r>
              <w:rPr>
                <w:rFonts w:hint="eastAsia" w:ascii="Times New Roman" w:hAnsi="Times New Roman"/>
              </w:rPr>
              <w:t>预期性</w:t>
            </w:r>
          </w:p>
        </w:tc>
      </w:tr>
      <w:tr>
        <w:tblPrEx>
          <w:tblCellMar>
            <w:top w:w="0" w:type="dxa"/>
            <w:left w:w="46" w:type="dxa"/>
            <w:bottom w:w="0" w:type="dxa"/>
            <w:right w:w="0" w:type="dxa"/>
          </w:tblCellMar>
        </w:tblPrEx>
        <w:trPr>
          <w:trHeight w:val="605" w:hRule="atLeast"/>
          <w:jc w:val="center"/>
        </w:trPr>
        <w:tc>
          <w:tcPr>
            <w:tcW w:w="515" w:type="pct"/>
            <w:vMerge w:val="restart"/>
            <w:tcBorders>
              <w:top w:val="single" w:color="000000" w:sz="4" w:space="0"/>
              <w:left w:val="single" w:color="000000" w:sz="4" w:space="0"/>
              <w:right w:val="single" w:color="000000" w:sz="4" w:space="0"/>
            </w:tcBorders>
            <w:vAlign w:val="center"/>
          </w:tcPr>
          <w:p>
            <w:pPr>
              <w:spacing w:line="259" w:lineRule="auto"/>
              <w:ind w:left="19"/>
              <w:rPr>
                <w:rFonts w:ascii="Times New Roman" w:hAnsi="Times New Roman" w:eastAsia="Times New Roman"/>
                <w:sz w:val="32"/>
              </w:rPr>
            </w:pPr>
            <w:r>
              <w:rPr>
                <w:rFonts w:hint="eastAsia" w:ascii="Times New Roman" w:hAnsi="Times New Roman"/>
              </w:rPr>
              <w:t>分领域目标</w:t>
            </w:r>
          </w:p>
        </w:tc>
        <w:tc>
          <w:tcPr>
            <w:tcW w:w="357" w:type="pct"/>
            <w:vMerge w:val="restart"/>
            <w:tcBorders>
              <w:top w:val="single" w:color="000000" w:sz="4" w:space="0"/>
              <w:left w:val="single" w:color="000000" w:sz="4" w:space="0"/>
              <w:right w:val="single" w:color="000000" w:sz="4" w:space="0"/>
            </w:tcBorders>
            <w:vAlign w:val="center"/>
          </w:tcPr>
          <w:p>
            <w:pPr>
              <w:widowControl/>
              <w:spacing w:line="259" w:lineRule="auto"/>
              <w:ind w:right="41"/>
              <w:jc w:val="center"/>
              <w:rPr>
                <w:rFonts w:ascii="Times New Roman" w:hAnsi="Times New Roman" w:eastAsia="Times New Roman"/>
                <w:sz w:val="32"/>
              </w:rPr>
            </w:pPr>
            <w:r>
              <w:rPr>
                <w:rFonts w:hint="eastAsia" w:ascii="Times New Roman" w:hAnsi="Times New Roman"/>
              </w:rPr>
              <w:t>城镇生活</w:t>
            </w:r>
          </w:p>
        </w:tc>
        <w:tc>
          <w:tcPr>
            <w:tcW w:w="238" w:type="pct"/>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right="46"/>
              <w:jc w:val="center"/>
              <w:rPr>
                <w:rFonts w:ascii="Times New Roman" w:hAnsi="Times New Roman" w:eastAsia="Times New Roman"/>
                <w:szCs w:val="21"/>
              </w:rPr>
            </w:pPr>
            <w:r>
              <w:rPr>
                <w:rFonts w:ascii="Times New Roman" w:hAnsi="Times New Roman" w:eastAsia="Times New Roman"/>
                <w:szCs w:val="21"/>
              </w:rPr>
              <w:t>9</w:t>
            </w:r>
          </w:p>
        </w:tc>
        <w:tc>
          <w:tcPr>
            <w:tcW w:w="1667" w:type="pct"/>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right="48"/>
              <w:jc w:val="center"/>
              <w:rPr>
                <w:rFonts w:ascii="Times New Roman" w:hAnsi="Times New Roman" w:eastAsia="Times New Roman"/>
                <w:sz w:val="32"/>
              </w:rPr>
            </w:pPr>
            <w:r>
              <w:rPr>
                <w:rFonts w:hint="eastAsia" w:ascii="Times New Roman" w:hAnsi="Times New Roman"/>
              </w:rPr>
              <w:t>城镇公共供水管网漏损率</w:t>
            </w:r>
          </w:p>
        </w:tc>
        <w:tc>
          <w:tcPr>
            <w:tcW w:w="318" w:type="pct"/>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122"/>
              <w:jc w:val="left"/>
              <w:rPr>
                <w:rFonts w:ascii="Times New Roman" w:hAnsi="Times New Roman" w:eastAsia="Times New Roman"/>
                <w:sz w:val="32"/>
              </w:rPr>
            </w:pPr>
            <w:r>
              <w:rPr>
                <w:rFonts w:ascii="Times New Roman" w:hAnsi="Times New Roman"/>
              </w:rPr>
              <w:t xml:space="preserve">% </w:t>
            </w:r>
          </w:p>
        </w:tc>
        <w:tc>
          <w:tcPr>
            <w:tcW w:w="793" w:type="pct"/>
            <w:tcBorders>
              <w:top w:val="single" w:color="000000" w:sz="4" w:space="0"/>
              <w:left w:val="single" w:color="000000" w:sz="4" w:space="0"/>
              <w:bottom w:val="single" w:color="000000" w:sz="4" w:space="0"/>
              <w:right w:val="single" w:color="000000" w:sz="4" w:space="0"/>
            </w:tcBorders>
            <w:vAlign w:val="center"/>
          </w:tcPr>
          <w:p>
            <w:pPr>
              <w:spacing w:line="259" w:lineRule="auto"/>
              <w:ind w:left="1"/>
              <w:jc w:val="center"/>
              <w:rPr>
                <w:rFonts w:ascii="Times New Roman" w:hAnsi="Times New Roman" w:eastAsia="Times New Roman"/>
                <w:sz w:val="32"/>
              </w:rPr>
            </w:pPr>
            <w:r>
              <w:rPr>
                <w:rFonts w:ascii="Times New Roman" w:hAnsi="Times New Roman"/>
              </w:rPr>
              <w:t>9.39%</w:t>
            </w:r>
          </w:p>
        </w:tc>
        <w:tc>
          <w:tcPr>
            <w:tcW w:w="636" w:type="pct"/>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5"/>
              <w:jc w:val="center"/>
              <w:rPr>
                <w:rFonts w:ascii="Times New Roman" w:hAnsi="Times New Roman" w:eastAsia="Times New Roman"/>
                <w:sz w:val="32"/>
              </w:rPr>
            </w:pPr>
            <w:r>
              <w:rPr>
                <w:rFonts w:ascii="Times New Roman" w:hAnsi="Times New Roman"/>
              </w:rPr>
              <w:t>9%</w:t>
            </w:r>
          </w:p>
        </w:tc>
        <w:tc>
          <w:tcPr>
            <w:tcW w:w="476" w:type="pct"/>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5"/>
              <w:rPr>
                <w:rFonts w:ascii="Times New Roman" w:hAnsi="Times New Roman" w:eastAsia="Times New Roman"/>
                <w:sz w:val="32"/>
              </w:rPr>
            </w:pPr>
            <w:r>
              <w:rPr>
                <w:rFonts w:hint="eastAsia" w:ascii="Times New Roman" w:hAnsi="Times New Roman"/>
              </w:rPr>
              <w:t>预期性</w:t>
            </w:r>
          </w:p>
        </w:tc>
      </w:tr>
      <w:tr>
        <w:tblPrEx>
          <w:tblCellMar>
            <w:top w:w="0" w:type="dxa"/>
            <w:left w:w="46" w:type="dxa"/>
            <w:bottom w:w="0" w:type="dxa"/>
            <w:right w:w="0" w:type="dxa"/>
          </w:tblCellMar>
        </w:tblPrEx>
        <w:trPr>
          <w:trHeight w:val="579" w:hRule="atLeast"/>
          <w:jc w:val="center"/>
        </w:trPr>
        <w:tc>
          <w:tcPr>
            <w:tcW w:w="515" w:type="pct"/>
            <w:vMerge w:val="continue"/>
            <w:tcBorders>
              <w:left w:val="single" w:color="000000" w:sz="4" w:space="0"/>
              <w:right w:val="single" w:color="000000" w:sz="4" w:space="0"/>
            </w:tcBorders>
            <w:vAlign w:val="center"/>
          </w:tcPr>
          <w:p>
            <w:pPr>
              <w:widowControl/>
              <w:spacing w:line="259" w:lineRule="auto"/>
              <w:ind w:left="19"/>
              <w:rPr>
                <w:rFonts w:ascii="Times New Roman" w:hAnsi="Times New Roman" w:eastAsia="Times New Roman"/>
                <w:color w:val="0070C0"/>
                <w:sz w:val="32"/>
              </w:rPr>
            </w:pPr>
          </w:p>
        </w:tc>
        <w:tc>
          <w:tcPr>
            <w:tcW w:w="357" w:type="pct"/>
            <w:vMerge w:val="continue"/>
            <w:tcBorders>
              <w:left w:val="single" w:color="000000" w:sz="4" w:space="0"/>
              <w:right w:val="single" w:color="000000" w:sz="4" w:space="0"/>
            </w:tcBorders>
            <w:vAlign w:val="center"/>
          </w:tcPr>
          <w:p>
            <w:pPr>
              <w:widowControl/>
              <w:spacing w:line="259" w:lineRule="auto"/>
              <w:ind w:right="41"/>
              <w:jc w:val="center"/>
              <w:rPr>
                <w:rFonts w:ascii="Times New Roman" w:hAnsi="Times New Roman" w:eastAsia="Times New Roman"/>
                <w:color w:val="0070C0"/>
                <w:sz w:val="32"/>
              </w:rPr>
            </w:pPr>
          </w:p>
        </w:tc>
        <w:tc>
          <w:tcPr>
            <w:tcW w:w="238" w:type="pct"/>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right="46"/>
              <w:jc w:val="center"/>
              <w:rPr>
                <w:rFonts w:ascii="Times New Roman" w:hAnsi="Times New Roman" w:eastAsia="Times New Roman"/>
                <w:szCs w:val="21"/>
              </w:rPr>
            </w:pPr>
            <w:r>
              <w:rPr>
                <w:rFonts w:ascii="Times New Roman" w:hAnsi="Times New Roman" w:eastAsia="Times New Roman"/>
                <w:szCs w:val="21"/>
              </w:rPr>
              <w:t>10</w:t>
            </w:r>
          </w:p>
        </w:tc>
        <w:tc>
          <w:tcPr>
            <w:tcW w:w="1667" w:type="pct"/>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right="51"/>
              <w:jc w:val="center"/>
              <w:rPr>
                <w:rFonts w:ascii="Times New Roman" w:hAnsi="Times New Roman" w:eastAsia="Times New Roman"/>
                <w:sz w:val="32"/>
              </w:rPr>
            </w:pPr>
            <w:r>
              <w:rPr>
                <w:rFonts w:hint="eastAsia" w:ascii="Times New Roman" w:hAnsi="Times New Roman"/>
              </w:rPr>
              <w:t>城市再生水利用率</w:t>
            </w:r>
          </w:p>
        </w:tc>
        <w:tc>
          <w:tcPr>
            <w:tcW w:w="318" w:type="pct"/>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122"/>
              <w:jc w:val="left"/>
              <w:rPr>
                <w:rFonts w:ascii="Times New Roman" w:hAnsi="Times New Roman" w:eastAsia="Times New Roman"/>
                <w:sz w:val="32"/>
              </w:rPr>
            </w:pPr>
            <w:r>
              <w:rPr>
                <w:rFonts w:ascii="Times New Roman" w:hAnsi="Times New Roman"/>
              </w:rPr>
              <w:t xml:space="preserve">% </w:t>
            </w:r>
          </w:p>
        </w:tc>
        <w:tc>
          <w:tcPr>
            <w:tcW w:w="793" w:type="pct"/>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5"/>
              <w:jc w:val="center"/>
              <w:rPr>
                <w:rFonts w:ascii="Times New Roman" w:hAnsi="Times New Roman" w:eastAsia="Times New Roman"/>
                <w:sz w:val="18"/>
                <w:szCs w:val="18"/>
                <w:highlight w:val="yellow"/>
              </w:rPr>
            </w:pPr>
            <w:r>
              <w:rPr>
                <w:rFonts w:ascii="Times New Roman" w:hAnsi="Times New Roman"/>
              </w:rPr>
              <w:t>8.55%</w:t>
            </w:r>
          </w:p>
        </w:tc>
        <w:tc>
          <w:tcPr>
            <w:tcW w:w="636" w:type="pct"/>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5"/>
              <w:jc w:val="center"/>
              <w:rPr>
                <w:rFonts w:ascii="Times New Roman" w:hAnsi="Times New Roman" w:eastAsia="Times New Roman"/>
                <w:sz w:val="32"/>
              </w:rPr>
            </w:pPr>
            <w:r>
              <w:rPr>
                <w:rFonts w:ascii="Times New Roman" w:hAnsi="Times New Roman"/>
              </w:rPr>
              <w:t>15%</w:t>
            </w:r>
          </w:p>
        </w:tc>
        <w:tc>
          <w:tcPr>
            <w:tcW w:w="476" w:type="pct"/>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5"/>
              <w:rPr>
                <w:rFonts w:ascii="Times New Roman" w:hAnsi="Times New Roman" w:eastAsia="Times New Roman"/>
                <w:sz w:val="32"/>
              </w:rPr>
            </w:pPr>
            <w:r>
              <w:rPr>
                <w:rFonts w:hint="eastAsia" w:ascii="Times New Roman" w:hAnsi="Times New Roman"/>
              </w:rPr>
              <w:t>预期性</w:t>
            </w:r>
          </w:p>
        </w:tc>
      </w:tr>
      <w:tr>
        <w:tblPrEx>
          <w:tblCellMar>
            <w:top w:w="0" w:type="dxa"/>
            <w:left w:w="46" w:type="dxa"/>
            <w:bottom w:w="0" w:type="dxa"/>
            <w:right w:w="0" w:type="dxa"/>
          </w:tblCellMar>
        </w:tblPrEx>
        <w:trPr>
          <w:trHeight w:val="576" w:hRule="atLeast"/>
          <w:jc w:val="center"/>
        </w:trPr>
        <w:tc>
          <w:tcPr>
            <w:tcW w:w="515" w:type="pct"/>
            <w:vMerge w:val="continue"/>
            <w:tcBorders>
              <w:left w:val="single" w:color="000000" w:sz="4" w:space="0"/>
              <w:right w:val="single" w:color="000000" w:sz="4" w:space="0"/>
            </w:tcBorders>
          </w:tcPr>
          <w:p>
            <w:pPr>
              <w:widowControl/>
              <w:spacing w:after="160" w:line="259" w:lineRule="auto"/>
              <w:jc w:val="left"/>
              <w:rPr>
                <w:rFonts w:ascii="Times New Roman" w:hAnsi="Times New Roman" w:eastAsia="Times New Roman"/>
                <w:color w:val="0070C0"/>
                <w:sz w:val="32"/>
              </w:rPr>
            </w:pPr>
          </w:p>
        </w:tc>
        <w:tc>
          <w:tcPr>
            <w:tcW w:w="357" w:type="pct"/>
            <w:vMerge w:val="continue"/>
            <w:tcBorders>
              <w:left w:val="single" w:color="000000" w:sz="4" w:space="0"/>
              <w:right w:val="single" w:color="000000" w:sz="4" w:space="0"/>
            </w:tcBorders>
          </w:tcPr>
          <w:p>
            <w:pPr>
              <w:widowControl/>
              <w:spacing w:after="160" w:line="259" w:lineRule="auto"/>
              <w:jc w:val="left"/>
              <w:rPr>
                <w:rFonts w:ascii="Times New Roman" w:hAnsi="Times New Roman" w:eastAsia="Times New Roman"/>
                <w:color w:val="0070C0"/>
                <w:sz w:val="32"/>
              </w:rPr>
            </w:pPr>
          </w:p>
        </w:tc>
        <w:tc>
          <w:tcPr>
            <w:tcW w:w="238" w:type="pct"/>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right="46"/>
              <w:jc w:val="center"/>
              <w:rPr>
                <w:rFonts w:ascii="Times New Roman" w:hAnsi="Times New Roman" w:eastAsia="Times New Roman"/>
                <w:sz w:val="32"/>
              </w:rPr>
            </w:pPr>
            <w:r>
              <w:rPr>
                <w:rFonts w:ascii="Times New Roman" w:hAnsi="Times New Roman"/>
              </w:rPr>
              <w:t>11</w:t>
            </w:r>
          </w:p>
        </w:tc>
        <w:tc>
          <w:tcPr>
            <w:tcW w:w="1667" w:type="pct"/>
            <w:tcBorders>
              <w:top w:val="single" w:color="000000" w:sz="4" w:space="0"/>
              <w:left w:val="single" w:color="000000" w:sz="4" w:space="0"/>
              <w:bottom w:val="single" w:color="000000" w:sz="4" w:space="0"/>
              <w:right w:val="single" w:color="000000" w:sz="4" w:space="0"/>
            </w:tcBorders>
          </w:tcPr>
          <w:p>
            <w:pPr>
              <w:widowControl/>
              <w:spacing w:line="259" w:lineRule="auto"/>
              <w:jc w:val="center"/>
              <w:rPr>
                <w:rFonts w:ascii="Times New Roman" w:hAnsi="Times New Roman" w:eastAsia="Times New Roman"/>
                <w:sz w:val="32"/>
              </w:rPr>
            </w:pPr>
            <w:r>
              <w:rPr>
                <w:rFonts w:hint="eastAsia" w:ascii="Times New Roman" w:hAnsi="Times New Roman"/>
              </w:rPr>
              <w:t>有专业化物业管理公司的节水型小区建成率</w:t>
            </w:r>
          </w:p>
        </w:tc>
        <w:tc>
          <w:tcPr>
            <w:tcW w:w="318" w:type="pct"/>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122"/>
              <w:jc w:val="left"/>
              <w:rPr>
                <w:rFonts w:ascii="Times New Roman" w:hAnsi="Times New Roman" w:eastAsia="Times New Roman"/>
                <w:sz w:val="32"/>
              </w:rPr>
            </w:pPr>
            <w:r>
              <w:rPr>
                <w:rFonts w:ascii="Times New Roman" w:hAnsi="Times New Roman"/>
              </w:rPr>
              <w:t xml:space="preserve">% </w:t>
            </w:r>
          </w:p>
        </w:tc>
        <w:tc>
          <w:tcPr>
            <w:tcW w:w="793" w:type="pct"/>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1"/>
              <w:jc w:val="center"/>
              <w:rPr>
                <w:rFonts w:ascii="Times New Roman" w:hAnsi="Times New Roman"/>
                <w:highlight w:val="yellow"/>
              </w:rPr>
            </w:pPr>
            <w:r>
              <w:rPr>
                <w:rFonts w:ascii="Times New Roman" w:hAnsi="Times New Roman"/>
              </w:rPr>
              <w:t>10%</w:t>
            </w:r>
          </w:p>
        </w:tc>
        <w:tc>
          <w:tcPr>
            <w:tcW w:w="636" w:type="pct"/>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5"/>
              <w:jc w:val="center"/>
              <w:rPr>
                <w:rFonts w:ascii="Times New Roman" w:hAnsi="Times New Roman" w:eastAsia="Times New Roman"/>
                <w:sz w:val="32"/>
              </w:rPr>
            </w:pPr>
            <w:r>
              <w:rPr>
                <w:rFonts w:ascii="Times New Roman" w:hAnsi="Times New Roman"/>
              </w:rPr>
              <w:t>15%</w:t>
            </w:r>
          </w:p>
        </w:tc>
        <w:tc>
          <w:tcPr>
            <w:tcW w:w="476" w:type="pct"/>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5"/>
              <w:rPr>
                <w:rFonts w:ascii="Times New Roman" w:hAnsi="Times New Roman" w:eastAsia="Times New Roman"/>
                <w:sz w:val="32"/>
              </w:rPr>
            </w:pPr>
            <w:r>
              <w:rPr>
                <w:rFonts w:hint="eastAsia" w:ascii="Times New Roman" w:hAnsi="Times New Roman"/>
              </w:rPr>
              <w:t>预期性</w:t>
            </w:r>
          </w:p>
        </w:tc>
      </w:tr>
      <w:tr>
        <w:tblPrEx>
          <w:tblCellMar>
            <w:top w:w="0" w:type="dxa"/>
            <w:left w:w="46" w:type="dxa"/>
            <w:bottom w:w="0" w:type="dxa"/>
            <w:right w:w="0" w:type="dxa"/>
          </w:tblCellMar>
        </w:tblPrEx>
        <w:trPr>
          <w:trHeight w:val="578" w:hRule="atLeast"/>
          <w:jc w:val="center"/>
        </w:trPr>
        <w:tc>
          <w:tcPr>
            <w:tcW w:w="515" w:type="pct"/>
            <w:vMerge w:val="continue"/>
            <w:tcBorders>
              <w:left w:val="single" w:color="000000" w:sz="4" w:space="0"/>
              <w:bottom w:val="single" w:color="auto" w:sz="4" w:space="0"/>
              <w:right w:val="single" w:color="000000" w:sz="4" w:space="0"/>
            </w:tcBorders>
          </w:tcPr>
          <w:p>
            <w:pPr>
              <w:widowControl/>
              <w:spacing w:after="160" w:line="259" w:lineRule="auto"/>
              <w:jc w:val="left"/>
              <w:rPr>
                <w:rFonts w:ascii="Times New Roman" w:hAnsi="Times New Roman" w:eastAsia="Times New Roman"/>
                <w:color w:val="0070C0"/>
                <w:sz w:val="32"/>
              </w:rPr>
            </w:pPr>
          </w:p>
        </w:tc>
        <w:tc>
          <w:tcPr>
            <w:tcW w:w="357" w:type="pct"/>
            <w:vMerge w:val="continue"/>
            <w:tcBorders>
              <w:left w:val="single" w:color="000000" w:sz="4" w:space="0"/>
              <w:bottom w:val="single" w:color="auto" w:sz="4" w:space="0"/>
              <w:right w:val="single" w:color="000000" w:sz="4" w:space="0"/>
            </w:tcBorders>
          </w:tcPr>
          <w:p>
            <w:pPr>
              <w:widowControl/>
              <w:spacing w:after="160" w:line="259" w:lineRule="auto"/>
              <w:jc w:val="left"/>
              <w:rPr>
                <w:rFonts w:ascii="Times New Roman" w:hAnsi="Times New Roman" w:eastAsia="Times New Roman"/>
                <w:color w:val="0070C0"/>
                <w:sz w:val="32"/>
              </w:rPr>
            </w:pPr>
          </w:p>
        </w:tc>
        <w:tc>
          <w:tcPr>
            <w:tcW w:w="238" w:type="pct"/>
            <w:tcBorders>
              <w:top w:val="single" w:color="000000" w:sz="4" w:space="0"/>
              <w:left w:val="single" w:color="000000" w:sz="4" w:space="0"/>
              <w:bottom w:val="single" w:color="auto" w:sz="4" w:space="0"/>
              <w:right w:val="single" w:color="000000" w:sz="4" w:space="0"/>
            </w:tcBorders>
            <w:vAlign w:val="center"/>
          </w:tcPr>
          <w:p>
            <w:pPr>
              <w:widowControl/>
              <w:spacing w:line="259" w:lineRule="auto"/>
              <w:ind w:right="46"/>
              <w:jc w:val="center"/>
              <w:rPr>
                <w:rFonts w:ascii="Times New Roman" w:hAnsi="Times New Roman" w:eastAsia="Times New Roman"/>
                <w:sz w:val="32"/>
              </w:rPr>
            </w:pPr>
            <w:r>
              <w:rPr>
                <w:rFonts w:ascii="Times New Roman" w:hAnsi="Times New Roman"/>
              </w:rPr>
              <w:t>12</w:t>
            </w:r>
          </w:p>
        </w:tc>
        <w:tc>
          <w:tcPr>
            <w:tcW w:w="1667" w:type="pct"/>
            <w:tcBorders>
              <w:top w:val="single" w:color="000000" w:sz="4" w:space="0"/>
              <w:left w:val="single" w:color="000000" w:sz="4" w:space="0"/>
              <w:bottom w:val="single" w:color="auto" w:sz="4" w:space="0"/>
              <w:right w:val="single" w:color="000000" w:sz="4" w:space="0"/>
            </w:tcBorders>
            <w:vAlign w:val="center"/>
          </w:tcPr>
          <w:p>
            <w:pPr>
              <w:widowControl/>
              <w:spacing w:line="259" w:lineRule="auto"/>
              <w:ind w:right="48"/>
              <w:jc w:val="center"/>
              <w:rPr>
                <w:rFonts w:ascii="Times New Roman" w:hAnsi="Times New Roman"/>
              </w:rPr>
            </w:pPr>
            <w:r>
              <w:rPr>
                <w:rFonts w:hint="eastAsia" w:ascii="Times New Roman" w:hAnsi="Times New Roman"/>
              </w:rPr>
              <w:t>公共机构节水型单位建成率</w:t>
            </w:r>
          </w:p>
        </w:tc>
        <w:tc>
          <w:tcPr>
            <w:tcW w:w="318" w:type="pct"/>
            <w:tcBorders>
              <w:top w:val="single" w:color="000000" w:sz="4" w:space="0"/>
              <w:left w:val="single" w:color="000000" w:sz="4" w:space="0"/>
              <w:bottom w:val="single" w:color="auto" w:sz="4" w:space="0"/>
              <w:right w:val="single" w:color="000000" w:sz="4" w:space="0"/>
            </w:tcBorders>
            <w:vAlign w:val="center"/>
          </w:tcPr>
          <w:p>
            <w:pPr>
              <w:widowControl/>
              <w:spacing w:line="259" w:lineRule="auto"/>
              <w:ind w:left="122"/>
              <w:jc w:val="left"/>
              <w:rPr>
                <w:rFonts w:ascii="Times New Roman" w:hAnsi="Times New Roman" w:eastAsia="Times New Roman"/>
                <w:sz w:val="32"/>
              </w:rPr>
            </w:pPr>
            <w:r>
              <w:rPr>
                <w:rFonts w:ascii="Times New Roman" w:hAnsi="Times New Roman"/>
              </w:rPr>
              <w:t xml:space="preserve">% </w:t>
            </w:r>
          </w:p>
        </w:tc>
        <w:tc>
          <w:tcPr>
            <w:tcW w:w="793" w:type="pct"/>
            <w:tcBorders>
              <w:top w:val="single" w:color="auto" w:sz="4" w:space="0"/>
              <w:left w:val="single" w:color="auto" w:sz="4" w:space="0"/>
              <w:bottom w:val="single" w:color="auto" w:sz="4" w:space="0"/>
              <w:right w:val="single" w:color="auto" w:sz="4" w:space="0"/>
            </w:tcBorders>
            <w:vAlign w:val="center"/>
          </w:tcPr>
          <w:p>
            <w:pPr>
              <w:widowControl/>
              <w:spacing w:line="259" w:lineRule="auto"/>
              <w:ind w:left="1"/>
              <w:jc w:val="center"/>
              <w:rPr>
                <w:rFonts w:ascii="Times New Roman" w:hAnsi="Times New Roman"/>
              </w:rPr>
            </w:pPr>
            <w:r>
              <w:rPr>
                <w:rFonts w:ascii="Times New Roman" w:hAnsi="Times New Roman"/>
              </w:rPr>
              <w:t>55.4%</w:t>
            </w:r>
            <w:r>
              <w:rPr>
                <w:rFonts w:hint="eastAsia" w:ascii="Times New Roman" w:hAnsi="Times New Roman"/>
              </w:rPr>
              <w:t>的区级机关和</w:t>
            </w:r>
            <w:r>
              <w:rPr>
                <w:rFonts w:ascii="Times New Roman" w:hAnsi="Times New Roman"/>
              </w:rPr>
              <w:t>51%</w:t>
            </w:r>
            <w:r>
              <w:rPr>
                <w:rFonts w:hint="eastAsia" w:ascii="Times New Roman" w:hAnsi="Times New Roman"/>
              </w:rPr>
              <w:t>的区级其他公共机构</w:t>
            </w:r>
          </w:p>
        </w:tc>
        <w:tc>
          <w:tcPr>
            <w:tcW w:w="636" w:type="pct"/>
            <w:tcBorders>
              <w:top w:val="single" w:color="auto" w:sz="4" w:space="0"/>
              <w:left w:val="single" w:color="auto" w:sz="4" w:space="0"/>
              <w:bottom w:val="single" w:color="auto" w:sz="4" w:space="0"/>
              <w:right w:val="single" w:color="auto" w:sz="4" w:space="0"/>
            </w:tcBorders>
            <w:vAlign w:val="center"/>
          </w:tcPr>
          <w:p>
            <w:pPr>
              <w:widowControl/>
              <w:spacing w:line="259" w:lineRule="auto"/>
              <w:ind w:left="1"/>
              <w:jc w:val="center"/>
              <w:rPr>
                <w:rFonts w:ascii="Times New Roman" w:hAnsi="Times New Roman"/>
              </w:rPr>
            </w:pPr>
            <w:r>
              <w:rPr>
                <w:rFonts w:hint="eastAsia" w:ascii="Times New Roman" w:hAnsi="Times New Roman"/>
              </w:rPr>
              <w:t>全部区级机关和</w:t>
            </w:r>
            <w:r>
              <w:rPr>
                <w:rFonts w:ascii="Times New Roman" w:hAnsi="Times New Roman"/>
              </w:rPr>
              <w:t>70%</w:t>
            </w:r>
            <w:r>
              <w:rPr>
                <w:rFonts w:hint="eastAsia" w:ascii="Times New Roman" w:hAnsi="Times New Roman"/>
              </w:rPr>
              <w:t>的区级其他公共机构</w:t>
            </w:r>
          </w:p>
        </w:tc>
        <w:tc>
          <w:tcPr>
            <w:tcW w:w="476" w:type="pct"/>
            <w:tcBorders>
              <w:top w:val="single" w:color="000000" w:sz="4" w:space="0"/>
              <w:left w:val="single" w:color="000000" w:sz="4" w:space="0"/>
              <w:bottom w:val="single" w:color="auto" w:sz="4" w:space="0"/>
              <w:right w:val="single" w:color="000000" w:sz="4" w:space="0"/>
            </w:tcBorders>
            <w:vAlign w:val="center"/>
          </w:tcPr>
          <w:p>
            <w:pPr>
              <w:widowControl/>
              <w:spacing w:line="259" w:lineRule="auto"/>
              <w:ind w:left="5"/>
              <w:rPr>
                <w:rFonts w:ascii="Times New Roman" w:hAnsi="Times New Roman" w:eastAsia="Times New Roman"/>
                <w:sz w:val="32"/>
              </w:rPr>
            </w:pPr>
            <w:r>
              <w:rPr>
                <w:rFonts w:hint="eastAsia" w:ascii="Times New Roman" w:hAnsi="Times New Roman"/>
              </w:rPr>
              <w:t>预期性</w:t>
            </w:r>
          </w:p>
        </w:tc>
      </w:tr>
      <w:tr>
        <w:tblPrEx>
          <w:tblCellMar>
            <w:top w:w="0" w:type="dxa"/>
            <w:left w:w="46" w:type="dxa"/>
            <w:bottom w:w="0" w:type="dxa"/>
            <w:right w:w="0" w:type="dxa"/>
          </w:tblCellMar>
        </w:tblPrEx>
        <w:trPr>
          <w:trHeight w:val="578" w:hRule="atLeast"/>
          <w:jc w:val="center"/>
        </w:trPr>
        <w:tc>
          <w:tcPr>
            <w:tcW w:w="515" w:type="pct"/>
            <w:vMerge w:val="restart"/>
            <w:tcBorders>
              <w:top w:val="single" w:color="auto" w:sz="4" w:space="0"/>
              <w:left w:val="single" w:color="auto" w:sz="4" w:space="0"/>
              <w:right w:val="single" w:color="auto" w:sz="4" w:space="0"/>
            </w:tcBorders>
          </w:tcPr>
          <w:p>
            <w:pPr>
              <w:spacing w:line="259" w:lineRule="auto"/>
              <w:ind w:left="19"/>
              <w:rPr>
                <w:rFonts w:ascii="Times New Roman" w:hAnsi="Times New Roman" w:eastAsia="Times New Roman"/>
                <w:color w:val="0070C0"/>
                <w:sz w:val="32"/>
              </w:rPr>
            </w:pPr>
            <w:r>
              <w:rPr>
                <w:rFonts w:hint="eastAsia" w:ascii="Times New Roman" w:hAnsi="Times New Roman"/>
              </w:rPr>
              <w:t>分领域目标</w:t>
            </w:r>
          </w:p>
        </w:tc>
        <w:tc>
          <w:tcPr>
            <w:tcW w:w="357" w:type="pct"/>
            <w:vMerge w:val="restart"/>
            <w:tcBorders>
              <w:top w:val="single" w:color="auto" w:sz="4" w:space="0"/>
              <w:left w:val="single" w:color="auto" w:sz="4" w:space="0"/>
              <w:right w:val="single" w:color="auto" w:sz="4" w:space="0"/>
            </w:tcBorders>
          </w:tcPr>
          <w:p>
            <w:pPr>
              <w:widowControl/>
              <w:spacing w:line="259" w:lineRule="auto"/>
              <w:ind w:right="41"/>
              <w:jc w:val="center"/>
              <w:rPr>
                <w:rFonts w:ascii="Times New Roman" w:hAnsi="Times New Roman" w:eastAsia="Times New Roman"/>
                <w:color w:val="0070C0"/>
                <w:sz w:val="32"/>
              </w:rPr>
            </w:pPr>
            <w:r>
              <w:rPr>
                <w:rFonts w:hint="eastAsia" w:ascii="Times New Roman" w:hAnsi="Times New Roman"/>
              </w:rPr>
              <w:t>生态</w:t>
            </w:r>
          </w:p>
        </w:tc>
        <w:tc>
          <w:tcPr>
            <w:tcW w:w="238" w:type="pct"/>
            <w:tcBorders>
              <w:top w:val="single" w:color="auto" w:sz="4" w:space="0"/>
              <w:left w:val="single" w:color="auto" w:sz="4" w:space="0"/>
              <w:bottom w:val="single" w:color="auto" w:sz="4" w:space="0"/>
              <w:right w:val="single" w:color="auto" w:sz="4" w:space="0"/>
            </w:tcBorders>
            <w:vAlign w:val="center"/>
          </w:tcPr>
          <w:p>
            <w:pPr>
              <w:widowControl/>
              <w:spacing w:line="259" w:lineRule="auto"/>
              <w:ind w:right="46"/>
              <w:jc w:val="center"/>
              <w:rPr>
                <w:rFonts w:ascii="Times New Roman" w:hAnsi="Times New Roman"/>
              </w:rPr>
            </w:pPr>
            <w:r>
              <w:rPr>
                <w:rFonts w:ascii="Times New Roman" w:hAnsi="Times New Roman"/>
              </w:rPr>
              <w:t>13</w:t>
            </w:r>
          </w:p>
        </w:tc>
        <w:tc>
          <w:tcPr>
            <w:tcW w:w="1667" w:type="pct"/>
            <w:tcBorders>
              <w:top w:val="single" w:color="000000" w:sz="4" w:space="0"/>
              <w:left w:val="single" w:color="000000" w:sz="4" w:space="0"/>
              <w:bottom w:val="single" w:color="auto" w:sz="4" w:space="0"/>
              <w:right w:val="single" w:color="000000" w:sz="4" w:space="0"/>
            </w:tcBorders>
            <w:vAlign w:val="center"/>
          </w:tcPr>
          <w:p>
            <w:pPr>
              <w:widowControl/>
              <w:spacing w:line="259" w:lineRule="auto"/>
              <w:ind w:right="48"/>
              <w:jc w:val="center"/>
              <w:rPr>
                <w:rFonts w:ascii="Times New Roman" w:hAnsi="Times New Roman"/>
              </w:rPr>
            </w:pPr>
            <w:r>
              <w:rPr>
                <w:rFonts w:hint="eastAsia" w:ascii="Times New Roman" w:hAnsi="Times New Roman"/>
              </w:rPr>
              <w:t>工业废水达标排放率（重点行业）</w:t>
            </w:r>
          </w:p>
        </w:tc>
        <w:tc>
          <w:tcPr>
            <w:tcW w:w="318" w:type="pct"/>
            <w:tcBorders>
              <w:top w:val="single" w:color="000000" w:sz="4" w:space="0"/>
              <w:left w:val="single" w:color="000000" w:sz="4" w:space="0"/>
              <w:bottom w:val="single" w:color="auto" w:sz="4" w:space="0"/>
              <w:right w:val="single" w:color="000000" w:sz="4" w:space="0"/>
            </w:tcBorders>
            <w:vAlign w:val="center"/>
          </w:tcPr>
          <w:p>
            <w:pPr>
              <w:widowControl/>
              <w:spacing w:line="259" w:lineRule="auto"/>
              <w:ind w:left="122"/>
              <w:jc w:val="left"/>
              <w:rPr>
                <w:rFonts w:ascii="Times New Roman" w:hAnsi="Times New Roman"/>
              </w:rPr>
            </w:pPr>
            <w:r>
              <w:rPr>
                <w:rFonts w:ascii="Times New Roman" w:hAnsi="Times New Roman"/>
              </w:rPr>
              <w:t xml:space="preserve">% </w:t>
            </w:r>
          </w:p>
        </w:tc>
        <w:tc>
          <w:tcPr>
            <w:tcW w:w="793" w:type="pct"/>
            <w:tcBorders>
              <w:bottom w:val="single" w:color="auto" w:sz="4" w:space="0"/>
            </w:tcBorders>
            <w:vAlign w:val="center"/>
          </w:tcPr>
          <w:p>
            <w:pPr>
              <w:widowControl/>
              <w:spacing w:line="259" w:lineRule="auto"/>
              <w:ind w:left="1"/>
              <w:jc w:val="center"/>
              <w:rPr>
                <w:rFonts w:ascii="Times New Roman" w:hAnsi="Times New Roman"/>
              </w:rPr>
            </w:pPr>
            <w:r>
              <w:rPr>
                <w:rFonts w:ascii="Times New Roman" w:hAnsi="Times New Roman"/>
              </w:rPr>
              <w:t>100%</w:t>
            </w:r>
          </w:p>
        </w:tc>
        <w:tc>
          <w:tcPr>
            <w:tcW w:w="636" w:type="pct"/>
            <w:tcBorders>
              <w:top w:val="single" w:color="000000" w:sz="4" w:space="0"/>
              <w:left w:val="single" w:color="000000" w:sz="4" w:space="0"/>
              <w:bottom w:val="single" w:color="auto" w:sz="4" w:space="0"/>
              <w:right w:val="single" w:color="000000" w:sz="4" w:space="0"/>
            </w:tcBorders>
            <w:vAlign w:val="center"/>
          </w:tcPr>
          <w:p>
            <w:pPr>
              <w:widowControl/>
              <w:spacing w:line="259" w:lineRule="auto"/>
              <w:ind w:left="1"/>
              <w:jc w:val="center"/>
              <w:rPr>
                <w:rFonts w:ascii="Times New Roman" w:hAnsi="Times New Roman"/>
              </w:rPr>
            </w:pPr>
            <w:r>
              <w:rPr>
                <w:rFonts w:ascii="Times New Roman" w:hAnsi="Times New Roman"/>
              </w:rPr>
              <w:t>100%</w:t>
            </w:r>
          </w:p>
        </w:tc>
        <w:tc>
          <w:tcPr>
            <w:tcW w:w="476" w:type="pct"/>
            <w:tcBorders>
              <w:top w:val="single" w:color="auto" w:sz="4" w:space="0"/>
              <w:left w:val="single" w:color="auto" w:sz="4" w:space="0"/>
              <w:bottom w:val="single" w:color="auto" w:sz="4" w:space="0"/>
              <w:right w:val="single" w:color="auto" w:sz="4" w:space="0"/>
            </w:tcBorders>
            <w:vAlign w:val="center"/>
          </w:tcPr>
          <w:p>
            <w:pPr>
              <w:widowControl/>
              <w:spacing w:line="259" w:lineRule="auto"/>
              <w:ind w:left="5"/>
              <w:rPr>
                <w:rFonts w:ascii="Times New Roman" w:hAnsi="Times New Roman"/>
              </w:rPr>
            </w:pPr>
          </w:p>
        </w:tc>
      </w:tr>
      <w:tr>
        <w:tblPrEx>
          <w:tblCellMar>
            <w:top w:w="0" w:type="dxa"/>
            <w:left w:w="46" w:type="dxa"/>
            <w:bottom w:w="0" w:type="dxa"/>
            <w:right w:w="0" w:type="dxa"/>
          </w:tblCellMar>
        </w:tblPrEx>
        <w:trPr>
          <w:trHeight w:val="578" w:hRule="atLeast"/>
          <w:jc w:val="center"/>
        </w:trPr>
        <w:tc>
          <w:tcPr>
            <w:tcW w:w="515" w:type="pct"/>
            <w:vMerge w:val="continue"/>
            <w:tcBorders>
              <w:left w:val="single" w:color="auto" w:sz="4" w:space="0"/>
              <w:bottom w:val="single" w:color="auto" w:sz="4" w:space="0"/>
              <w:right w:val="single" w:color="auto" w:sz="4" w:space="0"/>
            </w:tcBorders>
          </w:tcPr>
          <w:p>
            <w:pPr>
              <w:widowControl/>
              <w:spacing w:after="160" w:line="259" w:lineRule="auto"/>
              <w:jc w:val="left"/>
              <w:rPr>
                <w:rFonts w:ascii="Times New Roman" w:hAnsi="Times New Roman" w:eastAsia="Times New Roman"/>
                <w:color w:val="0070C0"/>
                <w:sz w:val="32"/>
              </w:rPr>
            </w:pPr>
          </w:p>
        </w:tc>
        <w:tc>
          <w:tcPr>
            <w:tcW w:w="357" w:type="pct"/>
            <w:vMerge w:val="continue"/>
            <w:tcBorders>
              <w:left w:val="single" w:color="auto" w:sz="4" w:space="0"/>
              <w:bottom w:val="single" w:color="auto" w:sz="4" w:space="0"/>
              <w:right w:val="single" w:color="auto" w:sz="4" w:space="0"/>
            </w:tcBorders>
          </w:tcPr>
          <w:p>
            <w:pPr>
              <w:widowControl/>
              <w:spacing w:after="160" w:line="259" w:lineRule="auto"/>
              <w:jc w:val="left"/>
              <w:rPr>
                <w:rFonts w:ascii="Times New Roman" w:hAnsi="Times New Roman" w:eastAsia="Times New Roman"/>
                <w:color w:val="0070C0"/>
                <w:sz w:val="32"/>
              </w:rPr>
            </w:pPr>
          </w:p>
        </w:tc>
        <w:tc>
          <w:tcPr>
            <w:tcW w:w="238" w:type="pct"/>
            <w:tcBorders>
              <w:top w:val="single" w:color="auto" w:sz="4" w:space="0"/>
              <w:left w:val="single" w:color="auto" w:sz="4" w:space="0"/>
              <w:bottom w:val="single" w:color="auto" w:sz="4" w:space="0"/>
              <w:right w:val="single" w:color="auto" w:sz="4" w:space="0"/>
            </w:tcBorders>
            <w:vAlign w:val="center"/>
          </w:tcPr>
          <w:p>
            <w:pPr>
              <w:widowControl/>
              <w:spacing w:line="259" w:lineRule="auto"/>
              <w:ind w:right="46"/>
              <w:jc w:val="center"/>
              <w:rPr>
                <w:rFonts w:ascii="Times New Roman" w:hAnsi="Times New Roman"/>
              </w:rPr>
            </w:pPr>
            <w:r>
              <w:rPr>
                <w:rFonts w:ascii="Times New Roman" w:hAnsi="Times New Roman"/>
              </w:rPr>
              <w:t>14</w:t>
            </w:r>
          </w:p>
        </w:tc>
        <w:tc>
          <w:tcPr>
            <w:tcW w:w="1667" w:type="pct"/>
            <w:tcBorders>
              <w:top w:val="single" w:color="auto" w:sz="4" w:space="0"/>
              <w:left w:val="single" w:color="auto" w:sz="4" w:space="0"/>
              <w:bottom w:val="single" w:color="auto" w:sz="4" w:space="0"/>
              <w:right w:val="single" w:color="auto" w:sz="4" w:space="0"/>
            </w:tcBorders>
            <w:vAlign w:val="center"/>
          </w:tcPr>
          <w:p>
            <w:pPr>
              <w:widowControl/>
              <w:spacing w:line="259" w:lineRule="auto"/>
              <w:ind w:right="48"/>
              <w:jc w:val="center"/>
              <w:rPr>
                <w:rFonts w:ascii="Times New Roman" w:hAnsi="Times New Roman"/>
              </w:rPr>
            </w:pPr>
            <w:r>
              <w:rPr>
                <w:rFonts w:hint="eastAsia" w:ascii="Times New Roman" w:hAnsi="Times New Roman"/>
              </w:rPr>
              <w:t>水功能区水质达标率</w:t>
            </w:r>
          </w:p>
        </w:tc>
        <w:tc>
          <w:tcPr>
            <w:tcW w:w="318" w:type="pct"/>
            <w:tcBorders>
              <w:top w:val="single" w:color="auto" w:sz="4" w:space="0"/>
              <w:left w:val="single" w:color="auto" w:sz="4" w:space="0"/>
              <w:bottom w:val="single" w:color="auto" w:sz="4" w:space="0"/>
              <w:right w:val="single" w:color="auto" w:sz="4" w:space="0"/>
            </w:tcBorders>
            <w:vAlign w:val="center"/>
          </w:tcPr>
          <w:p>
            <w:pPr>
              <w:widowControl/>
              <w:spacing w:line="259" w:lineRule="auto"/>
              <w:ind w:left="122"/>
              <w:jc w:val="left"/>
              <w:rPr>
                <w:rFonts w:ascii="Times New Roman" w:hAnsi="Times New Roman"/>
              </w:rPr>
            </w:pPr>
            <w:r>
              <w:rPr>
                <w:rFonts w:ascii="Times New Roman" w:hAnsi="Times New Roman"/>
              </w:rPr>
              <w:t xml:space="preserve">% </w:t>
            </w:r>
          </w:p>
        </w:tc>
        <w:tc>
          <w:tcPr>
            <w:tcW w:w="793" w:type="pct"/>
            <w:tcBorders>
              <w:top w:val="single" w:color="auto" w:sz="4" w:space="0"/>
              <w:left w:val="single" w:color="auto" w:sz="4" w:space="0"/>
              <w:bottom w:val="single" w:color="auto" w:sz="4" w:space="0"/>
              <w:right w:val="single" w:color="auto" w:sz="4" w:space="0"/>
            </w:tcBorders>
            <w:vAlign w:val="center"/>
          </w:tcPr>
          <w:p>
            <w:pPr>
              <w:spacing w:line="259" w:lineRule="auto"/>
              <w:ind w:left="1"/>
              <w:jc w:val="center"/>
              <w:rPr>
                <w:rFonts w:ascii="Times New Roman" w:hAnsi="Times New Roman"/>
              </w:rPr>
            </w:pPr>
            <w:r>
              <w:rPr>
                <w:rFonts w:ascii="宋体" w:hAnsi="宋体" w:cs="宋体"/>
              </w:rPr>
              <w:t>91.7%</w:t>
            </w:r>
          </w:p>
        </w:tc>
        <w:tc>
          <w:tcPr>
            <w:tcW w:w="636" w:type="pct"/>
            <w:tcBorders>
              <w:top w:val="single" w:color="auto" w:sz="4" w:space="0"/>
              <w:left w:val="single" w:color="auto" w:sz="4" w:space="0"/>
              <w:bottom w:val="single" w:color="auto" w:sz="4" w:space="0"/>
              <w:right w:val="single" w:color="auto" w:sz="4" w:space="0"/>
            </w:tcBorders>
            <w:vAlign w:val="center"/>
          </w:tcPr>
          <w:p>
            <w:pPr>
              <w:widowControl/>
              <w:spacing w:line="259" w:lineRule="auto"/>
              <w:ind w:left="1"/>
              <w:jc w:val="center"/>
              <w:rPr>
                <w:rFonts w:ascii="Times New Roman" w:hAnsi="Times New Roman"/>
              </w:rPr>
            </w:pPr>
            <w:r>
              <w:rPr>
                <w:rFonts w:ascii="Times New Roman" w:hAnsi="Times New Roman"/>
              </w:rPr>
              <w:t>90%</w:t>
            </w:r>
          </w:p>
        </w:tc>
        <w:tc>
          <w:tcPr>
            <w:tcW w:w="476" w:type="pct"/>
            <w:tcBorders>
              <w:top w:val="single" w:color="auto" w:sz="4" w:space="0"/>
              <w:left w:val="single" w:color="auto" w:sz="4" w:space="0"/>
              <w:bottom w:val="single" w:color="auto" w:sz="4" w:space="0"/>
              <w:right w:val="single" w:color="auto" w:sz="4" w:space="0"/>
            </w:tcBorders>
            <w:vAlign w:val="center"/>
          </w:tcPr>
          <w:p>
            <w:pPr>
              <w:widowControl/>
              <w:spacing w:line="259" w:lineRule="auto"/>
              <w:ind w:left="5"/>
              <w:rPr>
                <w:rFonts w:ascii="Times New Roman" w:hAnsi="Times New Roman"/>
              </w:rPr>
            </w:pPr>
          </w:p>
        </w:tc>
      </w:tr>
    </w:tbl>
    <w:p>
      <w:pPr>
        <w:widowControl/>
        <w:adjustRightInd w:val="0"/>
        <w:snapToGrid w:val="0"/>
        <w:spacing w:line="360" w:lineRule="auto"/>
        <w:jc w:val="left"/>
        <w:rPr>
          <w:rFonts w:ascii="Times New Roman" w:hAnsi="Times New Roman"/>
          <w:color w:val="0070C0"/>
        </w:rPr>
      </w:pPr>
      <w:r>
        <w:rPr>
          <w:rFonts w:hint="eastAsia" w:ascii="Times New Roman" w:hAnsi="Times New Roman"/>
        </w:rPr>
        <w:t>注：数据现状水平年为</w:t>
      </w:r>
      <w:r>
        <w:rPr>
          <w:rFonts w:ascii="Times New Roman" w:hAnsi="Times New Roman"/>
        </w:rPr>
        <w:t>2020</w:t>
      </w:r>
      <w:r>
        <w:rPr>
          <w:rFonts w:hint="eastAsia" w:ascii="Times New Roman" w:hAnsi="Times New Roman"/>
        </w:rPr>
        <w:t>年，若市级层面对于各领域目标有新要求，按市级要求执行。</w:t>
      </w:r>
    </w:p>
    <w:p>
      <w:pPr>
        <w:keepNext/>
        <w:keepLines/>
        <w:spacing w:before="260" w:after="260" w:line="360" w:lineRule="auto"/>
        <w:ind w:firstLine="210" w:firstLineChars="100"/>
        <w:outlineLvl w:val="1"/>
        <w:rPr>
          <w:rFonts w:ascii="Times New Roman" w:hAnsi="Times New Roman"/>
          <w:b/>
          <w:bCs/>
          <w:kern w:val="44"/>
          <w:sz w:val="28"/>
          <w:szCs w:val="28"/>
        </w:rPr>
      </w:pPr>
      <w:r>
        <w:rPr>
          <w:rFonts w:ascii="Times New Roman" w:hAnsi="Times New Roman"/>
          <w:color w:val="0070C0"/>
        </w:rPr>
        <w:br w:type="page"/>
      </w:r>
      <w:bookmarkStart w:id="76" w:name="_Toc84885980"/>
      <w:bookmarkStart w:id="77" w:name="_Toc90482785"/>
      <w:r>
        <w:rPr>
          <w:rFonts w:ascii="Times New Roman" w:hAnsi="Times New Roman"/>
          <w:b/>
          <w:bCs/>
          <w:kern w:val="44"/>
          <w:sz w:val="28"/>
          <w:szCs w:val="28"/>
        </w:rPr>
        <w:t xml:space="preserve">3.4 </w:t>
      </w:r>
      <w:r>
        <w:rPr>
          <w:rFonts w:hint="eastAsia" w:ascii="Times New Roman" w:hAnsi="Times New Roman"/>
          <w:b/>
          <w:bCs/>
          <w:kern w:val="44"/>
          <w:sz w:val="28"/>
          <w:szCs w:val="28"/>
        </w:rPr>
        <w:t>主要任务</w:t>
      </w:r>
      <w:bookmarkEnd w:id="76"/>
      <w:bookmarkEnd w:id="77"/>
    </w:p>
    <w:p>
      <w:pPr>
        <w:topLinePunct/>
        <w:ind w:firstLine="560" w:firstLineChars="200"/>
        <w:rPr>
          <w:rFonts w:ascii="Times New Roman" w:hAnsi="Times New Roman"/>
          <w:sz w:val="28"/>
          <w:szCs w:val="28"/>
        </w:rPr>
      </w:pPr>
      <w:r>
        <w:rPr>
          <w:rFonts w:hint="eastAsia" w:ascii="Times New Roman" w:hAnsi="Times New Roman"/>
          <w:sz w:val="28"/>
          <w:szCs w:val="28"/>
        </w:rPr>
        <w:t>重庆市渝北区“十四五”节水工作的主要任务是完善以水资源总量控制与定额管理为核心，加大水资源优化配置和高效利用的工程体系建设，构建与水资源承载能力相适应的经济结构，增强自觉节水的社会意识，实现管理节水、结构节水、工程节水和意识节水，推进社会水循环全过程节水减排，促进全方位用水效率的提高。</w:t>
      </w:r>
    </w:p>
    <w:p>
      <w:pPr>
        <w:topLinePunct/>
        <w:ind w:firstLine="560" w:firstLineChars="200"/>
        <w:rPr>
          <w:rFonts w:ascii="Times New Roman" w:hAnsi="Times New Roman"/>
          <w:sz w:val="28"/>
          <w:szCs w:val="28"/>
        </w:rPr>
      </w:pPr>
      <w:r>
        <w:rPr>
          <w:rFonts w:hint="eastAsia" w:ascii="Times New Roman" w:hAnsi="Times New Roman"/>
          <w:sz w:val="28"/>
          <w:szCs w:val="28"/>
        </w:rPr>
        <w:t>一、加强总量与强度双控。强化节水约束性指标管理，加快落实主要领域用水指标。严控水资源开发利用强度，实施规划和建设项目节水评价工作审查制度，严格实行取水许可制度。加强对重点用水户、特殊用水行业用水户的监督管理。</w:t>
      </w:r>
    </w:p>
    <w:p>
      <w:pPr>
        <w:topLinePunct/>
        <w:ind w:firstLine="560" w:firstLineChars="200"/>
        <w:rPr>
          <w:rFonts w:ascii="Times New Roman" w:hAnsi="Times New Roman"/>
          <w:sz w:val="28"/>
          <w:szCs w:val="28"/>
        </w:rPr>
      </w:pPr>
      <w:r>
        <w:rPr>
          <w:rFonts w:hint="eastAsia" w:ascii="Times New Roman" w:hAnsi="Times New Roman"/>
          <w:sz w:val="28"/>
          <w:szCs w:val="28"/>
        </w:rPr>
        <w:t>二、推进用水方式转变，发展与水资源承载能力相适应的经济结构。优化区域产业布局，建立与水资源、水环境承载能力相协调的经济结构体系，确定与水资源条件相适应的区域经济发展方向和功能定位。发展清洁生产，推动工业绿色发展，推广高效节水和生态农业。将水资源条件作为城镇发展、土地利用、产业布局的先导性因素，把节约用水贯穿于经济社会发展全过程，发挥水资源对经济社会和城镇建设的支撑保障作用，突出水的约束引导功能，坚持以水定产、以水定城，以水资源可持续利用支撑经济社会可持续发展。</w:t>
      </w:r>
    </w:p>
    <w:p>
      <w:pPr>
        <w:topLinePunct/>
        <w:ind w:firstLine="560" w:firstLineChars="200"/>
        <w:rPr>
          <w:rFonts w:ascii="Times New Roman" w:hAnsi="Times New Roman"/>
          <w:sz w:val="28"/>
          <w:szCs w:val="28"/>
        </w:rPr>
      </w:pPr>
      <w:r>
        <w:rPr>
          <w:rFonts w:hint="eastAsia" w:ascii="Times New Roman" w:hAnsi="Times New Roman"/>
          <w:sz w:val="28"/>
          <w:szCs w:val="28"/>
        </w:rPr>
        <w:t>三、大力开展节水工程建设，完善水资源优化配置和高效利用的工程体系。继续加快实施灌区续建配套与节水改造工程，积极推广低压管道、喷灌、微灌等高效节水灌溉技术。加强工业节水技术改造和循环用水，重点抓好高耗水行业节水技术改造，提高工业用水重复利用率。加强城镇生活节水设施建设与改造，推广节水器具，改造供水管网，提高城镇生活节水水平。加强城市再生水管网规划建设，加大中水利用量，积极实施“海绵”城市建设，逐步提高非常规水源利用水平。</w:t>
      </w:r>
    </w:p>
    <w:p>
      <w:pPr>
        <w:topLinePunct/>
        <w:ind w:firstLine="560" w:firstLineChars="200"/>
        <w:rPr>
          <w:rFonts w:ascii="Times New Roman" w:hAnsi="Times New Roman"/>
          <w:sz w:val="28"/>
          <w:szCs w:val="28"/>
        </w:rPr>
      </w:pPr>
      <w:r>
        <w:rPr>
          <w:rFonts w:hint="eastAsia" w:ascii="Times New Roman" w:hAnsi="Times New Roman"/>
          <w:sz w:val="28"/>
          <w:szCs w:val="28"/>
        </w:rPr>
        <w:t>四、全面加强节水宣传教育，增强社会节水意识。充分利用各种媒体开展节水宣传，完善公众参与机制，构建公众参与平台，倡导文明的消费方式，建设与节水型社会相符合的水文化，使节约用水由自觉行为转变为自发行为。</w:t>
      </w:r>
    </w:p>
    <w:p>
      <w:pPr>
        <w:keepNext/>
        <w:keepLines/>
        <w:spacing w:before="260" w:after="260" w:line="360" w:lineRule="auto"/>
        <w:ind w:firstLine="281" w:firstLineChars="100"/>
        <w:outlineLvl w:val="1"/>
        <w:rPr>
          <w:rFonts w:ascii="Times New Roman" w:hAnsi="Times New Roman"/>
          <w:b/>
          <w:bCs/>
          <w:kern w:val="44"/>
          <w:sz w:val="28"/>
          <w:szCs w:val="28"/>
        </w:rPr>
      </w:pPr>
      <w:bookmarkStart w:id="78" w:name="_Toc84885981"/>
      <w:bookmarkStart w:id="79" w:name="_Toc90482786"/>
      <w:r>
        <w:rPr>
          <w:rFonts w:ascii="Times New Roman" w:hAnsi="Times New Roman"/>
          <w:b/>
          <w:bCs/>
          <w:kern w:val="44"/>
          <w:sz w:val="28"/>
          <w:szCs w:val="28"/>
        </w:rPr>
        <w:t>3.5</w:t>
      </w:r>
      <w:r>
        <w:rPr>
          <w:rFonts w:hint="eastAsia" w:ascii="Times New Roman" w:hAnsi="Times New Roman"/>
          <w:b/>
          <w:bCs/>
          <w:kern w:val="44"/>
          <w:sz w:val="28"/>
          <w:szCs w:val="28"/>
        </w:rPr>
        <w:t>规划技术路线</w:t>
      </w:r>
      <w:bookmarkEnd w:id="78"/>
      <w:bookmarkEnd w:id="79"/>
    </w:p>
    <w:p>
      <w:pPr>
        <w:topLinePunct/>
        <w:ind w:firstLine="420" w:firstLineChars="200"/>
        <w:rPr>
          <w:rFonts w:ascii="Times New Roman" w:hAnsi="Times New Roman"/>
          <w:sz w:val="28"/>
          <w:szCs w:val="28"/>
        </w:rPr>
      </w:pPr>
      <w:r>
        <w:pict>
          <v:shape id="_x0000_i1027" o:spt="75" alt="图示描述已自动生成" type="#_x0000_t75" style="height:582.6pt;width:387.6pt;" filled="f" o:preferrelative="t" stroked="f" coordsize="21600,21600">
            <v:path/>
            <v:fill on="f" focussize="0,0"/>
            <v:stroke on="f" joinstyle="miter"/>
            <v:imagedata r:id="rId8" croptop="1141f" cropbottom="905f" o:title=""/>
            <o:lock v:ext="edit" aspectratio="t"/>
            <w10:wrap type="none"/>
            <w10:anchorlock/>
          </v:shape>
        </w:pict>
      </w:r>
    </w:p>
    <w:p>
      <w:pPr>
        <w:widowControl/>
        <w:adjustRightInd w:val="0"/>
        <w:snapToGrid w:val="0"/>
        <w:spacing w:line="360" w:lineRule="auto"/>
        <w:ind w:firstLine="420" w:firstLineChars="200"/>
        <w:jc w:val="left"/>
        <w:rPr>
          <w:rFonts w:ascii="Times New Roman" w:hAnsi="Times New Roman"/>
          <w:color w:val="0070C0"/>
        </w:rPr>
      </w:pPr>
    </w:p>
    <w:p>
      <w:pPr>
        <w:keepNext/>
        <w:keepLines/>
        <w:spacing w:before="340" w:after="330" w:line="576" w:lineRule="auto"/>
        <w:ind w:firstLine="723" w:firstLineChars="200"/>
        <w:jc w:val="center"/>
        <w:outlineLvl w:val="0"/>
        <w:rPr>
          <w:rFonts w:ascii="Times New Roman" w:hAnsi="Times New Roman"/>
          <w:b/>
          <w:bCs/>
          <w:kern w:val="44"/>
          <w:sz w:val="36"/>
          <w:szCs w:val="36"/>
        </w:rPr>
      </w:pPr>
      <w:bookmarkStart w:id="80" w:name="_Toc90482787"/>
      <w:r>
        <w:rPr>
          <w:rFonts w:ascii="Times New Roman" w:hAnsi="Times New Roman"/>
          <w:b/>
          <w:bCs/>
          <w:kern w:val="44"/>
          <w:sz w:val="36"/>
          <w:szCs w:val="36"/>
        </w:rPr>
        <w:t xml:space="preserve">4 </w:t>
      </w:r>
      <w:r>
        <w:rPr>
          <w:rFonts w:hint="eastAsia" w:ascii="Times New Roman" w:hAnsi="Times New Roman"/>
          <w:b/>
          <w:bCs/>
          <w:kern w:val="44"/>
          <w:sz w:val="36"/>
          <w:szCs w:val="36"/>
        </w:rPr>
        <w:t>重点领域</w:t>
      </w:r>
      <w:bookmarkEnd w:id="80"/>
    </w:p>
    <w:p>
      <w:pPr>
        <w:keepNext/>
        <w:keepLines/>
        <w:spacing w:before="260" w:after="260" w:line="413" w:lineRule="auto"/>
        <w:ind w:firstLine="281" w:firstLineChars="100"/>
        <w:outlineLvl w:val="1"/>
        <w:rPr>
          <w:rFonts w:ascii="Times New Roman" w:hAnsi="Times New Roman"/>
          <w:b/>
          <w:bCs/>
          <w:kern w:val="44"/>
          <w:sz w:val="28"/>
          <w:szCs w:val="28"/>
        </w:rPr>
      </w:pPr>
      <w:bookmarkStart w:id="81" w:name="_Toc90482788"/>
      <w:r>
        <w:rPr>
          <w:rFonts w:ascii="Times New Roman" w:hAnsi="Times New Roman"/>
          <w:b/>
          <w:bCs/>
          <w:kern w:val="44"/>
          <w:sz w:val="28"/>
          <w:szCs w:val="28"/>
        </w:rPr>
        <w:t xml:space="preserve">4.1 </w:t>
      </w:r>
      <w:r>
        <w:rPr>
          <w:rFonts w:hint="eastAsia" w:ascii="Times New Roman" w:hAnsi="Times New Roman"/>
          <w:b/>
          <w:bCs/>
          <w:kern w:val="44"/>
          <w:sz w:val="28"/>
          <w:szCs w:val="28"/>
        </w:rPr>
        <w:t>农业节水增效</w:t>
      </w:r>
      <w:bookmarkEnd w:id="81"/>
    </w:p>
    <w:p>
      <w:pPr>
        <w:ind w:firstLine="560" w:firstLineChars="200"/>
        <w:jc w:val="left"/>
        <w:rPr>
          <w:rFonts w:ascii="Times New Roman" w:hAnsi="Times New Roman"/>
          <w:sz w:val="28"/>
          <w:szCs w:val="28"/>
        </w:rPr>
      </w:pPr>
      <w:r>
        <w:rPr>
          <w:rFonts w:hint="eastAsia" w:ascii="Times New Roman" w:hAnsi="Times New Roman"/>
          <w:sz w:val="28"/>
          <w:szCs w:val="28"/>
        </w:rPr>
        <w:t>根据《重庆市节水行动实施方案》和《重庆市渝北区节水行动实施方案》文件精神，农业节水增效主要以节水灌溉、优化种植结构、畜牧渔业节水和农村生活节水四个方面重点开展，结合区内农业实际情况，提出节水措施。</w:t>
      </w:r>
    </w:p>
    <w:p>
      <w:pPr>
        <w:ind w:firstLine="560" w:firstLineChars="200"/>
        <w:rPr>
          <w:rFonts w:ascii="Times New Roman" w:hAnsi="Times New Roman"/>
          <w:sz w:val="28"/>
          <w:szCs w:val="28"/>
        </w:rPr>
      </w:pPr>
      <w:r>
        <w:rPr>
          <w:rFonts w:hint="eastAsia" w:ascii="Times New Roman" w:hAnsi="Times New Roman"/>
          <w:sz w:val="28"/>
          <w:szCs w:val="28"/>
        </w:rPr>
        <w:t>（</w:t>
      </w:r>
      <w:r>
        <w:rPr>
          <w:rFonts w:ascii="Times New Roman" w:hAnsi="Times New Roman"/>
          <w:sz w:val="28"/>
          <w:szCs w:val="28"/>
        </w:rPr>
        <w:t>1</w:t>
      </w:r>
      <w:r>
        <w:rPr>
          <w:rFonts w:hint="eastAsia" w:ascii="Times New Roman" w:hAnsi="Times New Roman"/>
          <w:sz w:val="28"/>
          <w:szCs w:val="28"/>
        </w:rPr>
        <w:t>）</w:t>
      </w:r>
      <w:r>
        <w:rPr>
          <w:rFonts w:hint="eastAsia" w:ascii="Times New Roman" w:hAnsi="Times New Roman"/>
          <w:kern w:val="0"/>
          <w:sz w:val="28"/>
          <w:szCs w:val="28"/>
        </w:rPr>
        <w:t>大力推进节水灌溉</w:t>
      </w:r>
    </w:p>
    <w:p>
      <w:pPr>
        <w:ind w:firstLine="560" w:firstLineChars="200"/>
        <w:jc w:val="left"/>
        <w:rPr>
          <w:rFonts w:ascii="Times New Roman" w:hAnsi="Times New Roman"/>
          <w:kern w:val="0"/>
          <w:sz w:val="28"/>
          <w:szCs w:val="28"/>
        </w:rPr>
      </w:pPr>
      <w:r>
        <w:rPr>
          <w:rFonts w:hint="eastAsia" w:ascii="Times New Roman" w:hAnsi="Times New Roman"/>
          <w:kern w:val="0"/>
          <w:sz w:val="28"/>
          <w:szCs w:val="28"/>
        </w:rPr>
        <w:t>加快农业灌溉续建配套和现代化改造，分区域规模化推进高效节水灌溉。结合高标准农田建设，加大田间节水设施建设力度。开展农业用水精细化管理，推广喷灌、微灌、滴灌、低压管道输水灌溉、集雨补灌、水肥一体化、覆盖保墒等技术。加强农田土壤墒情监测，推广测墒灌溉。</w:t>
      </w:r>
    </w:p>
    <w:p>
      <w:pPr>
        <w:ind w:firstLine="560" w:firstLineChars="200"/>
        <w:rPr>
          <w:rFonts w:ascii="Times New Roman" w:hAnsi="Times New Roman"/>
          <w:kern w:val="0"/>
          <w:sz w:val="28"/>
          <w:szCs w:val="28"/>
        </w:rPr>
      </w:pPr>
      <w:r>
        <w:rPr>
          <w:rFonts w:hint="eastAsia" w:ascii="Times New Roman" w:hAnsi="Times New Roman"/>
          <w:kern w:val="0"/>
          <w:sz w:val="28"/>
          <w:szCs w:val="28"/>
        </w:rPr>
        <w:t>（</w:t>
      </w:r>
      <w:r>
        <w:rPr>
          <w:rFonts w:ascii="Times New Roman" w:hAnsi="Times New Roman"/>
          <w:kern w:val="0"/>
          <w:sz w:val="28"/>
          <w:szCs w:val="28"/>
        </w:rPr>
        <w:t>2</w:t>
      </w:r>
      <w:r>
        <w:rPr>
          <w:rFonts w:hint="eastAsia" w:ascii="Times New Roman" w:hAnsi="Times New Roman"/>
          <w:kern w:val="0"/>
          <w:sz w:val="28"/>
          <w:szCs w:val="28"/>
        </w:rPr>
        <w:t>）优化调整作物种植结构</w:t>
      </w:r>
    </w:p>
    <w:p>
      <w:pPr>
        <w:ind w:firstLine="560" w:firstLineChars="200"/>
        <w:rPr>
          <w:rFonts w:ascii="Times New Roman" w:hAnsi="Times New Roman"/>
          <w:kern w:val="0"/>
          <w:sz w:val="28"/>
          <w:szCs w:val="28"/>
        </w:rPr>
      </w:pPr>
      <w:r>
        <w:rPr>
          <w:rFonts w:hint="eastAsia" w:ascii="Times New Roman" w:hAnsi="Times New Roman"/>
          <w:kern w:val="0"/>
          <w:sz w:val="28"/>
          <w:szCs w:val="28"/>
        </w:rPr>
        <w:t>根据水资源条件，推进适水种植、量水生产。适度减少高耗水作物，扩大低耗水和耐旱作物种植比例，推广耐旱农作物新品种，积极发展稻田冬季蓄水，增强蓄水抗旱能力。</w:t>
      </w:r>
    </w:p>
    <w:p>
      <w:pPr>
        <w:ind w:firstLine="560" w:firstLineChars="200"/>
        <w:rPr>
          <w:rFonts w:ascii="Times New Roman" w:hAnsi="Times New Roman"/>
          <w:kern w:val="0"/>
          <w:sz w:val="28"/>
          <w:szCs w:val="28"/>
        </w:rPr>
      </w:pPr>
      <w:r>
        <w:rPr>
          <w:rFonts w:hint="eastAsia" w:ascii="Times New Roman" w:hAnsi="Times New Roman"/>
          <w:kern w:val="0"/>
          <w:sz w:val="28"/>
          <w:szCs w:val="28"/>
        </w:rPr>
        <w:t>（</w:t>
      </w:r>
      <w:r>
        <w:rPr>
          <w:rFonts w:ascii="Times New Roman" w:hAnsi="Times New Roman"/>
          <w:kern w:val="0"/>
          <w:sz w:val="28"/>
          <w:szCs w:val="28"/>
        </w:rPr>
        <w:t>3</w:t>
      </w:r>
      <w:r>
        <w:rPr>
          <w:rFonts w:hint="eastAsia" w:ascii="Times New Roman" w:hAnsi="Times New Roman"/>
          <w:kern w:val="0"/>
          <w:sz w:val="28"/>
          <w:szCs w:val="28"/>
        </w:rPr>
        <w:t>）推广畜牧渔业节水方式</w:t>
      </w:r>
    </w:p>
    <w:p>
      <w:pPr>
        <w:ind w:firstLine="560" w:firstLineChars="200"/>
        <w:rPr>
          <w:rFonts w:ascii="Times New Roman" w:hAnsi="Times New Roman"/>
          <w:kern w:val="0"/>
          <w:sz w:val="28"/>
          <w:szCs w:val="28"/>
        </w:rPr>
      </w:pPr>
      <w:r>
        <w:rPr>
          <w:rFonts w:hint="eastAsia" w:ascii="Times New Roman" w:hAnsi="Times New Roman"/>
          <w:kern w:val="0"/>
          <w:sz w:val="28"/>
          <w:szCs w:val="28"/>
        </w:rPr>
        <w:t>实施规模养殖场节水改造和建设，推行先进适用的节水型畜禽养殖方式，推广节水型饲喂设备、机械干清粪等技术工艺。发展节水渔业、牧业，大力推进稻渔综合种养，推广池塘工程化循环水等养殖技术。</w:t>
      </w:r>
    </w:p>
    <w:p>
      <w:pPr>
        <w:ind w:firstLine="560" w:firstLineChars="200"/>
        <w:rPr>
          <w:rFonts w:ascii="Times New Roman" w:hAnsi="Times New Roman"/>
          <w:kern w:val="0"/>
          <w:sz w:val="28"/>
          <w:szCs w:val="28"/>
        </w:rPr>
      </w:pPr>
      <w:r>
        <w:rPr>
          <w:rFonts w:hint="eastAsia" w:ascii="Times New Roman" w:hAnsi="Times New Roman"/>
          <w:kern w:val="0"/>
          <w:sz w:val="28"/>
          <w:szCs w:val="28"/>
        </w:rPr>
        <w:t>（</w:t>
      </w:r>
      <w:r>
        <w:rPr>
          <w:rFonts w:ascii="Times New Roman" w:hAnsi="Times New Roman"/>
          <w:kern w:val="0"/>
          <w:sz w:val="28"/>
          <w:szCs w:val="28"/>
        </w:rPr>
        <w:t>4</w:t>
      </w:r>
      <w:r>
        <w:rPr>
          <w:rFonts w:hint="eastAsia" w:ascii="Times New Roman" w:hAnsi="Times New Roman"/>
          <w:kern w:val="0"/>
          <w:sz w:val="28"/>
          <w:szCs w:val="28"/>
        </w:rPr>
        <w:t>）加快推进农村生活节水</w:t>
      </w:r>
    </w:p>
    <w:p>
      <w:pPr>
        <w:ind w:firstLine="560" w:firstLineChars="200"/>
        <w:rPr>
          <w:rFonts w:ascii="Times New Roman" w:hAnsi="Times New Roman"/>
          <w:kern w:val="0"/>
          <w:sz w:val="28"/>
          <w:szCs w:val="28"/>
        </w:rPr>
      </w:pPr>
      <w:r>
        <w:rPr>
          <w:rFonts w:hint="eastAsia" w:ascii="Times New Roman" w:hAnsi="Times New Roman"/>
          <w:kern w:val="0"/>
          <w:sz w:val="28"/>
          <w:szCs w:val="28"/>
        </w:rPr>
        <w:t>在实施农村集中供水、污水处理工程和保障饮用水安全基础上，加强农村生活用水设施改造，在有条件的镇街和社区推动计量收费。加快村镇生活供水设施及配套管网建设与改造。实施</w:t>
      </w:r>
      <w:r>
        <w:rPr>
          <w:rFonts w:hint="eastAsia" w:ascii="宋体"/>
          <w:kern w:val="0"/>
          <w:sz w:val="28"/>
          <w:szCs w:val="28"/>
        </w:rPr>
        <w:t>“</w:t>
      </w:r>
      <w:r>
        <w:rPr>
          <w:rFonts w:hint="eastAsia" w:ascii="宋体" w:hAnsi="宋体"/>
          <w:kern w:val="0"/>
          <w:sz w:val="28"/>
          <w:szCs w:val="28"/>
        </w:rPr>
        <w:t>厕所革命</w:t>
      </w:r>
      <w:r>
        <w:rPr>
          <w:rFonts w:hint="eastAsia" w:ascii="宋体"/>
          <w:kern w:val="0"/>
          <w:sz w:val="28"/>
          <w:szCs w:val="28"/>
        </w:rPr>
        <w:t>”</w:t>
      </w:r>
      <w:r>
        <w:rPr>
          <w:rFonts w:hint="eastAsia" w:ascii="Times New Roman" w:hAnsi="Times New Roman"/>
          <w:kern w:val="0"/>
          <w:sz w:val="28"/>
          <w:szCs w:val="28"/>
        </w:rPr>
        <w:t>，推广使用节水器具。</w:t>
      </w:r>
    </w:p>
    <w:p>
      <w:pPr>
        <w:keepNext/>
        <w:keepLines/>
        <w:spacing w:before="260" w:after="260" w:line="413" w:lineRule="auto"/>
        <w:ind w:firstLine="281" w:firstLineChars="100"/>
        <w:outlineLvl w:val="1"/>
        <w:rPr>
          <w:rFonts w:ascii="Times New Roman" w:hAnsi="Times New Roman"/>
          <w:b/>
          <w:bCs/>
          <w:kern w:val="44"/>
          <w:sz w:val="28"/>
          <w:szCs w:val="28"/>
        </w:rPr>
      </w:pPr>
      <w:bookmarkStart w:id="82" w:name="_Toc90482789"/>
      <w:r>
        <w:rPr>
          <w:rFonts w:ascii="Times New Roman" w:hAnsi="Times New Roman"/>
          <w:b/>
          <w:bCs/>
          <w:kern w:val="44"/>
          <w:sz w:val="28"/>
          <w:szCs w:val="28"/>
        </w:rPr>
        <w:t xml:space="preserve">4.2 </w:t>
      </w:r>
      <w:r>
        <w:rPr>
          <w:rFonts w:hint="eastAsia" w:ascii="Times New Roman" w:hAnsi="Times New Roman"/>
          <w:b/>
          <w:bCs/>
          <w:kern w:val="44"/>
          <w:sz w:val="28"/>
          <w:szCs w:val="28"/>
        </w:rPr>
        <w:t>工业节水减排</w:t>
      </w:r>
      <w:bookmarkEnd w:id="82"/>
    </w:p>
    <w:p>
      <w:pPr>
        <w:adjustRightInd w:val="0"/>
        <w:snapToGrid w:val="0"/>
        <w:spacing w:line="594" w:lineRule="exact"/>
        <w:ind w:firstLine="560" w:firstLineChars="200"/>
        <w:rPr>
          <w:rFonts w:ascii="Times New Roman" w:hAnsi="Times New Roman"/>
          <w:kern w:val="0"/>
          <w:sz w:val="28"/>
          <w:szCs w:val="28"/>
        </w:rPr>
      </w:pPr>
      <w:r>
        <w:rPr>
          <w:rFonts w:hint="eastAsia" w:ascii="Times New Roman" w:hAnsi="Times New Roman"/>
          <w:kern w:val="0"/>
          <w:sz w:val="28"/>
          <w:szCs w:val="28"/>
        </w:rPr>
        <w:t>目前渝北区正面临深层次的产业结构战略性调整，工业技术水平升级以及工业产品的更新换代，加快由“渝北制造”向“渝北智造”、“渝北创造”转变，节水的重点是工业用水大户和污染大户。根据《重庆市节约用水管理办法（试行）》、《重庆市经济和信息化委员会等部门关于加强工业节水的指导意见》等文件，渝北区</w:t>
      </w:r>
      <w:r>
        <w:rPr>
          <w:rFonts w:hint="eastAsia" w:ascii="宋体"/>
          <w:kern w:val="0"/>
          <w:sz w:val="28"/>
          <w:szCs w:val="28"/>
        </w:rPr>
        <w:t>“</w:t>
      </w:r>
      <w:r>
        <w:rPr>
          <w:rFonts w:hint="eastAsia" w:ascii="宋体" w:hAnsi="宋体"/>
          <w:kern w:val="0"/>
          <w:sz w:val="28"/>
          <w:szCs w:val="28"/>
        </w:rPr>
        <w:t>十四五</w:t>
      </w:r>
      <w:r>
        <w:rPr>
          <w:rFonts w:hint="eastAsia" w:ascii="宋体"/>
          <w:kern w:val="0"/>
          <w:sz w:val="28"/>
          <w:szCs w:val="28"/>
        </w:rPr>
        <w:t>”</w:t>
      </w:r>
      <w:r>
        <w:rPr>
          <w:rFonts w:hint="eastAsia" w:ascii="Times New Roman" w:hAnsi="Times New Roman"/>
          <w:kern w:val="0"/>
          <w:sz w:val="28"/>
          <w:szCs w:val="28"/>
        </w:rPr>
        <w:t>工业节水重点方向是强化高耗水行业节水管理和技术改造，促进工业企业推进水资源循环利用和废水处理回用，加快区内非常规水资源开发利用。</w:t>
      </w:r>
    </w:p>
    <w:p>
      <w:pPr>
        <w:pStyle w:val="37"/>
        <w:numPr>
          <w:ilvl w:val="0"/>
          <w:numId w:val="1"/>
        </w:numPr>
        <w:adjustRightInd w:val="0"/>
        <w:snapToGrid w:val="0"/>
        <w:spacing w:line="594" w:lineRule="exact"/>
        <w:ind w:firstLineChars="0"/>
        <w:rPr>
          <w:rFonts w:ascii="Times New Roman" w:hAnsi="Times New Roman"/>
          <w:kern w:val="0"/>
          <w:sz w:val="28"/>
          <w:szCs w:val="28"/>
        </w:rPr>
      </w:pPr>
      <w:r>
        <w:rPr>
          <w:rFonts w:hint="eastAsia" w:ascii="Times New Roman" w:hAnsi="Times New Roman"/>
          <w:kern w:val="0"/>
          <w:sz w:val="28"/>
          <w:szCs w:val="28"/>
        </w:rPr>
        <w:t>建设节水型工业产业体系</w:t>
      </w:r>
    </w:p>
    <w:p>
      <w:pPr>
        <w:adjustRightInd w:val="0"/>
        <w:snapToGrid w:val="0"/>
        <w:spacing w:line="594" w:lineRule="exact"/>
        <w:ind w:firstLine="560" w:firstLineChars="200"/>
        <w:rPr>
          <w:rFonts w:ascii="Times New Roman" w:hAnsi="Times New Roman"/>
          <w:kern w:val="0"/>
          <w:sz w:val="28"/>
          <w:szCs w:val="28"/>
        </w:rPr>
      </w:pPr>
      <w:r>
        <w:rPr>
          <w:rFonts w:hint="eastAsia" w:ascii="Times New Roman" w:hAnsi="Times New Roman"/>
          <w:kern w:val="0"/>
          <w:sz w:val="28"/>
          <w:szCs w:val="28"/>
        </w:rPr>
        <w:t>加强产业引领，限制高污染、高耗水工业项目落户。严格执行工业投资准入清单和市场准入负面清单管理制度，全面加强产业政策落地和源头把关，充分发挥产业引领作用，科学引导和促进工业结构合理调整。</w:t>
      </w:r>
    </w:p>
    <w:p>
      <w:pPr>
        <w:adjustRightInd w:val="0"/>
        <w:snapToGrid w:val="0"/>
        <w:spacing w:line="594" w:lineRule="exact"/>
        <w:ind w:firstLine="560" w:firstLineChars="200"/>
        <w:rPr>
          <w:rFonts w:ascii="Times New Roman" w:hAnsi="Times New Roman"/>
          <w:kern w:val="0"/>
          <w:sz w:val="28"/>
          <w:szCs w:val="28"/>
        </w:rPr>
      </w:pPr>
      <w:r>
        <w:rPr>
          <w:rFonts w:hint="eastAsia" w:ascii="Times New Roman" w:hAnsi="Times New Roman"/>
          <w:kern w:val="0"/>
          <w:sz w:val="28"/>
          <w:szCs w:val="28"/>
        </w:rPr>
        <w:t>（</w:t>
      </w:r>
      <w:r>
        <w:rPr>
          <w:rFonts w:ascii="Times New Roman" w:hAnsi="Times New Roman"/>
          <w:kern w:val="0"/>
          <w:sz w:val="28"/>
          <w:szCs w:val="28"/>
        </w:rPr>
        <w:t>2</w:t>
      </w:r>
      <w:r>
        <w:rPr>
          <w:rFonts w:hint="eastAsia" w:ascii="Times New Roman" w:hAnsi="Times New Roman"/>
          <w:kern w:val="0"/>
          <w:sz w:val="28"/>
          <w:szCs w:val="28"/>
        </w:rPr>
        <w:t>）大力推进工业节水改造</w:t>
      </w:r>
    </w:p>
    <w:p>
      <w:pPr>
        <w:adjustRightInd w:val="0"/>
        <w:snapToGrid w:val="0"/>
        <w:spacing w:line="594" w:lineRule="exact"/>
        <w:ind w:firstLine="560" w:firstLineChars="200"/>
        <w:rPr>
          <w:rFonts w:ascii="Times New Roman" w:hAnsi="Times New Roman"/>
          <w:kern w:val="0"/>
          <w:sz w:val="28"/>
          <w:szCs w:val="28"/>
        </w:rPr>
      </w:pPr>
      <w:r>
        <w:rPr>
          <w:rFonts w:hint="eastAsia" w:ascii="Times New Roman" w:hAnsi="Times New Roman"/>
          <w:kern w:val="0"/>
          <w:sz w:val="28"/>
          <w:szCs w:val="28"/>
        </w:rPr>
        <w:t>完善供用水计量体系和在线监测系统，强化生产用水管理。大力推广高效冷却、洗涤、循环用水、废污水再生利用、高耗水生产工艺替代等节水技术。支持企业开展节水技术改造及再生水回用改造，重点企业要定期开展水平衡测试、用水审计及水效对标。对超过取水定额标准的企业分类分步限期实施节水改造。</w:t>
      </w:r>
    </w:p>
    <w:p>
      <w:pPr>
        <w:adjustRightInd w:val="0"/>
        <w:snapToGrid w:val="0"/>
        <w:spacing w:line="594" w:lineRule="exact"/>
        <w:ind w:firstLine="560" w:firstLineChars="200"/>
        <w:rPr>
          <w:rFonts w:ascii="Times New Roman" w:hAnsi="Times New Roman"/>
          <w:kern w:val="0"/>
          <w:sz w:val="28"/>
          <w:szCs w:val="28"/>
        </w:rPr>
      </w:pPr>
      <w:r>
        <w:rPr>
          <w:rFonts w:hint="eastAsia" w:ascii="Times New Roman" w:hAnsi="Times New Roman"/>
          <w:kern w:val="0"/>
          <w:sz w:val="28"/>
          <w:szCs w:val="28"/>
        </w:rPr>
        <w:t>（</w:t>
      </w:r>
      <w:r>
        <w:rPr>
          <w:rFonts w:ascii="Times New Roman" w:hAnsi="Times New Roman"/>
          <w:kern w:val="0"/>
          <w:sz w:val="28"/>
          <w:szCs w:val="28"/>
        </w:rPr>
        <w:t>3</w:t>
      </w:r>
      <w:r>
        <w:rPr>
          <w:rFonts w:hint="eastAsia" w:ascii="Times New Roman" w:hAnsi="Times New Roman"/>
          <w:kern w:val="0"/>
          <w:sz w:val="28"/>
          <w:szCs w:val="28"/>
        </w:rPr>
        <w:t>）积极推行水循环梯级利用</w:t>
      </w:r>
    </w:p>
    <w:p>
      <w:pPr>
        <w:adjustRightInd w:val="0"/>
        <w:snapToGrid w:val="0"/>
        <w:spacing w:line="594" w:lineRule="exact"/>
        <w:ind w:firstLine="560" w:firstLineChars="200"/>
        <w:rPr>
          <w:rFonts w:ascii="Times New Roman" w:hAnsi="Times New Roman"/>
          <w:kern w:val="0"/>
          <w:sz w:val="28"/>
          <w:szCs w:val="28"/>
        </w:rPr>
      </w:pPr>
      <w:r>
        <w:rPr>
          <w:rFonts w:hint="eastAsia" w:ascii="Times New Roman" w:hAnsi="Times New Roman"/>
          <w:kern w:val="0"/>
          <w:sz w:val="28"/>
          <w:szCs w:val="28"/>
        </w:rPr>
        <w:t>推进现有企业和园区开展以节水为重点内容的绿色高质量转型升级和循环化改造，加快节水及水循环利用设施建设，促进企业间串联用水、分质用水，一水多用和循环利用。新建企业和园区要在规划布局时，统筹供排水、水处理及循环利用设施建设，推动企业间的用水系统集成优化。</w:t>
      </w:r>
    </w:p>
    <w:p>
      <w:pPr>
        <w:adjustRightInd w:val="0"/>
        <w:snapToGrid w:val="0"/>
        <w:spacing w:line="594" w:lineRule="exact"/>
        <w:ind w:firstLine="560" w:firstLineChars="200"/>
        <w:rPr>
          <w:rFonts w:ascii="Times New Roman" w:hAnsi="Times New Roman"/>
          <w:kern w:val="0"/>
          <w:sz w:val="28"/>
          <w:szCs w:val="28"/>
        </w:rPr>
      </w:pPr>
      <w:r>
        <w:rPr>
          <w:rFonts w:hint="eastAsia" w:ascii="Times New Roman" w:hAnsi="Times New Roman"/>
          <w:kern w:val="0"/>
          <w:sz w:val="28"/>
          <w:szCs w:val="28"/>
        </w:rPr>
        <w:t>（</w:t>
      </w:r>
      <w:r>
        <w:rPr>
          <w:rFonts w:ascii="Times New Roman" w:hAnsi="Times New Roman"/>
          <w:kern w:val="0"/>
          <w:sz w:val="28"/>
          <w:szCs w:val="28"/>
        </w:rPr>
        <w:t>4</w:t>
      </w:r>
      <w:r>
        <w:rPr>
          <w:rFonts w:hint="eastAsia" w:ascii="Times New Roman" w:hAnsi="Times New Roman"/>
          <w:kern w:val="0"/>
          <w:sz w:val="28"/>
          <w:szCs w:val="28"/>
        </w:rPr>
        <w:t>）推进节水型企业创建</w:t>
      </w:r>
    </w:p>
    <w:p>
      <w:pPr>
        <w:adjustRightInd w:val="0"/>
        <w:snapToGrid w:val="0"/>
        <w:spacing w:line="594" w:lineRule="exact"/>
        <w:ind w:firstLine="560" w:firstLineChars="200"/>
        <w:rPr>
          <w:rFonts w:ascii="Times New Roman" w:hAnsi="Times New Roman"/>
          <w:kern w:val="0"/>
          <w:sz w:val="28"/>
          <w:szCs w:val="28"/>
        </w:rPr>
      </w:pPr>
      <w:r>
        <w:rPr>
          <w:rFonts w:hint="eastAsia" w:ascii="Times New Roman" w:hAnsi="Times New Roman"/>
          <w:kern w:val="0"/>
          <w:sz w:val="28"/>
          <w:szCs w:val="28"/>
        </w:rPr>
        <w:t>加强政策引导，推进重点用水行业节水型企业建设。在全区工业发展专项资金中安排节水专项资金，给予创建节水型企业和开展节水技术改造资金补助。发挥节水先进企业的典型示范作用，树立一批行业内有代表性、用水管理基础较好、装备技术先进、节水工作有特色、用水指标达到行业领先水平的典型。</w:t>
      </w:r>
    </w:p>
    <w:p>
      <w:pPr>
        <w:keepNext/>
        <w:keepLines/>
        <w:spacing w:before="260" w:after="260" w:line="413" w:lineRule="auto"/>
        <w:ind w:firstLine="281" w:firstLineChars="100"/>
        <w:outlineLvl w:val="1"/>
        <w:rPr>
          <w:rFonts w:ascii="Times New Roman" w:hAnsi="Times New Roman"/>
          <w:b/>
          <w:bCs/>
          <w:kern w:val="44"/>
          <w:sz w:val="28"/>
          <w:szCs w:val="28"/>
        </w:rPr>
      </w:pPr>
      <w:bookmarkStart w:id="83" w:name="_Toc90482790"/>
      <w:r>
        <w:rPr>
          <w:rFonts w:ascii="Times New Roman" w:hAnsi="Times New Roman"/>
          <w:b/>
          <w:bCs/>
          <w:kern w:val="44"/>
          <w:sz w:val="28"/>
          <w:szCs w:val="28"/>
        </w:rPr>
        <w:t xml:space="preserve">4.3 </w:t>
      </w:r>
      <w:r>
        <w:rPr>
          <w:rFonts w:hint="eastAsia" w:ascii="Times New Roman" w:hAnsi="Times New Roman"/>
          <w:b/>
          <w:bCs/>
          <w:kern w:val="44"/>
          <w:sz w:val="28"/>
          <w:szCs w:val="28"/>
        </w:rPr>
        <w:t>城镇节水降损</w:t>
      </w:r>
      <w:bookmarkEnd w:id="83"/>
    </w:p>
    <w:p>
      <w:pPr>
        <w:adjustRightInd w:val="0"/>
        <w:snapToGrid w:val="0"/>
        <w:spacing w:line="594" w:lineRule="exact"/>
        <w:ind w:firstLine="560" w:firstLineChars="200"/>
        <w:rPr>
          <w:rFonts w:ascii="Times New Roman" w:hAnsi="Times New Roman"/>
          <w:kern w:val="0"/>
          <w:sz w:val="28"/>
          <w:szCs w:val="28"/>
        </w:rPr>
      </w:pPr>
      <w:r>
        <w:rPr>
          <w:rFonts w:hint="eastAsia" w:ascii="Times New Roman" w:hAnsi="Times New Roman"/>
          <w:kern w:val="0"/>
          <w:sz w:val="28"/>
          <w:szCs w:val="28"/>
        </w:rPr>
        <w:t>（</w:t>
      </w:r>
      <w:r>
        <w:rPr>
          <w:rFonts w:ascii="Times New Roman" w:hAnsi="Times New Roman"/>
          <w:kern w:val="0"/>
          <w:sz w:val="28"/>
          <w:szCs w:val="28"/>
        </w:rPr>
        <w:t>1</w:t>
      </w:r>
      <w:r>
        <w:rPr>
          <w:rFonts w:hint="eastAsia" w:ascii="Times New Roman" w:hAnsi="Times New Roman"/>
          <w:kern w:val="0"/>
          <w:sz w:val="28"/>
          <w:szCs w:val="28"/>
        </w:rPr>
        <w:t>）加强管网漏损控制</w:t>
      </w:r>
    </w:p>
    <w:p>
      <w:pPr>
        <w:adjustRightInd w:val="0"/>
        <w:snapToGrid w:val="0"/>
        <w:spacing w:line="594" w:lineRule="exact"/>
        <w:ind w:firstLine="560" w:firstLineChars="200"/>
        <w:rPr>
          <w:rFonts w:ascii="Times New Roman" w:hAnsi="Times New Roman"/>
          <w:kern w:val="0"/>
          <w:sz w:val="28"/>
          <w:szCs w:val="28"/>
        </w:rPr>
      </w:pPr>
      <w:r>
        <w:rPr>
          <w:rFonts w:hint="eastAsia" w:ascii="宋体" w:hAnsi="宋体" w:cs="宋体"/>
          <w:kern w:val="0"/>
          <w:sz w:val="28"/>
          <w:szCs w:val="28"/>
        </w:rPr>
        <w:t>加快制定供水管网改造建设实施方案，</w:t>
      </w:r>
      <w:r>
        <w:rPr>
          <w:rFonts w:hint="eastAsia" w:ascii="Times New Roman" w:hAnsi="Times New Roman"/>
          <w:kern w:val="0"/>
          <w:sz w:val="28"/>
          <w:szCs w:val="28"/>
        </w:rPr>
        <w:t>持续推进供水管网的改造。对严重老化、材质差的管道及时进行更新改造，重点推动老城区、老校区等管网高漏损区域的节水改造。在改造过程中要严把质量关，选择优质管材及配件。对城郊或乡镇分散的小水厂进行整合，整合过程中加强管理，注意对原管网进行更新和维护，降低郊区管网漏损率。加强供水管网的管理，完善供水管网检漏制度。区内供水主管部门及供水企业应根据管网的实际情况，制定管网检漏计划，合理确定检漏周期。结合区域检漏法，加强企业、单位内部管网的管理，有效控制管网跑、冒、滴、漏现象。</w:t>
      </w:r>
    </w:p>
    <w:p>
      <w:pPr>
        <w:adjustRightInd w:val="0"/>
        <w:snapToGrid w:val="0"/>
        <w:spacing w:line="594" w:lineRule="exact"/>
        <w:ind w:firstLine="560" w:firstLineChars="200"/>
        <w:rPr>
          <w:rFonts w:ascii="Times New Roman" w:hAnsi="Times New Roman"/>
          <w:kern w:val="0"/>
          <w:sz w:val="28"/>
          <w:szCs w:val="28"/>
        </w:rPr>
      </w:pPr>
      <w:r>
        <w:rPr>
          <w:rFonts w:hint="eastAsia" w:ascii="Times New Roman" w:hAnsi="Times New Roman"/>
          <w:kern w:val="0"/>
          <w:sz w:val="28"/>
          <w:szCs w:val="28"/>
        </w:rPr>
        <w:t>（</w:t>
      </w:r>
      <w:r>
        <w:rPr>
          <w:rFonts w:ascii="Times New Roman" w:hAnsi="Times New Roman"/>
          <w:kern w:val="0"/>
          <w:sz w:val="28"/>
          <w:szCs w:val="28"/>
        </w:rPr>
        <w:t>2</w:t>
      </w:r>
      <w:r>
        <w:rPr>
          <w:rFonts w:hint="eastAsia" w:ascii="Times New Roman" w:hAnsi="Times New Roman"/>
          <w:kern w:val="0"/>
          <w:sz w:val="28"/>
          <w:szCs w:val="28"/>
        </w:rPr>
        <w:t>）深入开展城市公共节水</w:t>
      </w:r>
    </w:p>
    <w:p>
      <w:pPr>
        <w:adjustRightInd w:val="0"/>
        <w:snapToGrid w:val="0"/>
        <w:spacing w:line="594" w:lineRule="exact"/>
        <w:ind w:firstLine="560" w:firstLineChars="200"/>
        <w:rPr>
          <w:rFonts w:ascii="Times New Roman" w:hAnsi="Times New Roman"/>
          <w:kern w:val="0"/>
          <w:sz w:val="28"/>
          <w:szCs w:val="28"/>
        </w:rPr>
      </w:pPr>
      <w:r>
        <w:rPr>
          <w:rFonts w:hint="eastAsia" w:ascii="Times New Roman" w:hAnsi="Times New Roman"/>
          <w:kern w:val="0"/>
          <w:sz w:val="28"/>
          <w:szCs w:val="28"/>
        </w:rPr>
        <w:t>城市园林绿化宜选节水耐旱型植被，推广应用喷灌、滴灌、微灌等方式进行城市园林绿化的节水灌溉。在学校、政府机关、商业中心开展节水宣传，推广节水器具。严格执行《节水型生活用水器具行业编制》，逐步淘汰不符合节水标准的生活用水器具。公共机构要开展供水管网、绿化浇灌系统等节水诊断，推广应用节水新技术、新工艺和新产品，提高节水器具使用率。大力推广绿色建筑，新建公共建筑必须安装节水器具。</w:t>
      </w:r>
    </w:p>
    <w:p>
      <w:pPr>
        <w:adjustRightInd w:val="0"/>
        <w:snapToGrid w:val="0"/>
        <w:spacing w:line="594" w:lineRule="exact"/>
        <w:ind w:firstLine="560" w:firstLineChars="200"/>
        <w:rPr>
          <w:rFonts w:ascii="Times New Roman" w:hAnsi="Times New Roman"/>
          <w:kern w:val="0"/>
          <w:sz w:val="28"/>
          <w:szCs w:val="28"/>
        </w:rPr>
      </w:pPr>
      <w:r>
        <w:rPr>
          <w:rFonts w:hint="eastAsia" w:ascii="Times New Roman" w:hAnsi="Times New Roman"/>
          <w:kern w:val="0"/>
          <w:sz w:val="28"/>
          <w:szCs w:val="28"/>
        </w:rPr>
        <w:t>（</w:t>
      </w:r>
      <w:r>
        <w:rPr>
          <w:rFonts w:ascii="Times New Roman" w:hAnsi="Times New Roman"/>
          <w:kern w:val="0"/>
          <w:sz w:val="28"/>
          <w:szCs w:val="28"/>
        </w:rPr>
        <w:t>3</w:t>
      </w:r>
      <w:r>
        <w:rPr>
          <w:rFonts w:hint="eastAsia" w:ascii="Times New Roman" w:hAnsi="Times New Roman"/>
          <w:kern w:val="0"/>
          <w:sz w:val="28"/>
          <w:szCs w:val="28"/>
        </w:rPr>
        <w:t>）严控高耗水服务业用水</w:t>
      </w:r>
    </w:p>
    <w:p>
      <w:pPr>
        <w:adjustRightInd w:val="0"/>
        <w:snapToGrid w:val="0"/>
        <w:spacing w:line="594" w:lineRule="exact"/>
        <w:ind w:firstLine="560" w:firstLineChars="200"/>
        <w:rPr>
          <w:rFonts w:ascii="Times New Roman" w:hAnsi="Times New Roman"/>
          <w:kern w:val="0"/>
          <w:sz w:val="28"/>
          <w:szCs w:val="28"/>
        </w:rPr>
      </w:pPr>
      <w:r>
        <w:rPr>
          <w:rFonts w:hint="eastAsia" w:ascii="Times New Roman" w:hAnsi="Times New Roman"/>
          <w:kern w:val="0"/>
          <w:sz w:val="28"/>
          <w:szCs w:val="28"/>
        </w:rPr>
        <w:t>从严控制洗浴、洗车、高尔夫球场、人工滑雪场、洗涤、宾馆等行业用水定额。洗车、人工滑雪场等特种行业积极推广循环用水技术、设备与工艺，优先利用再生水、雨水等非常规水源。</w:t>
      </w:r>
    </w:p>
    <w:p>
      <w:pPr>
        <w:keepNext/>
        <w:keepLines/>
        <w:spacing w:before="260" w:after="260" w:line="413" w:lineRule="auto"/>
        <w:ind w:firstLine="281" w:firstLineChars="100"/>
        <w:outlineLvl w:val="1"/>
        <w:rPr>
          <w:rFonts w:ascii="Times New Roman" w:hAnsi="Times New Roman"/>
          <w:b/>
          <w:bCs/>
          <w:kern w:val="44"/>
          <w:sz w:val="28"/>
          <w:szCs w:val="28"/>
        </w:rPr>
      </w:pPr>
      <w:bookmarkStart w:id="84" w:name="_Toc90482791"/>
      <w:r>
        <w:rPr>
          <w:rFonts w:ascii="Times New Roman" w:hAnsi="Times New Roman"/>
          <w:b/>
          <w:bCs/>
          <w:kern w:val="44"/>
          <w:sz w:val="28"/>
          <w:szCs w:val="28"/>
        </w:rPr>
        <w:t xml:space="preserve">4.4 </w:t>
      </w:r>
      <w:r>
        <w:rPr>
          <w:rFonts w:hint="eastAsia" w:ascii="Times New Roman" w:hAnsi="Times New Roman"/>
          <w:b/>
          <w:bCs/>
          <w:kern w:val="44"/>
          <w:sz w:val="28"/>
          <w:szCs w:val="28"/>
        </w:rPr>
        <w:t>非常规水源利用</w:t>
      </w:r>
      <w:bookmarkEnd w:id="84"/>
    </w:p>
    <w:p>
      <w:pPr>
        <w:widowControl/>
        <w:adjustRightInd w:val="0"/>
        <w:snapToGrid w:val="0"/>
        <w:spacing w:line="360" w:lineRule="auto"/>
        <w:ind w:firstLine="560" w:firstLineChars="200"/>
        <w:rPr>
          <w:rFonts w:ascii="Times New Roman" w:hAnsi="Times New Roman"/>
          <w:sz w:val="28"/>
          <w:szCs w:val="28"/>
        </w:rPr>
      </w:pPr>
      <w:r>
        <w:rPr>
          <w:rFonts w:hint="eastAsia" w:ascii="Times New Roman" w:hAnsi="Times New Roman"/>
          <w:sz w:val="28"/>
          <w:szCs w:val="28"/>
        </w:rPr>
        <w:t>加强再生水、雨水、矿井水等非常规水多元、梯级和安全利用。强制推动非常规水纳入水资源统一配置，逐年提高非常规水利用比例，并严格考核。统筹利用好再生水、雨水等用于农业灌溉和生态景观。</w:t>
      </w:r>
    </w:p>
    <w:p>
      <w:pPr>
        <w:widowControl/>
        <w:adjustRightInd w:val="0"/>
        <w:snapToGrid w:val="0"/>
        <w:spacing w:line="360" w:lineRule="auto"/>
        <w:ind w:firstLine="560" w:firstLineChars="200"/>
        <w:rPr>
          <w:rFonts w:ascii="Times New Roman" w:hAnsi="Times New Roman"/>
          <w:sz w:val="28"/>
          <w:szCs w:val="28"/>
        </w:rPr>
      </w:pPr>
      <w:r>
        <w:rPr>
          <w:rFonts w:hint="eastAsia" w:ascii="Times New Roman" w:hAnsi="Times New Roman"/>
          <w:sz w:val="28"/>
          <w:szCs w:val="28"/>
        </w:rPr>
        <w:t>（</w:t>
      </w:r>
      <w:r>
        <w:rPr>
          <w:rFonts w:ascii="Times New Roman" w:hAnsi="Times New Roman"/>
          <w:sz w:val="28"/>
          <w:szCs w:val="28"/>
        </w:rPr>
        <w:t>1</w:t>
      </w:r>
      <w:r>
        <w:rPr>
          <w:rFonts w:hint="eastAsia" w:ascii="Times New Roman" w:hAnsi="Times New Roman"/>
          <w:sz w:val="28"/>
          <w:szCs w:val="28"/>
        </w:rPr>
        <w:t>）再生水回用</w:t>
      </w:r>
    </w:p>
    <w:p>
      <w:pPr>
        <w:widowControl/>
        <w:adjustRightInd w:val="0"/>
        <w:snapToGrid w:val="0"/>
        <w:spacing w:line="360" w:lineRule="auto"/>
        <w:ind w:firstLine="560" w:firstLineChars="200"/>
        <w:rPr>
          <w:rFonts w:ascii="Times New Roman" w:hAnsi="Times New Roman"/>
          <w:sz w:val="28"/>
          <w:szCs w:val="28"/>
        </w:rPr>
      </w:pPr>
      <w:r>
        <w:rPr>
          <w:rFonts w:hint="eastAsia" w:ascii="宋体" w:hAnsi="宋体" w:cs="宋体"/>
          <w:sz w:val="28"/>
          <w:szCs w:val="28"/>
        </w:rPr>
        <w:t>一是</w:t>
      </w:r>
      <w:r>
        <w:rPr>
          <w:rFonts w:hint="eastAsia" w:ascii="Times New Roman" w:hAnsi="Times New Roman"/>
          <w:sz w:val="28"/>
          <w:szCs w:val="28"/>
        </w:rPr>
        <w:t>分散处理与集中处理相结合。在规划阶段统一规划建设再生水处理设施和回用管网，进行污水集中处理，以较短的管线向周围工业等用水大用户供水。鼓励建设分散中水回用系统，实现污水就地处理，就近回用，管线较短，经济性较好。未来渝北区再生水利用应根据实际情况采取分散处理与集中处理相结合，有效促进污水再生利用。</w:t>
      </w:r>
      <w:r>
        <w:rPr>
          <w:rFonts w:hint="eastAsia" w:ascii="宋体" w:hAnsi="宋体" w:cs="宋体"/>
          <w:sz w:val="28"/>
          <w:szCs w:val="28"/>
        </w:rPr>
        <w:t>二是</w:t>
      </w:r>
      <w:r>
        <w:rPr>
          <w:rFonts w:hint="eastAsia" w:ascii="Times New Roman" w:hAnsi="Times New Roman"/>
          <w:sz w:val="28"/>
          <w:szCs w:val="28"/>
        </w:rPr>
        <w:t>再生水优先利用。在满足用水要求条件下，园林绿化、环境卫生、洗车和建筑业优先使用中水和其他再生水，逐步替代自来水，减少优质水资源浪费。</w:t>
      </w:r>
    </w:p>
    <w:p>
      <w:pPr>
        <w:widowControl/>
        <w:adjustRightInd w:val="0"/>
        <w:snapToGrid w:val="0"/>
        <w:spacing w:line="360" w:lineRule="auto"/>
        <w:ind w:firstLine="560" w:firstLineChars="200"/>
        <w:rPr>
          <w:rFonts w:ascii="Times New Roman" w:hAnsi="Times New Roman"/>
          <w:sz w:val="28"/>
          <w:szCs w:val="28"/>
        </w:rPr>
      </w:pPr>
      <w:r>
        <w:rPr>
          <w:rFonts w:hint="eastAsia" w:ascii="Times New Roman" w:hAnsi="Times New Roman"/>
          <w:sz w:val="28"/>
          <w:szCs w:val="28"/>
        </w:rPr>
        <w:t>（</w:t>
      </w:r>
      <w:r>
        <w:rPr>
          <w:rFonts w:ascii="Times New Roman" w:hAnsi="Times New Roman"/>
          <w:sz w:val="28"/>
          <w:szCs w:val="28"/>
        </w:rPr>
        <w:t>2</w:t>
      </w:r>
      <w:r>
        <w:rPr>
          <w:rFonts w:hint="eastAsia" w:ascii="Times New Roman" w:hAnsi="Times New Roman"/>
          <w:sz w:val="28"/>
          <w:szCs w:val="28"/>
        </w:rPr>
        <w:t>）雨水利用</w:t>
      </w:r>
    </w:p>
    <w:p>
      <w:pPr>
        <w:widowControl/>
        <w:adjustRightInd w:val="0"/>
        <w:snapToGrid w:val="0"/>
        <w:spacing w:line="360" w:lineRule="auto"/>
        <w:ind w:firstLine="560" w:firstLineChars="200"/>
        <w:rPr>
          <w:rFonts w:ascii="Times New Roman" w:hAnsi="Times New Roman"/>
          <w:sz w:val="28"/>
          <w:szCs w:val="28"/>
        </w:rPr>
      </w:pPr>
      <w:r>
        <w:rPr>
          <w:rFonts w:hint="eastAsia" w:ascii="宋体" w:hAnsi="宋体" w:cs="宋体"/>
          <w:sz w:val="28"/>
          <w:szCs w:val="28"/>
        </w:rPr>
        <w:t>一是</w:t>
      </w:r>
      <w:r>
        <w:rPr>
          <w:rFonts w:hint="eastAsia" w:ascii="Times New Roman" w:hAnsi="Times New Roman"/>
          <w:sz w:val="28"/>
          <w:szCs w:val="28"/>
        </w:rPr>
        <w:t>城市建成区雨水利用。在城市绿地系统和生活小区，推广雨水收集、道路集雨系统收集雨水直接利用于绿地草坪浇灌、景观用水等市政公共用水。逐步完成区内雨污分流改造，把雨水利用与天然洼地、公园的河湖等湿地保护和湿地恢复相结合。</w:t>
      </w:r>
      <w:r>
        <w:rPr>
          <w:rFonts w:hint="eastAsia" w:ascii="宋体" w:hAnsi="宋体" w:cs="宋体"/>
          <w:sz w:val="28"/>
          <w:szCs w:val="28"/>
        </w:rPr>
        <w:t>二是</w:t>
      </w:r>
      <w:r>
        <w:rPr>
          <w:rFonts w:hint="eastAsia" w:ascii="Times New Roman" w:hAnsi="Times New Roman"/>
          <w:sz w:val="28"/>
          <w:szCs w:val="28"/>
        </w:rPr>
        <w:t>工业园区雨水利用。鼓励工业园区内规模以上企业兴建雨水收集系统，将收集的雨水经初步处理后用于绿化用水、生产清洗用水、工业冷却循环水等，促进雨水在高耗水行业中的利用。</w:t>
      </w:r>
    </w:p>
    <w:p>
      <w:pPr>
        <w:keepNext/>
        <w:keepLines/>
        <w:spacing w:before="260" w:after="260" w:line="413" w:lineRule="auto"/>
        <w:ind w:firstLine="281" w:firstLineChars="100"/>
        <w:outlineLvl w:val="1"/>
        <w:rPr>
          <w:rFonts w:ascii="Times New Roman" w:hAnsi="Times New Roman"/>
          <w:b/>
          <w:bCs/>
          <w:kern w:val="44"/>
          <w:sz w:val="28"/>
          <w:szCs w:val="28"/>
        </w:rPr>
      </w:pPr>
      <w:bookmarkStart w:id="85" w:name="_Toc90482792"/>
      <w:r>
        <w:rPr>
          <w:rFonts w:ascii="Times New Roman" w:hAnsi="Times New Roman"/>
          <w:b/>
          <w:bCs/>
          <w:kern w:val="44"/>
          <w:sz w:val="28"/>
          <w:szCs w:val="28"/>
        </w:rPr>
        <w:t xml:space="preserve">4.5 </w:t>
      </w:r>
      <w:r>
        <w:rPr>
          <w:rFonts w:hint="eastAsia" w:ascii="Times New Roman" w:hAnsi="Times New Roman"/>
          <w:b/>
          <w:bCs/>
          <w:kern w:val="44"/>
          <w:sz w:val="28"/>
          <w:szCs w:val="28"/>
        </w:rPr>
        <w:t>海绵城市建设</w:t>
      </w:r>
      <w:bookmarkEnd w:id="85"/>
    </w:p>
    <w:p>
      <w:pPr>
        <w:adjustRightInd w:val="0"/>
        <w:snapToGrid w:val="0"/>
        <w:spacing w:line="594" w:lineRule="exact"/>
        <w:ind w:firstLine="560" w:firstLineChars="200"/>
        <w:rPr>
          <w:rFonts w:ascii="Times New Roman" w:hAnsi="Times New Roman"/>
          <w:sz w:val="28"/>
          <w:szCs w:val="28"/>
        </w:rPr>
      </w:pPr>
      <w:r>
        <w:rPr>
          <w:rFonts w:hint="eastAsia" w:ascii="Times New Roman" w:hAnsi="Times New Roman"/>
          <w:sz w:val="28"/>
          <w:szCs w:val="28"/>
        </w:rPr>
        <w:t>渝北区已完成《渝北海绵城市修建性详细规划》，以源头减排、过程控制、系统治理的思路，通过“渗”、“滞”、“蓄”“净”、“用”、“排”等措施对雨水径流和污染物进行控制和处理。在城市新区、各类园区、成片开发区以目标为导向，优先保护自然生态本底，结合片区基础建设时序，按相关要求推进海绵城市建设；老城区以问题为导向，结合老旧小区改造，城市有机更新等，完善公园绿化和配套设施，重点解决径流污染和局部积水等问题，做到“新账不欠，老账逐年还”的原则，积极稳妥推进渝北区海绵城市建设。</w:t>
      </w:r>
    </w:p>
    <w:p>
      <w:pPr>
        <w:keepNext/>
        <w:keepLines/>
        <w:spacing w:before="260" w:after="260" w:line="413" w:lineRule="auto"/>
        <w:ind w:firstLine="281" w:firstLineChars="100"/>
        <w:outlineLvl w:val="1"/>
        <w:rPr>
          <w:rFonts w:ascii="Times New Roman" w:hAnsi="Times New Roman"/>
          <w:b/>
          <w:bCs/>
          <w:kern w:val="44"/>
          <w:sz w:val="28"/>
          <w:szCs w:val="28"/>
        </w:rPr>
      </w:pPr>
      <w:bookmarkStart w:id="86" w:name="_Toc90482793"/>
      <w:bookmarkStart w:id="87" w:name="_Toc61605766"/>
      <w:r>
        <w:rPr>
          <w:rFonts w:ascii="Times New Roman" w:hAnsi="Times New Roman"/>
          <w:b/>
          <w:bCs/>
          <w:kern w:val="44"/>
          <w:sz w:val="28"/>
          <w:szCs w:val="28"/>
        </w:rPr>
        <w:t xml:space="preserve">4.6 </w:t>
      </w:r>
      <w:r>
        <w:rPr>
          <w:rFonts w:hint="eastAsia" w:ascii="Times New Roman" w:hAnsi="Times New Roman"/>
          <w:b/>
          <w:bCs/>
          <w:kern w:val="44"/>
          <w:sz w:val="28"/>
          <w:szCs w:val="28"/>
        </w:rPr>
        <w:t>水资源保护</w:t>
      </w:r>
      <w:bookmarkEnd w:id="86"/>
      <w:bookmarkEnd w:id="87"/>
    </w:p>
    <w:p>
      <w:pPr>
        <w:widowControl/>
        <w:adjustRightInd w:val="0"/>
        <w:snapToGrid w:val="0"/>
        <w:spacing w:line="360" w:lineRule="auto"/>
        <w:ind w:firstLine="560" w:firstLineChars="200"/>
        <w:rPr>
          <w:rFonts w:ascii="宋体" w:cs="宋体"/>
          <w:sz w:val="28"/>
          <w:szCs w:val="28"/>
        </w:rPr>
      </w:pPr>
      <w:r>
        <w:rPr>
          <w:rFonts w:hint="eastAsia" w:ascii="宋体" w:hAnsi="宋体" w:cs="宋体"/>
          <w:sz w:val="28"/>
          <w:szCs w:val="28"/>
        </w:rPr>
        <w:t>（</w:t>
      </w:r>
      <w:r>
        <w:rPr>
          <w:rFonts w:ascii="宋体" w:hAnsi="宋体" w:cs="宋体"/>
          <w:sz w:val="28"/>
          <w:szCs w:val="28"/>
        </w:rPr>
        <w:t>1</w:t>
      </w:r>
      <w:r>
        <w:rPr>
          <w:rFonts w:hint="eastAsia" w:ascii="宋体" w:hAnsi="宋体" w:cs="宋体"/>
          <w:sz w:val="28"/>
          <w:szCs w:val="28"/>
        </w:rPr>
        <w:t>）严格控制污染排放量</w:t>
      </w:r>
    </w:p>
    <w:p>
      <w:pPr>
        <w:widowControl/>
        <w:adjustRightInd w:val="0"/>
        <w:snapToGrid w:val="0"/>
        <w:spacing w:line="360" w:lineRule="auto"/>
        <w:ind w:firstLine="560" w:firstLineChars="200"/>
        <w:rPr>
          <w:rFonts w:ascii="宋体" w:cs="宋体"/>
          <w:sz w:val="28"/>
          <w:szCs w:val="28"/>
        </w:rPr>
      </w:pPr>
      <w:r>
        <w:rPr>
          <w:rFonts w:hint="eastAsia" w:ascii="宋体" w:hAnsi="宋体" w:cs="宋体"/>
          <w:sz w:val="28"/>
          <w:szCs w:val="28"/>
        </w:rPr>
        <w:t>严格落实重庆市人民政府印发的《重庆市实行最严格水资源管理制度考核办法》对水功能区水质控制目标。严格控制排污总量，控制企业污染物允许排放量，实行节水减排，并加强监测和考核，确保水功能区达到水质保护目标。加强入河排污口监督管理，严格控制新设置排污口，规范新建入河排污口设置。</w:t>
      </w:r>
    </w:p>
    <w:p>
      <w:pPr>
        <w:widowControl/>
        <w:adjustRightInd w:val="0"/>
        <w:snapToGrid w:val="0"/>
        <w:spacing w:line="360" w:lineRule="auto"/>
        <w:ind w:firstLine="560" w:firstLineChars="200"/>
        <w:rPr>
          <w:rFonts w:ascii="宋体" w:cs="宋体"/>
          <w:sz w:val="28"/>
          <w:szCs w:val="28"/>
        </w:rPr>
      </w:pPr>
      <w:r>
        <w:rPr>
          <w:rFonts w:hint="eastAsia" w:ascii="宋体" w:hAnsi="宋体" w:cs="宋体"/>
          <w:sz w:val="28"/>
          <w:szCs w:val="28"/>
        </w:rPr>
        <w:t>（</w:t>
      </w:r>
      <w:r>
        <w:rPr>
          <w:rFonts w:ascii="宋体" w:hAnsi="宋体" w:cs="宋体"/>
          <w:sz w:val="28"/>
          <w:szCs w:val="28"/>
        </w:rPr>
        <w:t>2</w:t>
      </w:r>
      <w:r>
        <w:rPr>
          <w:rFonts w:hint="eastAsia" w:ascii="宋体" w:hAnsi="宋体" w:cs="宋体"/>
          <w:sz w:val="28"/>
          <w:szCs w:val="28"/>
        </w:rPr>
        <w:t>）改善重点流域水质</w:t>
      </w:r>
    </w:p>
    <w:p>
      <w:pPr>
        <w:widowControl/>
        <w:adjustRightInd w:val="0"/>
        <w:snapToGrid w:val="0"/>
        <w:spacing w:line="360" w:lineRule="auto"/>
        <w:ind w:firstLine="560" w:firstLineChars="200"/>
        <w:rPr>
          <w:rFonts w:ascii="宋体" w:cs="宋体"/>
          <w:bCs/>
          <w:sz w:val="28"/>
          <w:szCs w:val="28"/>
        </w:rPr>
      </w:pPr>
      <w:r>
        <w:rPr>
          <w:rFonts w:hint="eastAsia" w:ascii="宋体" w:hAnsi="宋体" w:cs="宋体"/>
          <w:sz w:val="28"/>
          <w:szCs w:val="28"/>
        </w:rPr>
        <w:t>“十四五”期间，应持续开展重点流域、重点湖泊和重点领域水污染防治工作，做好湖库水生态修复管护，建立水生态修复湖库巡查机制。持续推进次级河流保护，严格落实三级河长制体系，各级河长和巡河员对各级河流进行巡查，发现问题及时处置或上报。计划投资</w:t>
      </w:r>
      <w:r>
        <w:rPr>
          <w:rFonts w:ascii="宋体" w:hAnsi="宋体" w:cs="宋体"/>
          <w:sz w:val="28"/>
          <w:szCs w:val="28"/>
        </w:rPr>
        <w:t>1.2</w:t>
      </w:r>
      <w:r>
        <w:rPr>
          <w:rFonts w:hint="eastAsia" w:ascii="宋体" w:hAnsi="宋体" w:cs="宋体"/>
          <w:sz w:val="28"/>
          <w:szCs w:val="28"/>
        </w:rPr>
        <w:t>亿元，实施渝北城区环境综合整治</w:t>
      </w:r>
      <w:r>
        <w:rPr>
          <w:rFonts w:ascii="宋体" w:hAnsi="宋体" w:cs="宋体"/>
          <w:sz w:val="28"/>
          <w:szCs w:val="28"/>
        </w:rPr>
        <w:t>PPP</w:t>
      </w:r>
      <w:r>
        <w:rPr>
          <w:rFonts w:hint="eastAsia" w:ascii="宋体" w:hAnsi="宋体" w:cs="宋体"/>
          <w:sz w:val="28"/>
          <w:szCs w:val="28"/>
        </w:rPr>
        <w:t>项目，对渝北部分城区雨污分流进行治理和市政道路提档升级，并通过盘溪河及肖家河渝北段清水绿岸工程建设，进一步提升区域水功能区环境质量。</w:t>
      </w:r>
      <w:r>
        <w:rPr>
          <w:rFonts w:hint="eastAsia" w:ascii="宋体" w:hAnsi="宋体" w:cs="宋体"/>
          <w:bCs/>
          <w:sz w:val="28"/>
          <w:szCs w:val="28"/>
        </w:rPr>
        <w:t>（</w:t>
      </w:r>
      <w:r>
        <w:rPr>
          <w:rFonts w:ascii="宋体" w:hAnsi="宋体" w:cs="宋体"/>
          <w:bCs/>
          <w:sz w:val="28"/>
          <w:szCs w:val="28"/>
        </w:rPr>
        <w:t>3</w:t>
      </w:r>
      <w:r>
        <w:rPr>
          <w:rFonts w:hint="eastAsia" w:ascii="宋体" w:hAnsi="宋体" w:cs="宋体"/>
          <w:bCs/>
          <w:sz w:val="28"/>
          <w:szCs w:val="28"/>
        </w:rPr>
        <w:t>）</w:t>
      </w:r>
      <w:r>
        <w:rPr>
          <w:rFonts w:hint="eastAsia" w:ascii="宋体" w:hAnsi="宋体" w:cs="宋体"/>
          <w:sz w:val="28"/>
          <w:szCs w:val="28"/>
        </w:rPr>
        <w:t>加强饮用水水源保护</w:t>
      </w:r>
    </w:p>
    <w:p>
      <w:pPr>
        <w:widowControl/>
        <w:adjustRightInd w:val="0"/>
        <w:snapToGrid w:val="0"/>
        <w:spacing w:line="360" w:lineRule="auto"/>
        <w:ind w:firstLine="560" w:firstLineChars="200"/>
        <w:rPr>
          <w:rFonts w:ascii="宋体" w:cs="宋体"/>
          <w:sz w:val="28"/>
          <w:szCs w:val="28"/>
        </w:rPr>
      </w:pPr>
      <w:r>
        <w:rPr>
          <w:rFonts w:hint="eastAsia" w:ascii="宋体" w:hAnsi="宋体" w:cs="宋体"/>
          <w:sz w:val="28"/>
          <w:szCs w:val="28"/>
        </w:rPr>
        <w:t>建立供水水库饮用水源地保护机制。严格按要求划定饮用水水源保护区，严禁排污及破坏水源保护的相关活动，禁止新建、扩建与供水和保护水源无关的建设项目。持续完善饮用水水源保护区巡查制度，定期开展水源监督监测，确保饮水安全。</w:t>
      </w:r>
    </w:p>
    <w:p>
      <w:pPr>
        <w:adjustRightInd w:val="0"/>
        <w:snapToGrid w:val="0"/>
        <w:spacing w:line="594" w:lineRule="exact"/>
        <w:ind w:firstLine="560" w:firstLineChars="200"/>
        <w:rPr>
          <w:rFonts w:ascii="Times New Roman" w:hAnsi="Times New Roman"/>
          <w:sz w:val="28"/>
          <w:szCs w:val="28"/>
        </w:rPr>
      </w:pPr>
    </w:p>
    <w:p>
      <w:pPr>
        <w:widowControl/>
        <w:jc w:val="left"/>
        <w:rPr>
          <w:rFonts w:ascii="Times New Roman" w:hAnsi="Times New Roman" w:eastAsia="Times New Roman"/>
          <w:color w:val="0070C0"/>
          <w:sz w:val="32"/>
          <w:szCs w:val="32"/>
          <w:u w:color="000000"/>
        </w:rPr>
      </w:pPr>
      <w:r>
        <w:rPr>
          <w:rFonts w:ascii="Times New Roman" w:hAnsi="Times New Roman" w:eastAsia="Times New Roman"/>
          <w:color w:val="0070C0"/>
          <w:sz w:val="32"/>
          <w:szCs w:val="32"/>
          <w:u w:color="000000"/>
        </w:rPr>
        <w:br w:type="page"/>
      </w:r>
    </w:p>
    <w:p>
      <w:pPr>
        <w:keepNext/>
        <w:keepLines/>
        <w:spacing w:before="340" w:after="330" w:line="576" w:lineRule="auto"/>
        <w:ind w:firstLine="723" w:firstLineChars="200"/>
        <w:jc w:val="center"/>
        <w:outlineLvl w:val="0"/>
        <w:rPr>
          <w:rFonts w:ascii="Times New Roman" w:hAnsi="Times New Roman"/>
          <w:b/>
          <w:bCs/>
          <w:kern w:val="44"/>
          <w:sz w:val="36"/>
          <w:szCs w:val="36"/>
        </w:rPr>
      </w:pPr>
      <w:bookmarkStart w:id="88" w:name="_Toc90482794"/>
      <w:r>
        <w:rPr>
          <w:rFonts w:ascii="Times New Roman" w:hAnsi="Times New Roman"/>
          <w:b/>
          <w:bCs/>
          <w:kern w:val="44"/>
          <w:sz w:val="36"/>
          <w:szCs w:val="36"/>
        </w:rPr>
        <w:t xml:space="preserve">5 </w:t>
      </w:r>
      <w:r>
        <w:rPr>
          <w:rFonts w:hint="eastAsia" w:ascii="Times New Roman" w:hAnsi="Times New Roman"/>
          <w:b/>
          <w:bCs/>
          <w:kern w:val="44"/>
          <w:sz w:val="36"/>
          <w:szCs w:val="36"/>
        </w:rPr>
        <w:t>节水型社会制度建设</w:t>
      </w:r>
      <w:bookmarkEnd w:id="88"/>
    </w:p>
    <w:p>
      <w:pPr>
        <w:widowControl/>
        <w:adjustRightInd w:val="0"/>
        <w:snapToGrid w:val="0"/>
        <w:spacing w:line="594" w:lineRule="exact"/>
        <w:ind w:firstLine="560" w:firstLineChars="200"/>
        <w:rPr>
          <w:rFonts w:ascii="Times New Roman" w:hAnsi="Times New Roman"/>
          <w:snapToGrid w:val="0"/>
          <w:kern w:val="0"/>
          <w:sz w:val="28"/>
          <w:szCs w:val="28"/>
        </w:rPr>
      </w:pPr>
      <w:r>
        <w:rPr>
          <w:rFonts w:hint="eastAsia" w:ascii="Times New Roman" w:hAnsi="Times New Roman"/>
          <w:snapToGrid w:val="0"/>
          <w:kern w:val="0"/>
          <w:sz w:val="28"/>
          <w:szCs w:val="28"/>
        </w:rPr>
        <w:t>从贯彻落实党的十九届六中全会精神看，水利改革发展总基调突出了制度治水、制度管水，是从根本上扭转水利行业重工程项目轻法规制度、重建设轻管理问题的必然要求。必须把制度建设摆在节水型社会制度建设的突出位置，全面贯彻落实国家和重庆市重点领域节水法规政策，进一步建立健全渝北区重点领域节约用水制度，发挥强监管在促改革方面的重要作用。</w:t>
      </w:r>
    </w:p>
    <w:p>
      <w:pPr>
        <w:keepNext/>
        <w:keepLines/>
        <w:spacing w:before="260" w:after="260" w:line="413" w:lineRule="auto"/>
        <w:ind w:firstLine="281" w:firstLineChars="100"/>
        <w:outlineLvl w:val="1"/>
        <w:rPr>
          <w:rFonts w:ascii="Times New Roman" w:hAnsi="Times New Roman"/>
          <w:b/>
          <w:bCs/>
          <w:kern w:val="44"/>
          <w:sz w:val="28"/>
          <w:szCs w:val="28"/>
        </w:rPr>
      </w:pPr>
      <w:bookmarkStart w:id="89" w:name="_Toc90482795"/>
      <w:r>
        <w:rPr>
          <w:rFonts w:ascii="Times New Roman" w:hAnsi="Times New Roman"/>
          <w:b/>
          <w:bCs/>
          <w:kern w:val="44"/>
          <w:sz w:val="28"/>
          <w:szCs w:val="28"/>
        </w:rPr>
        <w:t xml:space="preserve">5.1 </w:t>
      </w:r>
      <w:r>
        <w:rPr>
          <w:rFonts w:hint="eastAsia" w:ascii="Times New Roman" w:hAnsi="Times New Roman"/>
          <w:b/>
          <w:bCs/>
          <w:kern w:val="44"/>
          <w:sz w:val="28"/>
          <w:szCs w:val="28"/>
        </w:rPr>
        <w:t>节水管理组织体系建设</w:t>
      </w:r>
      <w:bookmarkEnd w:id="89"/>
    </w:p>
    <w:p>
      <w:pPr>
        <w:widowControl/>
        <w:adjustRightInd w:val="0"/>
        <w:snapToGrid w:val="0"/>
        <w:spacing w:line="594" w:lineRule="exact"/>
        <w:ind w:firstLine="560" w:firstLineChars="200"/>
        <w:rPr>
          <w:rFonts w:ascii="Times New Roman" w:hAnsi="Times New Roman"/>
          <w:snapToGrid w:val="0"/>
          <w:kern w:val="0"/>
          <w:sz w:val="28"/>
          <w:szCs w:val="28"/>
        </w:rPr>
      </w:pPr>
      <w:r>
        <w:rPr>
          <w:rFonts w:hint="eastAsia" w:ascii="Times New Roman" w:hAnsi="Times New Roman"/>
          <w:snapToGrid w:val="0"/>
          <w:kern w:val="0"/>
          <w:sz w:val="28"/>
          <w:szCs w:val="28"/>
        </w:rPr>
        <w:t>充分发挥区级节约用水工作领导小组和节水管理机构职能，建立政府主导、水利牵头、区级各行业主管部门相互配合的管理体系。建立节水工作联席会议制度，形成纵横联动、协同配合的运转机制。强化最严格水资源管理制度考核对节水工作的推动作用，按照“管行业必须管节水”的要求，形成各行业主管部门职责明确、分工协作，共同推进节水工作的局面。</w:t>
      </w:r>
    </w:p>
    <w:p>
      <w:pPr>
        <w:keepNext/>
        <w:keepLines/>
        <w:spacing w:before="260" w:after="260" w:line="413" w:lineRule="auto"/>
        <w:ind w:firstLine="281" w:firstLineChars="100"/>
        <w:outlineLvl w:val="1"/>
        <w:rPr>
          <w:rFonts w:ascii="Times New Roman" w:hAnsi="Times New Roman"/>
          <w:b/>
          <w:bCs/>
          <w:kern w:val="44"/>
          <w:sz w:val="28"/>
          <w:szCs w:val="28"/>
        </w:rPr>
      </w:pPr>
      <w:bookmarkStart w:id="90" w:name="_Toc90482796"/>
      <w:r>
        <w:rPr>
          <w:rFonts w:ascii="Times New Roman" w:hAnsi="Times New Roman"/>
          <w:b/>
          <w:bCs/>
          <w:kern w:val="44"/>
          <w:sz w:val="28"/>
          <w:szCs w:val="28"/>
        </w:rPr>
        <w:t xml:space="preserve">5.2 </w:t>
      </w:r>
      <w:r>
        <w:rPr>
          <w:rFonts w:hint="eastAsia" w:ascii="Times New Roman" w:hAnsi="Times New Roman"/>
          <w:b/>
          <w:bCs/>
          <w:kern w:val="44"/>
          <w:sz w:val="28"/>
          <w:szCs w:val="28"/>
        </w:rPr>
        <w:t>节水管理制度体系建设</w:t>
      </w:r>
      <w:bookmarkEnd w:id="90"/>
    </w:p>
    <w:p>
      <w:pPr>
        <w:widowControl/>
        <w:adjustRightInd w:val="0"/>
        <w:snapToGrid w:val="0"/>
        <w:spacing w:line="594" w:lineRule="exact"/>
        <w:ind w:firstLine="560" w:firstLineChars="200"/>
        <w:rPr>
          <w:rFonts w:ascii="Times New Roman" w:hAnsi="Times New Roman"/>
          <w:b/>
          <w:snapToGrid w:val="0"/>
          <w:kern w:val="0"/>
          <w:sz w:val="28"/>
          <w:szCs w:val="28"/>
        </w:rPr>
      </w:pPr>
      <w:r>
        <w:rPr>
          <w:rFonts w:hint="eastAsia" w:ascii="Times New Roman" w:hAnsi="Times New Roman"/>
          <w:sz w:val="28"/>
          <w:szCs w:val="28"/>
        </w:rPr>
        <w:t>在《中华人民共和国水法》、《取水许可制度管理办法》、《城市节约用水管理规定》等法律法规框架下，健全水资源费征收与使用、计划用水与节约用水管理、节水设施的建设与管理等水资源管理、节水管理法规、政策和制度，做到有法可依，有章可循，依法管理，促进节水工作向纵深发展。</w:t>
      </w:r>
    </w:p>
    <w:p>
      <w:pPr>
        <w:pStyle w:val="37"/>
        <w:numPr>
          <w:ilvl w:val="0"/>
          <w:numId w:val="2"/>
        </w:numPr>
        <w:adjustRightInd w:val="0"/>
        <w:snapToGrid w:val="0"/>
        <w:spacing w:line="594" w:lineRule="exact"/>
        <w:ind w:firstLineChars="0"/>
        <w:rPr>
          <w:rFonts w:ascii="Times New Roman" w:hAnsi="Times New Roman"/>
          <w:snapToGrid w:val="0"/>
          <w:kern w:val="0"/>
          <w:sz w:val="28"/>
          <w:szCs w:val="28"/>
        </w:rPr>
      </w:pPr>
      <w:r>
        <w:rPr>
          <w:rFonts w:hint="eastAsia" w:ascii="Times New Roman" w:hAnsi="Times New Roman"/>
          <w:snapToGrid w:val="0"/>
          <w:kern w:val="0"/>
          <w:sz w:val="28"/>
          <w:szCs w:val="28"/>
        </w:rPr>
        <w:t>严格执行用水定额制度</w:t>
      </w:r>
    </w:p>
    <w:p>
      <w:pPr>
        <w:widowControl/>
        <w:adjustRightInd w:val="0"/>
        <w:snapToGrid w:val="0"/>
        <w:spacing w:line="594" w:lineRule="exact"/>
        <w:ind w:firstLine="560" w:firstLineChars="200"/>
        <w:rPr>
          <w:rFonts w:ascii="Times New Roman" w:hAnsi="Times New Roman"/>
          <w:sz w:val="28"/>
          <w:szCs w:val="28"/>
        </w:rPr>
      </w:pPr>
      <w:r>
        <w:rPr>
          <w:rFonts w:hint="eastAsia" w:ascii="Times New Roman" w:hAnsi="Times New Roman"/>
          <w:sz w:val="28"/>
          <w:szCs w:val="28"/>
        </w:rPr>
        <w:t>结合区内实际，从强化管理入手，夯实节水基础管理工作，按照水利部《关于加强水资源用途管制的指导意见》，积极落实区域用水总量行业分配方案。严格执行行业用水定额标准，把用水定额作为水资源论证、取水许可审批、计划用水下达、节水型企业创建、城市节水工作的重要依据。建设项目水资源论证要根据项目生产规模、生产工艺、产品种类等选择先进的用水定额。督促重点取用水单位、高耗水及重点企业定期开展水平衡测试，严格核实用水户年度用水量，限制高耗水工业项目和高耗水服务业发展。</w:t>
      </w:r>
    </w:p>
    <w:p>
      <w:pPr>
        <w:pStyle w:val="37"/>
        <w:numPr>
          <w:ilvl w:val="0"/>
          <w:numId w:val="2"/>
        </w:numPr>
        <w:adjustRightInd w:val="0"/>
        <w:snapToGrid w:val="0"/>
        <w:spacing w:line="594" w:lineRule="exact"/>
        <w:ind w:firstLineChars="0"/>
        <w:rPr>
          <w:rFonts w:ascii="Times New Roman" w:hAnsi="Times New Roman"/>
          <w:snapToGrid w:val="0"/>
          <w:kern w:val="0"/>
          <w:sz w:val="28"/>
          <w:szCs w:val="28"/>
        </w:rPr>
      </w:pPr>
      <w:r>
        <w:rPr>
          <w:rFonts w:hint="eastAsia" w:ascii="Times New Roman" w:hAnsi="Times New Roman"/>
          <w:snapToGrid w:val="0"/>
          <w:kern w:val="0"/>
          <w:sz w:val="28"/>
          <w:szCs w:val="28"/>
        </w:rPr>
        <w:t>严格落实计划用水管理制度</w:t>
      </w:r>
    </w:p>
    <w:p>
      <w:pPr>
        <w:widowControl/>
        <w:adjustRightInd w:val="0"/>
        <w:snapToGrid w:val="0"/>
        <w:spacing w:line="594" w:lineRule="exact"/>
        <w:ind w:firstLine="560" w:firstLineChars="200"/>
        <w:rPr>
          <w:rFonts w:ascii="Times New Roman" w:hAnsi="Times New Roman"/>
          <w:sz w:val="28"/>
          <w:szCs w:val="28"/>
        </w:rPr>
      </w:pPr>
      <w:r>
        <w:rPr>
          <w:rFonts w:hint="eastAsia" w:ascii="Times New Roman" w:hAnsi="Times New Roman"/>
          <w:sz w:val="28"/>
          <w:szCs w:val="28"/>
        </w:rPr>
        <w:t>按照《渝北区城市计划用水管理实施细则（试行）》，全面开展计划用水工作。区水利局、区城市管理局对重点监控用水单位严格实行计划用水管理，严格按照用水定额标准下达用水计划。逐步建立用水报告制度，鼓励年用水总量超过</w:t>
      </w:r>
      <w:r>
        <w:rPr>
          <w:rFonts w:ascii="Times New Roman" w:hAnsi="Times New Roman"/>
          <w:sz w:val="28"/>
          <w:szCs w:val="28"/>
        </w:rPr>
        <w:t>10</w:t>
      </w:r>
      <w:r>
        <w:rPr>
          <w:rFonts w:hint="eastAsia" w:ascii="Times New Roman" w:hAnsi="Times New Roman"/>
          <w:sz w:val="28"/>
          <w:szCs w:val="28"/>
        </w:rPr>
        <w:t>万立方米的企业或园区设立水务经理。建立倒逼机制，将用水户违规记录纳入全国统一的信用信息共享平台，并逐步推动区内重点监控用水单位名录动态管理。</w:t>
      </w:r>
    </w:p>
    <w:p>
      <w:pPr>
        <w:pStyle w:val="37"/>
        <w:widowControl/>
        <w:numPr>
          <w:ilvl w:val="0"/>
          <w:numId w:val="2"/>
        </w:numPr>
        <w:adjustRightInd w:val="0"/>
        <w:snapToGrid w:val="0"/>
        <w:spacing w:line="594" w:lineRule="exact"/>
        <w:ind w:firstLineChars="0"/>
        <w:jc w:val="left"/>
        <w:rPr>
          <w:rFonts w:ascii="Times New Roman" w:hAnsi="Times New Roman"/>
          <w:snapToGrid w:val="0"/>
          <w:kern w:val="0"/>
          <w:sz w:val="28"/>
          <w:szCs w:val="28"/>
        </w:rPr>
      </w:pPr>
      <w:r>
        <w:rPr>
          <w:rFonts w:hint="eastAsia" w:ascii="Times New Roman" w:hAnsi="Times New Roman"/>
          <w:snapToGrid w:val="0"/>
          <w:kern w:val="0"/>
          <w:sz w:val="28"/>
          <w:szCs w:val="28"/>
        </w:rPr>
        <w:t>严格取用水计量和用水统计制度</w:t>
      </w:r>
    </w:p>
    <w:p>
      <w:pPr>
        <w:widowControl/>
        <w:adjustRightInd w:val="0"/>
        <w:snapToGrid w:val="0"/>
        <w:spacing w:line="594" w:lineRule="exact"/>
        <w:ind w:firstLine="560" w:firstLineChars="200"/>
        <w:rPr>
          <w:rFonts w:ascii="Times New Roman" w:hAnsi="Times New Roman"/>
          <w:sz w:val="28"/>
          <w:szCs w:val="28"/>
        </w:rPr>
      </w:pPr>
      <w:r>
        <w:rPr>
          <w:rFonts w:hint="eastAsia" w:ascii="Times New Roman" w:hAnsi="Times New Roman"/>
          <w:sz w:val="28"/>
          <w:szCs w:val="28"/>
        </w:rPr>
        <w:t>认真贯彻《取水许可和水资源费征收管理条例》，规范取用水管理，严格执行建设项目水资源论证、取水许可、用水节水评估、计划用水制度。对建设项目进行充分的水资源论证，在缺水地区将严格控制新增高耗水项目的取水许可审批。完善水资源计量体系，实现城镇供水“一户一表”改造全覆盖，结合农田水利工程建设大力推进农业灌溉用水计量监控，加强取水、用水计量器具配备和管理，鼓励重点高耗水行业建立用水实时监测管控系统，大幅提高工业用水效率及城市用水计量率。</w:t>
      </w:r>
    </w:p>
    <w:p>
      <w:pPr>
        <w:pStyle w:val="37"/>
        <w:widowControl/>
        <w:numPr>
          <w:ilvl w:val="0"/>
          <w:numId w:val="2"/>
        </w:numPr>
        <w:adjustRightInd w:val="0"/>
        <w:snapToGrid w:val="0"/>
        <w:spacing w:line="594" w:lineRule="exact"/>
        <w:ind w:firstLineChars="0"/>
        <w:jc w:val="left"/>
        <w:rPr>
          <w:rFonts w:ascii="Times New Roman" w:hAnsi="Times New Roman"/>
          <w:snapToGrid w:val="0"/>
          <w:kern w:val="0"/>
          <w:sz w:val="28"/>
          <w:szCs w:val="28"/>
        </w:rPr>
      </w:pPr>
      <w:r>
        <w:rPr>
          <w:rFonts w:hint="eastAsia" w:ascii="Times New Roman" w:hAnsi="Times New Roman"/>
          <w:snapToGrid w:val="0"/>
          <w:kern w:val="0"/>
          <w:sz w:val="28"/>
          <w:szCs w:val="28"/>
        </w:rPr>
        <w:t>严格落实节水“三同时”制度</w:t>
      </w:r>
    </w:p>
    <w:p>
      <w:pPr>
        <w:adjustRightInd w:val="0"/>
        <w:snapToGrid w:val="0"/>
        <w:spacing w:line="594" w:lineRule="exact"/>
        <w:ind w:firstLine="560" w:firstLineChars="200"/>
        <w:rPr>
          <w:rFonts w:ascii="Times New Roman" w:hAnsi="Times New Roman"/>
          <w:sz w:val="28"/>
          <w:szCs w:val="28"/>
        </w:rPr>
      </w:pPr>
      <w:r>
        <w:rPr>
          <w:rFonts w:hint="eastAsia" w:ascii="Times New Roman" w:hAnsi="Times New Roman"/>
          <w:sz w:val="28"/>
          <w:szCs w:val="28"/>
        </w:rPr>
        <w:t>促进建设项目合理用水、节水减排，提高水资源利用效率，保护水生态环境。在项目建设过程中，要严格执行节水设施</w:t>
      </w:r>
      <w:r>
        <w:rPr>
          <w:rFonts w:ascii="Times New Roman" w:hAnsi="Times New Roman"/>
          <w:sz w:val="28"/>
          <w:szCs w:val="28"/>
        </w:rPr>
        <w:t>“</w:t>
      </w:r>
      <w:r>
        <w:rPr>
          <w:rFonts w:hint="eastAsia" w:ascii="Times New Roman" w:hAnsi="Times New Roman"/>
          <w:sz w:val="28"/>
          <w:szCs w:val="28"/>
        </w:rPr>
        <w:t>三同时</w:t>
      </w:r>
      <w:r>
        <w:rPr>
          <w:rFonts w:ascii="Times New Roman" w:hAnsi="Times New Roman"/>
          <w:sz w:val="28"/>
          <w:szCs w:val="28"/>
        </w:rPr>
        <w:t>”</w:t>
      </w:r>
      <w:r>
        <w:rPr>
          <w:rFonts w:hint="eastAsia" w:ascii="Times New Roman" w:hAnsi="Times New Roman"/>
          <w:sz w:val="28"/>
          <w:szCs w:val="28"/>
        </w:rPr>
        <w:t>制度，配套建设节水设施，保证节水设施及节水计量检测设施与主体工程同时设计、同时施工、同时投用。项目设计未包括节水设施内容、节水设施未建设或没有达到相关节水技术标准要求的，不得擅自投入使用；有条件的区域要建立雨水回收利用系统、中水系统。对于已建项目，要做到用水计划到位、节水目标到位、节水措施到位、管理制度到位。</w:t>
      </w:r>
    </w:p>
    <w:p>
      <w:pPr>
        <w:pStyle w:val="37"/>
        <w:numPr>
          <w:ilvl w:val="0"/>
          <w:numId w:val="2"/>
        </w:numPr>
        <w:adjustRightInd w:val="0"/>
        <w:snapToGrid w:val="0"/>
        <w:spacing w:line="594" w:lineRule="exact"/>
        <w:ind w:firstLineChars="0"/>
        <w:rPr>
          <w:rFonts w:ascii="Times New Roman" w:hAnsi="Times New Roman"/>
          <w:sz w:val="28"/>
          <w:szCs w:val="28"/>
        </w:rPr>
      </w:pPr>
      <w:r>
        <w:rPr>
          <w:rFonts w:hint="eastAsia" w:ascii="Times New Roman" w:hAnsi="Times New Roman"/>
          <w:sz w:val="28"/>
          <w:szCs w:val="28"/>
        </w:rPr>
        <w:t>执行超定额用水累进加价制度</w:t>
      </w:r>
    </w:p>
    <w:p>
      <w:pPr>
        <w:adjustRightInd w:val="0"/>
        <w:snapToGrid w:val="0"/>
        <w:spacing w:line="594" w:lineRule="exact"/>
        <w:ind w:firstLine="560" w:firstLineChars="200"/>
        <w:rPr>
          <w:rFonts w:ascii="Times New Roman" w:hAnsi="Times New Roman"/>
          <w:sz w:val="28"/>
          <w:szCs w:val="28"/>
        </w:rPr>
      </w:pPr>
      <w:r>
        <w:rPr>
          <w:rFonts w:hint="eastAsia" w:ascii="Times New Roman" w:hAnsi="Times New Roman"/>
          <w:sz w:val="28"/>
          <w:szCs w:val="28"/>
        </w:rPr>
        <w:t>全面落实非居民用水超定额累进加价制度，充分发挥价格机制在水资源配置中的调节作用，引导非居民用户提高节水意识。按要求下达城市公共供水的非居民用水户用水计划，严格按照重庆市《中心城区非居民用水超定额累进加价制度》，对于超定额超计划用水实行累进加价管理。完善工作机制，并将超定额、超计划累进加价水费纳入财政资金管理，作为节水资金，取之于水，用之于水。</w:t>
      </w:r>
    </w:p>
    <w:p>
      <w:pPr>
        <w:adjustRightInd w:val="0"/>
        <w:snapToGrid w:val="0"/>
        <w:spacing w:line="594" w:lineRule="exact"/>
        <w:ind w:firstLine="560" w:firstLineChars="200"/>
        <w:rPr>
          <w:rFonts w:ascii="Times New Roman" w:hAnsi="Times New Roman"/>
          <w:sz w:val="28"/>
          <w:szCs w:val="28"/>
        </w:rPr>
      </w:pPr>
      <w:r>
        <w:rPr>
          <w:rFonts w:hint="eastAsia" w:ascii="Times New Roman" w:hAnsi="Times New Roman"/>
          <w:sz w:val="28"/>
          <w:szCs w:val="28"/>
        </w:rPr>
        <w:t>（</w:t>
      </w:r>
      <w:r>
        <w:rPr>
          <w:rFonts w:ascii="Times New Roman" w:hAnsi="Times New Roman"/>
          <w:sz w:val="28"/>
          <w:szCs w:val="28"/>
        </w:rPr>
        <w:t>6</w:t>
      </w:r>
      <w:r>
        <w:rPr>
          <w:rFonts w:hint="eastAsia" w:ascii="Times New Roman" w:hAnsi="Times New Roman"/>
          <w:sz w:val="28"/>
          <w:szCs w:val="28"/>
        </w:rPr>
        <w:t>）推动合同节水管理</w:t>
      </w:r>
    </w:p>
    <w:p>
      <w:pPr>
        <w:adjustRightInd w:val="0"/>
        <w:snapToGrid w:val="0"/>
        <w:spacing w:line="594" w:lineRule="exact"/>
        <w:ind w:firstLine="560" w:firstLineChars="200"/>
        <w:rPr>
          <w:rFonts w:ascii="Times New Roman" w:hAnsi="Times New Roman"/>
          <w:sz w:val="28"/>
          <w:szCs w:val="28"/>
        </w:rPr>
      </w:pPr>
      <w:r>
        <w:rPr>
          <w:rFonts w:hint="eastAsia" w:ascii="Times New Roman" w:hAnsi="Times New Roman"/>
          <w:sz w:val="28"/>
          <w:szCs w:val="28"/>
        </w:rPr>
        <w:t>重点在公共机构、公共建筑、高耗水工业和服务业、公共水域水环境治理、经济作物高效节水灌溉等领域，分类建成一批合同节水管理试点示范工程。切实发挥政府机关、学校、医院等公共机构在节水领域的表率作用，推行合同节水管理模式，提高节水积极性，促进节水服务产业发展。对节水减污潜力大的重点行业和工业园区、企业，开展合同节水管理，推动工业清洁高效用水，大幅提高工业用水循环利用率，推动绿色发展。</w:t>
      </w:r>
    </w:p>
    <w:p>
      <w:pPr>
        <w:keepNext/>
        <w:keepLines/>
        <w:spacing w:before="260" w:after="260" w:line="413" w:lineRule="auto"/>
        <w:ind w:firstLine="281" w:firstLineChars="100"/>
        <w:outlineLvl w:val="1"/>
        <w:rPr>
          <w:rFonts w:ascii="Times New Roman" w:hAnsi="Times New Roman"/>
          <w:b/>
          <w:bCs/>
          <w:kern w:val="44"/>
          <w:sz w:val="28"/>
          <w:szCs w:val="28"/>
        </w:rPr>
      </w:pPr>
      <w:bookmarkStart w:id="91" w:name="_Toc90482797"/>
      <w:r>
        <w:rPr>
          <w:rFonts w:ascii="Times New Roman" w:hAnsi="Times New Roman"/>
          <w:b/>
          <w:bCs/>
          <w:kern w:val="44"/>
          <w:sz w:val="28"/>
          <w:szCs w:val="28"/>
        </w:rPr>
        <w:t xml:space="preserve">5.3 </w:t>
      </w:r>
      <w:r>
        <w:rPr>
          <w:rFonts w:hint="eastAsia" w:ascii="Times New Roman" w:hAnsi="Times New Roman"/>
          <w:b/>
          <w:bCs/>
          <w:kern w:val="44"/>
          <w:sz w:val="28"/>
          <w:szCs w:val="28"/>
        </w:rPr>
        <w:t>节水宣传体系建设</w:t>
      </w:r>
      <w:bookmarkEnd w:id="91"/>
    </w:p>
    <w:p>
      <w:pPr>
        <w:adjustRightInd w:val="0"/>
        <w:snapToGrid w:val="0"/>
        <w:spacing w:line="594" w:lineRule="exact"/>
        <w:ind w:firstLine="700" w:firstLineChars="250"/>
        <w:rPr>
          <w:rFonts w:ascii="Times New Roman" w:hAnsi="Times New Roman"/>
          <w:sz w:val="28"/>
          <w:szCs w:val="28"/>
        </w:rPr>
      </w:pPr>
      <w:r>
        <w:rPr>
          <w:rFonts w:hint="eastAsia" w:ascii="Times New Roman" w:hAnsi="Times New Roman"/>
          <w:sz w:val="28"/>
          <w:szCs w:val="28"/>
        </w:rPr>
        <w:t>一是持续开展形式多样的主题宣传活动。依托“世界水日”、“中国水周”、“环境教育先进单位”、“环境教育优秀工作者”和“环保小卫士”评选等活动，进行集中宣传，倡导简约适度的消费模式，提高全民节水意识。二是各行业主管部门应紧紧围绕节水型社会建设目标任务，鼓励各相关领域开展节水型社会、节水型单位等创建活动，全方位开展节水型社会建设宣传工作。三是要采取有力措施，充分利用广播、电视、报刊、网络、公共场所等新闻媒介与媒体，通过学校教育、专业培训、专题讲座、节水专栏、科普读物等多种形式，开展广泛的宣传教育活动，培育公众的节水意识，为节水型社会建设创造良好的社会氛围。</w:t>
      </w:r>
    </w:p>
    <w:p>
      <w:pPr>
        <w:keepNext/>
        <w:keepLines/>
        <w:spacing w:before="260" w:after="260" w:line="413" w:lineRule="auto"/>
        <w:ind w:firstLine="281" w:firstLineChars="100"/>
        <w:outlineLvl w:val="1"/>
        <w:rPr>
          <w:rFonts w:ascii="Times New Roman" w:hAnsi="Times New Roman"/>
          <w:b/>
          <w:bCs/>
          <w:kern w:val="44"/>
          <w:sz w:val="28"/>
          <w:szCs w:val="28"/>
        </w:rPr>
      </w:pPr>
      <w:bookmarkStart w:id="92" w:name="_Toc90482798"/>
      <w:r>
        <w:rPr>
          <w:rFonts w:ascii="Times New Roman" w:hAnsi="Times New Roman"/>
          <w:b/>
          <w:bCs/>
          <w:kern w:val="44"/>
          <w:sz w:val="28"/>
          <w:szCs w:val="28"/>
        </w:rPr>
        <w:t xml:space="preserve">5.4 </w:t>
      </w:r>
      <w:r>
        <w:rPr>
          <w:rFonts w:hint="eastAsia" w:ascii="Times New Roman" w:hAnsi="Times New Roman"/>
          <w:b/>
          <w:bCs/>
          <w:kern w:val="44"/>
          <w:sz w:val="28"/>
          <w:szCs w:val="28"/>
        </w:rPr>
        <w:t>节约用水监督考核体系建设</w:t>
      </w:r>
      <w:bookmarkEnd w:id="92"/>
    </w:p>
    <w:p>
      <w:pPr>
        <w:ind w:firstLine="560" w:firstLineChars="200"/>
        <w:rPr>
          <w:rFonts w:ascii="Times New Roman" w:hAnsi="Times New Roman"/>
          <w:color w:val="0070C0"/>
        </w:rPr>
      </w:pPr>
      <w:r>
        <w:rPr>
          <w:rFonts w:hint="eastAsia" w:ascii="Times New Roman" w:hAnsi="Times New Roman"/>
          <w:snapToGrid w:val="0"/>
          <w:kern w:val="0"/>
          <w:sz w:val="28"/>
          <w:szCs w:val="28"/>
        </w:rPr>
        <w:t>一是构建节约用水监督体系。区水利局对全区各行业主管部门履行节约用水管理职责以及用水单位进行监督，各行业主管部门按照职责分工，分别负责相关行业领域的节水监督工作。二是强化节水监督考核。建立管行业必管节水的工作机制，逐步建立节水目标责任制，将水资源节约和保护的主要指标纳入经济社会发展综合评价体系，实行最严格水资源管理制度考核。完善监督考核工作机制，强化部门协作，严格节水责任追究。</w:t>
      </w:r>
      <w:r>
        <w:rPr>
          <w:rFonts w:ascii="Times New Roman" w:hAnsi="Times New Roman"/>
          <w:color w:val="0070C0"/>
        </w:rPr>
        <w:br w:type="page"/>
      </w:r>
    </w:p>
    <w:p>
      <w:pPr>
        <w:keepNext/>
        <w:keepLines/>
        <w:spacing w:before="340" w:after="330" w:line="576" w:lineRule="auto"/>
        <w:ind w:firstLine="723" w:firstLineChars="200"/>
        <w:jc w:val="center"/>
        <w:outlineLvl w:val="0"/>
        <w:rPr>
          <w:rFonts w:ascii="Times New Roman" w:hAnsi="Times New Roman"/>
          <w:b/>
          <w:bCs/>
          <w:kern w:val="44"/>
          <w:sz w:val="36"/>
          <w:szCs w:val="36"/>
        </w:rPr>
      </w:pPr>
      <w:bookmarkStart w:id="93" w:name="_Toc90482799"/>
      <w:r>
        <w:rPr>
          <w:rFonts w:ascii="Times New Roman" w:hAnsi="Times New Roman"/>
          <w:b/>
          <w:bCs/>
          <w:kern w:val="44"/>
          <w:sz w:val="36"/>
          <w:szCs w:val="36"/>
        </w:rPr>
        <w:t xml:space="preserve">6 </w:t>
      </w:r>
      <w:r>
        <w:rPr>
          <w:rFonts w:hint="eastAsia" w:ascii="Times New Roman" w:hAnsi="Times New Roman"/>
          <w:b/>
          <w:bCs/>
          <w:kern w:val="44"/>
          <w:sz w:val="36"/>
          <w:szCs w:val="36"/>
        </w:rPr>
        <w:t>节水基础工程</w:t>
      </w:r>
      <w:bookmarkEnd w:id="93"/>
    </w:p>
    <w:p>
      <w:pPr>
        <w:keepNext/>
        <w:keepLines/>
        <w:spacing w:before="260" w:after="260" w:line="413" w:lineRule="auto"/>
        <w:ind w:firstLine="281" w:firstLineChars="100"/>
        <w:outlineLvl w:val="1"/>
        <w:rPr>
          <w:rFonts w:ascii="Times New Roman" w:hAnsi="Times New Roman"/>
          <w:b/>
          <w:bCs/>
          <w:kern w:val="44"/>
          <w:sz w:val="28"/>
          <w:szCs w:val="28"/>
        </w:rPr>
      </w:pPr>
      <w:bookmarkStart w:id="94" w:name="_Toc90482800"/>
      <w:r>
        <w:rPr>
          <w:rFonts w:ascii="Times New Roman" w:hAnsi="Times New Roman"/>
          <w:b/>
          <w:bCs/>
          <w:kern w:val="44"/>
          <w:sz w:val="28"/>
          <w:szCs w:val="28"/>
        </w:rPr>
        <w:t xml:space="preserve">6.1 </w:t>
      </w:r>
      <w:r>
        <w:rPr>
          <w:rFonts w:hint="eastAsia" w:ascii="Times New Roman" w:hAnsi="Times New Roman"/>
          <w:b/>
          <w:bCs/>
          <w:kern w:val="44"/>
          <w:sz w:val="28"/>
          <w:szCs w:val="28"/>
        </w:rPr>
        <w:t>农业节水工程</w:t>
      </w:r>
      <w:bookmarkEnd w:id="94"/>
    </w:p>
    <w:p>
      <w:pPr>
        <w:pStyle w:val="37"/>
        <w:numPr>
          <w:ilvl w:val="0"/>
          <w:numId w:val="3"/>
        </w:numPr>
        <w:ind w:firstLineChars="0"/>
        <w:jc w:val="left"/>
        <w:rPr>
          <w:rFonts w:ascii="Times New Roman" w:hAnsi="Times New Roman"/>
          <w:sz w:val="28"/>
          <w:szCs w:val="28"/>
        </w:rPr>
      </w:pPr>
      <w:r>
        <w:rPr>
          <w:rFonts w:hint="eastAsia" w:ascii="Times New Roman" w:hAnsi="Times New Roman"/>
          <w:sz w:val="28"/>
          <w:szCs w:val="28"/>
        </w:rPr>
        <w:t>高标准农田建设项目</w:t>
      </w:r>
    </w:p>
    <w:p>
      <w:pPr>
        <w:ind w:firstLine="560" w:firstLineChars="200"/>
        <w:jc w:val="left"/>
        <w:rPr>
          <w:rFonts w:ascii="Times New Roman" w:hAnsi="Times New Roman"/>
          <w:sz w:val="28"/>
          <w:szCs w:val="28"/>
        </w:rPr>
      </w:pPr>
      <w:r>
        <w:rPr>
          <w:rFonts w:hint="eastAsia" w:ascii="Times New Roman" w:hAnsi="Times New Roman"/>
          <w:sz w:val="28"/>
          <w:szCs w:val="28"/>
        </w:rPr>
        <w:t>贯彻落实“藏粮于地、藏粮于技”战略，以宜机化、水利化、生态化、园田化、规模化、标准化、智能化等“七化”为标准，持续规划建设高标准农田项目。“十四五”期间，计划投资</w:t>
      </w:r>
      <w:r>
        <w:rPr>
          <w:rFonts w:ascii="Times New Roman" w:hAnsi="Times New Roman"/>
          <w:sz w:val="28"/>
          <w:szCs w:val="28"/>
        </w:rPr>
        <w:t>2.82</w:t>
      </w:r>
      <w:r>
        <w:rPr>
          <w:rFonts w:hint="eastAsia" w:ascii="Times New Roman" w:hAnsi="Times New Roman"/>
          <w:sz w:val="28"/>
          <w:szCs w:val="28"/>
        </w:rPr>
        <w:t>亿元，在全区建设高标准农田</w:t>
      </w:r>
      <w:r>
        <w:rPr>
          <w:rFonts w:ascii="Times New Roman" w:hAnsi="Times New Roman"/>
          <w:sz w:val="28"/>
          <w:szCs w:val="28"/>
        </w:rPr>
        <w:t>12</w:t>
      </w:r>
      <w:r>
        <w:rPr>
          <w:rFonts w:hint="eastAsia" w:ascii="Times New Roman" w:hAnsi="Times New Roman"/>
          <w:sz w:val="28"/>
          <w:szCs w:val="28"/>
        </w:rPr>
        <w:t>万亩，建设高效节水灌溉面积</w:t>
      </w:r>
      <w:r>
        <w:rPr>
          <w:rFonts w:ascii="Times New Roman" w:hAnsi="Times New Roman"/>
          <w:sz w:val="28"/>
          <w:szCs w:val="28"/>
        </w:rPr>
        <w:t>1.50</w:t>
      </w:r>
      <w:r>
        <w:rPr>
          <w:rFonts w:hint="eastAsia" w:ascii="Times New Roman" w:hAnsi="Times New Roman"/>
          <w:sz w:val="28"/>
          <w:szCs w:val="28"/>
        </w:rPr>
        <w:t>万亩。</w:t>
      </w:r>
    </w:p>
    <w:p>
      <w:pPr>
        <w:pStyle w:val="37"/>
        <w:numPr>
          <w:ilvl w:val="0"/>
          <w:numId w:val="3"/>
        </w:numPr>
        <w:ind w:firstLineChars="0"/>
        <w:jc w:val="left"/>
        <w:rPr>
          <w:rFonts w:ascii="Times New Roman" w:hAnsi="Times New Roman"/>
          <w:sz w:val="28"/>
          <w:szCs w:val="28"/>
        </w:rPr>
      </w:pPr>
      <w:r>
        <w:rPr>
          <w:rFonts w:hint="eastAsia" w:ascii="Times New Roman" w:hAnsi="Times New Roman"/>
          <w:sz w:val="28"/>
          <w:szCs w:val="28"/>
        </w:rPr>
        <w:t>农村饮水安全提升</w:t>
      </w:r>
    </w:p>
    <w:p>
      <w:pPr>
        <w:ind w:firstLine="560" w:firstLineChars="200"/>
        <w:rPr>
          <w:rFonts w:ascii="Times New Roman" w:hAnsi="Times New Roman"/>
          <w:sz w:val="28"/>
          <w:szCs w:val="28"/>
        </w:rPr>
      </w:pPr>
      <w:r>
        <w:rPr>
          <w:rFonts w:hint="eastAsia" w:ascii="Times New Roman" w:hAnsi="Times New Roman"/>
          <w:sz w:val="28"/>
          <w:szCs w:val="28"/>
        </w:rPr>
        <w:t>加强水源保护，开展乡镇集中式饮用水水源地综合整治和乡镇集中式饮用水水源地保护规范化建设。加强水库生态保护带绿化和溪河生态防护带绿化。深入实施河长制，鼓励将河长制体系延伸至村一级。着力解决饮水安全问题，全力推动城乡供水一体化，提升城乡供水安全保障能力。到</w:t>
      </w:r>
      <w:r>
        <w:rPr>
          <w:rFonts w:ascii="Times New Roman" w:hAnsi="Times New Roman"/>
          <w:sz w:val="28"/>
          <w:szCs w:val="28"/>
        </w:rPr>
        <w:t>2025</w:t>
      </w:r>
      <w:r>
        <w:rPr>
          <w:rFonts w:hint="eastAsia" w:ascii="Times New Roman" w:hAnsi="Times New Roman"/>
          <w:sz w:val="28"/>
          <w:szCs w:val="28"/>
        </w:rPr>
        <w:t>年，乡镇集中式饮用水水源地水质达标率</w:t>
      </w:r>
      <w:r>
        <w:rPr>
          <w:rFonts w:ascii="Times New Roman" w:hAnsi="Times New Roman"/>
          <w:sz w:val="28"/>
          <w:szCs w:val="28"/>
        </w:rPr>
        <w:t>100%</w:t>
      </w:r>
      <w:r>
        <w:rPr>
          <w:rFonts w:hint="eastAsia" w:ascii="Times New Roman" w:hAnsi="Times New Roman"/>
          <w:sz w:val="28"/>
          <w:szCs w:val="28"/>
        </w:rPr>
        <w:t>，农村自来水普及率达到</w:t>
      </w:r>
      <w:r>
        <w:rPr>
          <w:rFonts w:ascii="Times New Roman" w:hAnsi="Times New Roman"/>
          <w:sz w:val="28"/>
          <w:szCs w:val="28"/>
        </w:rPr>
        <w:t>90%</w:t>
      </w:r>
      <w:r>
        <w:rPr>
          <w:rFonts w:hint="eastAsia" w:ascii="Times New Roman" w:hAnsi="Times New Roman"/>
          <w:sz w:val="28"/>
          <w:szCs w:val="28"/>
        </w:rPr>
        <w:t>，农村生活污水治理率达到</w:t>
      </w:r>
      <w:r>
        <w:rPr>
          <w:rFonts w:ascii="Times New Roman" w:hAnsi="Times New Roman"/>
          <w:sz w:val="28"/>
          <w:szCs w:val="28"/>
        </w:rPr>
        <w:t>65%</w:t>
      </w:r>
      <w:r>
        <w:rPr>
          <w:rFonts w:hint="eastAsia" w:ascii="Times New Roman" w:hAnsi="Times New Roman"/>
          <w:sz w:val="28"/>
          <w:szCs w:val="28"/>
        </w:rPr>
        <w:t>。</w:t>
      </w:r>
    </w:p>
    <w:p>
      <w:pPr>
        <w:ind w:firstLine="560" w:firstLineChars="200"/>
        <w:jc w:val="left"/>
        <w:rPr>
          <w:rFonts w:ascii="Times New Roman" w:hAnsi="Times New Roman"/>
          <w:sz w:val="28"/>
          <w:szCs w:val="28"/>
        </w:rPr>
      </w:pPr>
      <w:r>
        <w:rPr>
          <w:rFonts w:hint="eastAsia" w:ascii="Times New Roman" w:hAnsi="Times New Roman"/>
          <w:sz w:val="28"/>
          <w:szCs w:val="28"/>
        </w:rPr>
        <w:t>（</w:t>
      </w:r>
      <w:r>
        <w:rPr>
          <w:rFonts w:ascii="Times New Roman" w:hAnsi="Times New Roman"/>
          <w:sz w:val="28"/>
          <w:szCs w:val="28"/>
        </w:rPr>
        <w:t>3</w:t>
      </w:r>
      <w:r>
        <w:rPr>
          <w:rFonts w:hint="eastAsia" w:ascii="Times New Roman" w:hAnsi="Times New Roman"/>
          <w:sz w:val="28"/>
          <w:szCs w:val="28"/>
        </w:rPr>
        <w:t>）农村人居环境质量改善</w:t>
      </w:r>
    </w:p>
    <w:p>
      <w:pPr>
        <w:ind w:firstLine="560" w:firstLineChars="200"/>
        <w:jc w:val="left"/>
        <w:rPr>
          <w:rFonts w:ascii="Times New Roman" w:hAnsi="Times New Roman"/>
          <w:sz w:val="28"/>
          <w:szCs w:val="28"/>
        </w:rPr>
      </w:pPr>
      <w:r>
        <w:rPr>
          <w:rFonts w:hint="eastAsia" w:ascii="Times New Roman" w:hAnsi="Times New Roman"/>
          <w:sz w:val="28"/>
          <w:szCs w:val="28"/>
        </w:rPr>
        <w:t>全面提升农村人居环境整治成效。一是持续推进农村户厕无害化改造，改造农村无害化卫生户厕</w:t>
      </w:r>
      <w:r>
        <w:rPr>
          <w:rFonts w:ascii="Times New Roman" w:hAnsi="Times New Roman"/>
          <w:sz w:val="28"/>
          <w:szCs w:val="28"/>
        </w:rPr>
        <w:t>2705</w:t>
      </w:r>
      <w:r>
        <w:rPr>
          <w:rFonts w:hint="eastAsia" w:ascii="Times New Roman" w:hAnsi="Times New Roman"/>
          <w:sz w:val="28"/>
          <w:szCs w:val="28"/>
        </w:rPr>
        <w:t>户，到</w:t>
      </w:r>
      <w:r>
        <w:rPr>
          <w:rFonts w:ascii="Times New Roman" w:hAnsi="Times New Roman"/>
          <w:sz w:val="28"/>
          <w:szCs w:val="28"/>
        </w:rPr>
        <w:t>2025</w:t>
      </w:r>
      <w:r>
        <w:rPr>
          <w:rFonts w:hint="eastAsia" w:ascii="Times New Roman" w:hAnsi="Times New Roman"/>
          <w:sz w:val="28"/>
          <w:szCs w:val="28"/>
        </w:rPr>
        <w:t>年，农村无害化卫生厕所普及率达到</w:t>
      </w:r>
      <w:r>
        <w:rPr>
          <w:rFonts w:ascii="Times New Roman" w:hAnsi="Times New Roman"/>
          <w:sz w:val="28"/>
          <w:szCs w:val="28"/>
        </w:rPr>
        <w:t>95%</w:t>
      </w:r>
      <w:r>
        <w:rPr>
          <w:rFonts w:hint="eastAsia" w:ascii="Times New Roman" w:hAnsi="Times New Roman"/>
          <w:sz w:val="28"/>
          <w:szCs w:val="28"/>
        </w:rPr>
        <w:t>以上。二是加强农村生活污水收集及处理，保障农村生态环境，计划新改建污水处理设施</w:t>
      </w:r>
      <w:r>
        <w:rPr>
          <w:rFonts w:ascii="Times New Roman" w:hAnsi="Times New Roman"/>
          <w:sz w:val="28"/>
          <w:szCs w:val="28"/>
        </w:rPr>
        <w:t>9</w:t>
      </w:r>
      <w:r>
        <w:rPr>
          <w:rFonts w:hint="eastAsia" w:ascii="Times New Roman" w:hAnsi="Times New Roman"/>
          <w:sz w:val="28"/>
          <w:szCs w:val="28"/>
        </w:rPr>
        <w:t>座，实施玉峰山镇、石船镇等</w:t>
      </w:r>
      <w:r>
        <w:rPr>
          <w:rFonts w:ascii="Times New Roman" w:hAnsi="Times New Roman"/>
          <w:sz w:val="28"/>
          <w:szCs w:val="28"/>
        </w:rPr>
        <w:t>10</w:t>
      </w:r>
      <w:r>
        <w:rPr>
          <w:rFonts w:hint="eastAsia" w:ascii="Times New Roman" w:hAnsi="Times New Roman"/>
          <w:sz w:val="28"/>
          <w:szCs w:val="28"/>
        </w:rPr>
        <w:t>个镇（含场镇）污水管网建设工程。</w:t>
      </w:r>
    </w:p>
    <w:p>
      <w:pPr>
        <w:keepNext/>
        <w:keepLines/>
        <w:spacing w:before="260" w:after="260" w:line="413" w:lineRule="auto"/>
        <w:ind w:firstLine="281" w:firstLineChars="100"/>
        <w:outlineLvl w:val="1"/>
        <w:rPr>
          <w:rFonts w:ascii="Times New Roman" w:hAnsi="Times New Roman"/>
          <w:b/>
          <w:bCs/>
          <w:kern w:val="44"/>
          <w:sz w:val="28"/>
          <w:szCs w:val="28"/>
        </w:rPr>
      </w:pPr>
      <w:bookmarkStart w:id="95" w:name="_Toc90482801"/>
      <w:r>
        <w:rPr>
          <w:rFonts w:ascii="Times New Roman" w:hAnsi="Times New Roman"/>
          <w:b/>
          <w:bCs/>
          <w:kern w:val="44"/>
          <w:sz w:val="28"/>
          <w:szCs w:val="28"/>
        </w:rPr>
        <w:t xml:space="preserve">6.2 </w:t>
      </w:r>
      <w:r>
        <w:rPr>
          <w:rFonts w:hint="eastAsia" w:ascii="Times New Roman" w:hAnsi="Times New Roman"/>
          <w:b/>
          <w:bCs/>
          <w:kern w:val="44"/>
          <w:sz w:val="28"/>
          <w:szCs w:val="28"/>
        </w:rPr>
        <w:t>工业节水工程</w:t>
      </w:r>
      <w:bookmarkEnd w:id="95"/>
    </w:p>
    <w:p>
      <w:pPr>
        <w:ind w:firstLine="560" w:firstLineChars="200"/>
        <w:jc w:val="left"/>
        <w:rPr>
          <w:rFonts w:ascii="Times New Roman" w:hAnsi="Times New Roman"/>
          <w:sz w:val="28"/>
          <w:szCs w:val="28"/>
        </w:rPr>
      </w:pPr>
      <w:r>
        <w:rPr>
          <w:rFonts w:hint="eastAsia" w:ascii="Times New Roman" w:hAnsi="Times New Roman"/>
          <w:sz w:val="28"/>
          <w:szCs w:val="28"/>
        </w:rPr>
        <w:t>“十四五”期间，持续引导工业企业开展和申报节水技术改造项目，加大对企业节水技术改造的财政补助和扶持，推动更多企业开展节水技术改造。加大对企业开展节水技术改造、淘汰落后用水工艺设备、推进中水废水循环利用等节水工程的支持力度。充分利用区内工业和信息化专项资金等财政资金支持、引导企业开展节水行动、节水技术改造、节水型器具推广、节水型企业创建和节水管理能力建设。在全区工业发展专项资金中安排节水专项资金，深入开展工业节水型企业和绿色工厂创建，争取创建</w:t>
      </w:r>
      <w:r>
        <w:rPr>
          <w:rFonts w:ascii="Times New Roman" w:hAnsi="Times New Roman"/>
          <w:sz w:val="28"/>
          <w:szCs w:val="28"/>
        </w:rPr>
        <w:t>5</w:t>
      </w:r>
      <w:r>
        <w:rPr>
          <w:rFonts w:hint="eastAsia" w:ascii="Times New Roman" w:hAnsi="Times New Roman"/>
          <w:sz w:val="28"/>
          <w:szCs w:val="28"/>
        </w:rPr>
        <w:t>家绿色工厂，对每家绿色工厂创建成功的企业给予</w:t>
      </w:r>
      <w:r>
        <w:rPr>
          <w:rFonts w:ascii="Times New Roman" w:hAnsi="Times New Roman"/>
          <w:sz w:val="28"/>
          <w:szCs w:val="28"/>
        </w:rPr>
        <w:t>20</w:t>
      </w:r>
      <w:r>
        <w:rPr>
          <w:rFonts w:hint="eastAsia" w:ascii="Times New Roman" w:hAnsi="Times New Roman"/>
          <w:sz w:val="28"/>
          <w:szCs w:val="28"/>
        </w:rPr>
        <w:t>万资金奖励。</w:t>
      </w:r>
    </w:p>
    <w:p>
      <w:pPr>
        <w:ind w:firstLine="560" w:firstLineChars="200"/>
        <w:jc w:val="left"/>
        <w:rPr>
          <w:rFonts w:ascii="Times New Roman" w:hAnsi="Times New Roman"/>
          <w:sz w:val="28"/>
          <w:szCs w:val="28"/>
        </w:rPr>
      </w:pPr>
      <w:r>
        <w:rPr>
          <w:rFonts w:hint="eastAsia" w:ascii="Times New Roman" w:hAnsi="Times New Roman"/>
          <w:sz w:val="28"/>
          <w:szCs w:val="28"/>
        </w:rPr>
        <w:t>依托绿色园区建设，系统提升工业园区节水水平。指导渝北工业园区提升土地节约集约利用水平，不断优化空间布局。鼓励园区超前建设污水处理管网、垃圾回收等系统，推动工业园区循环化改造，实现水资源循环利用、能源梯级利用、废物交换利用。</w:t>
      </w:r>
    </w:p>
    <w:p>
      <w:pPr>
        <w:keepNext/>
        <w:keepLines/>
        <w:spacing w:before="260" w:after="260" w:line="413" w:lineRule="auto"/>
        <w:ind w:firstLine="281" w:firstLineChars="100"/>
        <w:outlineLvl w:val="1"/>
        <w:rPr>
          <w:rFonts w:ascii="Times New Roman" w:hAnsi="Times New Roman"/>
          <w:b/>
          <w:bCs/>
          <w:kern w:val="44"/>
          <w:sz w:val="28"/>
          <w:szCs w:val="28"/>
        </w:rPr>
      </w:pPr>
      <w:bookmarkStart w:id="96" w:name="_Toc90482802"/>
      <w:r>
        <w:rPr>
          <w:rFonts w:ascii="Times New Roman" w:hAnsi="Times New Roman"/>
          <w:b/>
          <w:bCs/>
          <w:kern w:val="44"/>
          <w:sz w:val="28"/>
          <w:szCs w:val="28"/>
        </w:rPr>
        <w:t xml:space="preserve">6.3 </w:t>
      </w:r>
      <w:r>
        <w:rPr>
          <w:rFonts w:hint="eastAsia" w:ascii="Times New Roman" w:hAnsi="Times New Roman"/>
          <w:b/>
          <w:bCs/>
          <w:kern w:val="44"/>
          <w:sz w:val="28"/>
          <w:szCs w:val="28"/>
        </w:rPr>
        <w:t>城镇节水工程</w:t>
      </w:r>
      <w:bookmarkEnd w:id="96"/>
    </w:p>
    <w:p>
      <w:pPr>
        <w:spacing w:line="360" w:lineRule="auto"/>
        <w:ind w:firstLine="560" w:firstLineChars="200"/>
        <w:jc w:val="left"/>
        <w:rPr>
          <w:rFonts w:ascii="Times New Roman" w:hAnsi="Times New Roman"/>
          <w:sz w:val="28"/>
          <w:szCs w:val="28"/>
        </w:rPr>
      </w:pPr>
      <w:r>
        <w:rPr>
          <w:rFonts w:hint="eastAsia" w:ascii="Times New Roman" w:hAnsi="Times New Roman"/>
          <w:sz w:val="28"/>
          <w:szCs w:val="28"/>
        </w:rPr>
        <w:t>持续实施城区管网改造工程，改造期间制定详细的管网改造计划，加大管网改造力度，重点对区内管龄超过</w:t>
      </w:r>
      <w:r>
        <w:rPr>
          <w:rFonts w:ascii="Times New Roman" w:hAnsi="Times New Roman"/>
          <w:sz w:val="28"/>
          <w:szCs w:val="28"/>
        </w:rPr>
        <w:t xml:space="preserve"> 30 </w:t>
      </w:r>
      <w:r>
        <w:rPr>
          <w:rFonts w:hint="eastAsia" w:ascii="Times New Roman" w:hAnsi="Times New Roman"/>
          <w:sz w:val="28"/>
          <w:szCs w:val="28"/>
        </w:rPr>
        <w:t>年的管道及材质差、经常爆管、积垢淤塞的灰铸铁管道进行改造。统筹规划、分步实施，逐步建立测流分区</w:t>
      </w:r>
      <w:r>
        <w:rPr>
          <w:rFonts w:ascii="Times New Roman" w:hAnsi="Times New Roman"/>
          <w:sz w:val="28"/>
          <w:szCs w:val="28"/>
        </w:rPr>
        <w:t>(DMA)</w:t>
      </w:r>
      <w:r>
        <w:rPr>
          <w:rFonts w:hint="eastAsia" w:ascii="Times New Roman" w:hAnsi="Times New Roman"/>
          <w:sz w:val="28"/>
          <w:szCs w:val="28"/>
        </w:rPr>
        <w:t>系统，开展管网独立分区计量管理，完成管网分区局部改造、泵站改造、分区阀门及计量设备安装等工程。“十四五”期间，将持续推进区内城市供节水重点工程建设，包括悦来水厂排水改造、工业职业技术学院至观月大道管道建设等项目，规划到</w:t>
      </w:r>
      <w:r>
        <w:rPr>
          <w:rFonts w:ascii="Times New Roman" w:hAnsi="Times New Roman"/>
          <w:sz w:val="28"/>
          <w:szCs w:val="28"/>
        </w:rPr>
        <w:t xml:space="preserve"> 2025 </w:t>
      </w:r>
      <w:r>
        <w:rPr>
          <w:rFonts w:hint="eastAsia" w:ascii="Times New Roman" w:hAnsi="Times New Roman"/>
          <w:sz w:val="28"/>
          <w:szCs w:val="28"/>
        </w:rPr>
        <w:t>年，渝北区供水设施改造、“一户一表”改造及老旧管网改造工程，总计投资约为</w:t>
      </w:r>
      <w:r>
        <w:rPr>
          <w:rFonts w:ascii="Times New Roman" w:hAnsi="Times New Roman"/>
          <w:sz w:val="28"/>
          <w:szCs w:val="28"/>
        </w:rPr>
        <w:t xml:space="preserve"> 10657 </w:t>
      </w:r>
      <w:r>
        <w:rPr>
          <w:rFonts w:hint="eastAsia" w:ascii="Times New Roman" w:hAnsi="Times New Roman"/>
          <w:sz w:val="28"/>
          <w:szCs w:val="28"/>
        </w:rPr>
        <w:t>万元。</w:t>
      </w:r>
    </w:p>
    <w:p>
      <w:pPr>
        <w:keepNext/>
        <w:keepLines/>
        <w:spacing w:before="260" w:after="260" w:line="413" w:lineRule="auto"/>
        <w:ind w:firstLine="281" w:firstLineChars="100"/>
        <w:outlineLvl w:val="1"/>
        <w:rPr>
          <w:rFonts w:ascii="Times New Roman" w:hAnsi="Times New Roman"/>
          <w:b/>
          <w:bCs/>
          <w:kern w:val="44"/>
          <w:sz w:val="28"/>
          <w:szCs w:val="28"/>
        </w:rPr>
      </w:pPr>
      <w:bookmarkStart w:id="97" w:name="_Toc90482803"/>
      <w:r>
        <w:rPr>
          <w:rFonts w:ascii="Times New Roman" w:hAnsi="Times New Roman"/>
          <w:b/>
          <w:bCs/>
          <w:kern w:val="44"/>
          <w:sz w:val="28"/>
          <w:szCs w:val="28"/>
        </w:rPr>
        <w:t xml:space="preserve">6.4 </w:t>
      </w:r>
      <w:r>
        <w:rPr>
          <w:rFonts w:hint="eastAsia" w:ascii="Times New Roman" w:hAnsi="Times New Roman"/>
          <w:b/>
          <w:bCs/>
          <w:kern w:val="44"/>
          <w:sz w:val="28"/>
          <w:szCs w:val="28"/>
        </w:rPr>
        <w:t>非常规水源利用工程</w:t>
      </w:r>
      <w:bookmarkEnd w:id="97"/>
    </w:p>
    <w:p>
      <w:pPr>
        <w:adjustRightInd w:val="0"/>
        <w:snapToGrid w:val="0"/>
        <w:spacing w:line="360" w:lineRule="auto"/>
        <w:ind w:firstLine="560" w:firstLineChars="200"/>
        <w:rPr>
          <w:rFonts w:ascii="Times New Roman" w:hAnsi="Times New Roman"/>
          <w:bCs/>
          <w:color w:val="0070C0"/>
          <w:sz w:val="28"/>
          <w:szCs w:val="28"/>
        </w:rPr>
      </w:pPr>
      <w:r>
        <w:rPr>
          <w:rFonts w:hint="eastAsia" w:ascii="Times New Roman" w:hAnsi="Times New Roman"/>
          <w:bCs/>
          <w:sz w:val="28"/>
          <w:szCs w:val="28"/>
        </w:rPr>
        <w:t>逐年规划建设再生水基础设施、提高再生水利用的方式。结合区内各污水处理厂改造、扩建工程，新建再生水系统，用于污水厂区内部道路、绿地浇洒和景观补水。根据区域情况，结合污水厂周边再生水利用需求，适宜配套敷设再生水供水管网，用于市政绿化用水和景观补水。有条件的区域可将再生水管网延伸至小区内部，新建小区再生水管网，低价供水，满足平时冲厕、洗涤用水和小区绿化用水，有效减少生活用水。</w:t>
      </w:r>
    </w:p>
    <w:p>
      <w:pPr>
        <w:keepNext/>
        <w:keepLines/>
        <w:spacing w:before="260" w:after="260" w:line="413" w:lineRule="auto"/>
        <w:ind w:firstLine="281" w:firstLineChars="100"/>
        <w:outlineLvl w:val="1"/>
        <w:rPr>
          <w:rFonts w:ascii="Times New Roman" w:hAnsi="Times New Roman"/>
          <w:b/>
          <w:bCs/>
          <w:kern w:val="44"/>
          <w:sz w:val="28"/>
          <w:szCs w:val="28"/>
        </w:rPr>
      </w:pPr>
      <w:bookmarkStart w:id="98" w:name="_Toc90482804"/>
      <w:r>
        <w:rPr>
          <w:rFonts w:ascii="Times New Roman" w:hAnsi="Times New Roman"/>
          <w:b/>
          <w:bCs/>
          <w:kern w:val="44"/>
          <w:sz w:val="28"/>
          <w:szCs w:val="28"/>
        </w:rPr>
        <w:t xml:space="preserve">6.5 </w:t>
      </w:r>
      <w:r>
        <w:rPr>
          <w:rFonts w:hint="eastAsia" w:ascii="Times New Roman" w:hAnsi="Times New Roman"/>
          <w:b/>
          <w:bCs/>
          <w:kern w:val="44"/>
          <w:sz w:val="28"/>
          <w:szCs w:val="28"/>
        </w:rPr>
        <w:t>海绵城市建设工程</w:t>
      </w:r>
      <w:bookmarkEnd w:id="98"/>
    </w:p>
    <w:p>
      <w:pPr>
        <w:ind w:firstLine="560" w:firstLineChars="200"/>
        <w:jc w:val="left"/>
        <w:rPr>
          <w:rFonts w:ascii="Times New Roman" w:hAnsi="Times New Roman"/>
          <w:sz w:val="28"/>
          <w:szCs w:val="28"/>
        </w:rPr>
      </w:pPr>
      <w:r>
        <w:rPr>
          <w:rFonts w:hint="eastAsia" w:ascii="Times New Roman" w:hAnsi="Times New Roman"/>
          <w:sz w:val="28"/>
          <w:szCs w:val="28"/>
        </w:rPr>
        <w:t>按照上位规划及相关文件对</w:t>
      </w:r>
      <w:r>
        <w:rPr>
          <w:rFonts w:hint="eastAsia" w:ascii="Times New Roman" w:hAnsi="Times New Roman"/>
          <w:sz w:val="28"/>
          <w:szCs w:val="28"/>
          <w:lang w:eastAsia="zh-CN"/>
        </w:rPr>
        <w:t>海绵城市</w:t>
      </w:r>
      <w:r>
        <w:rPr>
          <w:rFonts w:hint="eastAsia" w:ascii="Times New Roman" w:hAnsi="Times New Roman"/>
          <w:sz w:val="28"/>
          <w:szCs w:val="28"/>
        </w:rPr>
        <w:t>建设的要求，合理分解控制指标至建设地块，力争在“十四五”期间，渝北区海绵建设以每年新增</w:t>
      </w:r>
      <w:r>
        <w:rPr>
          <w:rFonts w:ascii="Times New Roman" w:hAnsi="Times New Roman"/>
          <w:sz w:val="28"/>
          <w:szCs w:val="28"/>
        </w:rPr>
        <w:t>5%</w:t>
      </w:r>
      <w:r>
        <w:rPr>
          <w:rFonts w:hint="eastAsia" w:ascii="Times New Roman" w:hAnsi="Times New Roman"/>
          <w:sz w:val="28"/>
          <w:szCs w:val="28"/>
        </w:rPr>
        <w:t>以上的面积推进，到</w:t>
      </w:r>
      <w:r>
        <w:rPr>
          <w:rFonts w:ascii="Times New Roman" w:hAnsi="Times New Roman"/>
          <w:sz w:val="28"/>
          <w:szCs w:val="28"/>
        </w:rPr>
        <w:t>2025</w:t>
      </w:r>
      <w:r>
        <w:rPr>
          <w:rFonts w:hint="eastAsia" w:ascii="Times New Roman" w:hAnsi="Times New Roman"/>
          <w:sz w:val="28"/>
          <w:szCs w:val="28"/>
        </w:rPr>
        <w:t>年完成海绵城市建成区面积占比达到</w:t>
      </w:r>
      <w:r>
        <w:rPr>
          <w:rFonts w:ascii="Times New Roman" w:hAnsi="Times New Roman"/>
          <w:sz w:val="28"/>
          <w:szCs w:val="28"/>
        </w:rPr>
        <w:t>45%</w:t>
      </w:r>
      <w:r>
        <w:rPr>
          <w:rFonts w:hint="eastAsia" w:ascii="Times New Roman" w:hAnsi="Times New Roman"/>
          <w:sz w:val="28"/>
          <w:szCs w:val="28"/>
        </w:rPr>
        <w:t>目标要求。通过海绵城市建设，提升雨洪管理能力，削减城市地表径流污染，促进雨水资源有效利用，最大限度地降低城市开发建设对生态环境影响。重点开展肖家河、盘溪河、溉澜溪及镜湖（空港新城片区）所在流域海绵城市建设，规划范围总面积约</w:t>
      </w:r>
      <w:r>
        <w:rPr>
          <w:rFonts w:ascii="Times New Roman" w:hAnsi="Times New Roman"/>
          <w:sz w:val="28"/>
          <w:szCs w:val="28"/>
        </w:rPr>
        <w:t>19.55</w:t>
      </w:r>
      <w:r>
        <w:rPr>
          <w:rFonts w:hint="eastAsia" w:ascii="Times New Roman" w:hAnsi="Times New Roman"/>
          <w:sz w:val="28"/>
          <w:szCs w:val="28"/>
        </w:rPr>
        <w:t>平方公里。</w:t>
      </w:r>
    </w:p>
    <w:p>
      <w:pPr>
        <w:ind w:firstLine="560" w:firstLineChars="200"/>
        <w:jc w:val="left"/>
        <w:rPr>
          <w:rFonts w:ascii="Times New Roman" w:hAnsi="Times New Roman"/>
          <w:sz w:val="28"/>
          <w:szCs w:val="28"/>
        </w:rPr>
      </w:pPr>
      <w:r>
        <w:rPr>
          <w:rFonts w:hint="eastAsia" w:ascii="Times New Roman" w:hAnsi="Times New Roman"/>
          <w:sz w:val="28"/>
          <w:szCs w:val="28"/>
        </w:rPr>
        <w:t>现阶段已启动“渝北城区环境综合整治</w:t>
      </w:r>
      <w:r>
        <w:rPr>
          <w:rFonts w:ascii="Times New Roman" w:hAnsi="Times New Roman"/>
          <w:sz w:val="28"/>
          <w:szCs w:val="28"/>
        </w:rPr>
        <w:t>PPP</w:t>
      </w:r>
      <w:r>
        <w:rPr>
          <w:rFonts w:hint="eastAsia" w:ascii="Times New Roman" w:hAnsi="Times New Roman"/>
          <w:sz w:val="28"/>
          <w:szCs w:val="28"/>
        </w:rPr>
        <w:t>项目”，投资约</w:t>
      </w:r>
      <w:r>
        <w:rPr>
          <w:rFonts w:ascii="Times New Roman" w:hAnsi="Times New Roman"/>
          <w:sz w:val="28"/>
          <w:szCs w:val="28"/>
        </w:rPr>
        <w:t>1</w:t>
      </w:r>
      <w:r>
        <w:rPr>
          <w:rFonts w:hint="eastAsia" w:ascii="Times New Roman" w:hAnsi="Times New Roman"/>
          <w:sz w:val="28"/>
          <w:szCs w:val="28"/>
        </w:rPr>
        <w:t>亿元，涉及盘溪河及肖家河渝北段清水绿岸工程建设；拟投资</w:t>
      </w:r>
      <w:r>
        <w:rPr>
          <w:rFonts w:ascii="Times New Roman" w:hAnsi="Times New Roman"/>
          <w:sz w:val="28"/>
          <w:szCs w:val="28"/>
        </w:rPr>
        <w:t>6000</w:t>
      </w:r>
      <w:r>
        <w:rPr>
          <w:rFonts w:hint="eastAsia" w:ascii="Times New Roman" w:hAnsi="Times New Roman"/>
          <w:sz w:val="28"/>
          <w:szCs w:val="28"/>
        </w:rPr>
        <w:t>万元，开展创新经济走廊片区双溪河</w:t>
      </w:r>
      <w:r>
        <w:rPr>
          <w:rFonts w:ascii="Times New Roman" w:hAnsi="Times New Roman"/>
          <w:sz w:val="28"/>
          <w:szCs w:val="28"/>
        </w:rPr>
        <w:t>8</w:t>
      </w:r>
      <w:r>
        <w:rPr>
          <w:rFonts w:hint="eastAsia" w:ascii="Times New Roman" w:hAnsi="Times New Roman"/>
          <w:sz w:val="28"/>
          <w:szCs w:val="28"/>
        </w:rPr>
        <w:t>排水分区、空港新城片区双桥溪排水</w:t>
      </w:r>
      <w:r>
        <w:rPr>
          <w:rFonts w:ascii="Times New Roman" w:hAnsi="Times New Roman"/>
          <w:sz w:val="28"/>
          <w:szCs w:val="28"/>
        </w:rPr>
        <w:t>15</w:t>
      </w:r>
      <w:r>
        <w:rPr>
          <w:rFonts w:hint="eastAsia" w:ascii="Times New Roman" w:hAnsi="Times New Roman"/>
          <w:sz w:val="28"/>
          <w:szCs w:val="28"/>
        </w:rPr>
        <w:t>分区、仙桃数据谷双桥溪</w:t>
      </w:r>
      <w:r>
        <w:rPr>
          <w:rFonts w:ascii="Times New Roman" w:hAnsi="Times New Roman"/>
          <w:sz w:val="28"/>
          <w:szCs w:val="28"/>
        </w:rPr>
        <w:t>1</w:t>
      </w:r>
      <w:r>
        <w:rPr>
          <w:rFonts w:hint="eastAsia" w:ascii="Times New Roman" w:hAnsi="Times New Roman"/>
          <w:sz w:val="28"/>
          <w:szCs w:val="28"/>
        </w:rPr>
        <w:t>、</w:t>
      </w:r>
      <w:r>
        <w:rPr>
          <w:rFonts w:ascii="Times New Roman" w:hAnsi="Times New Roman"/>
          <w:sz w:val="28"/>
          <w:szCs w:val="28"/>
        </w:rPr>
        <w:t>2</w:t>
      </w:r>
      <w:r>
        <w:rPr>
          <w:rFonts w:hint="eastAsia" w:ascii="Times New Roman" w:hAnsi="Times New Roman"/>
          <w:sz w:val="28"/>
          <w:szCs w:val="28"/>
        </w:rPr>
        <w:t>排水分区海绵城市达标建设；基于“空港新城城市基础设施及公共服务</w:t>
      </w:r>
      <w:r>
        <w:rPr>
          <w:rFonts w:ascii="Times New Roman" w:hAnsi="Times New Roman"/>
          <w:sz w:val="28"/>
          <w:szCs w:val="28"/>
        </w:rPr>
        <w:t>PPP</w:t>
      </w:r>
      <w:r>
        <w:rPr>
          <w:rFonts w:hint="eastAsia" w:ascii="Times New Roman" w:hAnsi="Times New Roman"/>
          <w:sz w:val="28"/>
          <w:szCs w:val="28"/>
        </w:rPr>
        <w:t>项目”将开展</w:t>
      </w:r>
      <w:r>
        <w:rPr>
          <w:rFonts w:ascii="Times New Roman" w:hAnsi="Times New Roman"/>
          <w:sz w:val="28"/>
          <w:szCs w:val="28"/>
        </w:rPr>
        <w:t>6</w:t>
      </w:r>
      <w:r>
        <w:rPr>
          <w:rFonts w:hint="eastAsia" w:ascii="Times New Roman" w:hAnsi="Times New Roman"/>
          <w:sz w:val="28"/>
          <w:szCs w:val="28"/>
        </w:rPr>
        <w:t>处公园及</w:t>
      </w:r>
      <w:r>
        <w:rPr>
          <w:rFonts w:ascii="Times New Roman" w:hAnsi="Times New Roman"/>
          <w:sz w:val="28"/>
          <w:szCs w:val="28"/>
        </w:rPr>
        <w:t>12</w:t>
      </w:r>
      <w:r>
        <w:rPr>
          <w:rFonts w:hint="eastAsia" w:ascii="Times New Roman" w:hAnsi="Times New Roman"/>
          <w:sz w:val="28"/>
          <w:szCs w:val="28"/>
        </w:rPr>
        <w:t>条道路的海绵城市建设，总投资约</w:t>
      </w:r>
      <w:r>
        <w:rPr>
          <w:rFonts w:ascii="Times New Roman" w:hAnsi="Times New Roman"/>
          <w:sz w:val="28"/>
          <w:szCs w:val="28"/>
        </w:rPr>
        <w:t>2.9</w:t>
      </w:r>
      <w:r>
        <w:rPr>
          <w:rFonts w:hint="eastAsia" w:ascii="Times New Roman" w:hAnsi="Times New Roman"/>
          <w:sz w:val="28"/>
          <w:szCs w:val="28"/>
        </w:rPr>
        <w:t>亿元。</w:t>
      </w:r>
    </w:p>
    <w:p>
      <w:pPr>
        <w:keepNext/>
        <w:keepLines/>
        <w:spacing w:before="260" w:after="260" w:line="413" w:lineRule="auto"/>
        <w:ind w:firstLine="281" w:firstLineChars="100"/>
        <w:outlineLvl w:val="1"/>
        <w:rPr>
          <w:rFonts w:ascii="Times New Roman" w:hAnsi="Times New Roman"/>
          <w:b/>
          <w:bCs/>
          <w:kern w:val="44"/>
          <w:sz w:val="28"/>
          <w:szCs w:val="28"/>
        </w:rPr>
      </w:pPr>
      <w:bookmarkStart w:id="99" w:name="_Toc90482805"/>
      <w:r>
        <w:rPr>
          <w:rFonts w:ascii="Times New Roman" w:hAnsi="Times New Roman"/>
          <w:b/>
          <w:bCs/>
          <w:kern w:val="44"/>
          <w:sz w:val="28"/>
          <w:szCs w:val="28"/>
        </w:rPr>
        <w:t xml:space="preserve">6.6 </w:t>
      </w:r>
      <w:r>
        <w:rPr>
          <w:rFonts w:hint="eastAsia" w:ascii="Times New Roman" w:hAnsi="Times New Roman"/>
          <w:b/>
          <w:bCs/>
          <w:kern w:val="44"/>
          <w:sz w:val="28"/>
          <w:szCs w:val="28"/>
        </w:rPr>
        <w:t>能力建设工程</w:t>
      </w:r>
      <w:bookmarkEnd w:id="99"/>
    </w:p>
    <w:p>
      <w:pPr>
        <w:ind w:firstLine="560" w:firstLineChars="200"/>
        <w:jc w:val="left"/>
        <w:rPr>
          <w:rFonts w:ascii="Times New Roman" w:hAnsi="Times New Roman"/>
          <w:sz w:val="28"/>
          <w:szCs w:val="28"/>
        </w:rPr>
      </w:pPr>
      <w:r>
        <w:rPr>
          <w:rFonts w:hint="eastAsia" w:ascii="Times New Roman" w:hAnsi="Times New Roman"/>
          <w:sz w:val="28"/>
          <w:szCs w:val="28"/>
        </w:rPr>
        <w:t>坚持“软硬件一起抓”，加强全区节水能力建设。在“硬件”上下功夫，持续推进国家水资源管理系统运行维护，每年落实资金委托第三方机构对区内已建成取用水在线监测站点的水资源管理信息系统进行运行维护，保证系统正常运行。在“软件”上促提升，打造一支专业的节水管理队伍。积极参加水资源管理系统相关培训，提升监控系统运行维护管理能力，保障在线监测设备持续正常运行。加强执法人员在水资源征收、非法取水、超计划超定额用水等节水方面的法律法规培训，提高执法队伍的专业水平。</w:t>
      </w:r>
    </w:p>
    <w:p>
      <w:pPr>
        <w:keepNext/>
        <w:keepLines/>
        <w:spacing w:before="260" w:after="260" w:line="413" w:lineRule="auto"/>
        <w:ind w:firstLine="281" w:firstLineChars="100"/>
        <w:outlineLvl w:val="1"/>
        <w:rPr>
          <w:rFonts w:ascii="Times New Roman" w:hAnsi="Times New Roman"/>
          <w:b/>
          <w:bCs/>
          <w:kern w:val="44"/>
          <w:sz w:val="28"/>
          <w:szCs w:val="28"/>
        </w:rPr>
      </w:pPr>
      <w:bookmarkStart w:id="100" w:name="_Toc90482806"/>
      <w:r>
        <w:rPr>
          <w:rFonts w:ascii="Times New Roman" w:hAnsi="Times New Roman"/>
          <w:b/>
          <w:bCs/>
          <w:kern w:val="44"/>
          <w:sz w:val="28"/>
          <w:szCs w:val="28"/>
        </w:rPr>
        <w:t xml:space="preserve">6.7 </w:t>
      </w:r>
      <w:r>
        <w:rPr>
          <w:rFonts w:hint="eastAsia" w:ascii="Times New Roman" w:hAnsi="Times New Roman"/>
          <w:b/>
          <w:bCs/>
          <w:kern w:val="44"/>
          <w:sz w:val="28"/>
          <w:szCs w:val="28"/>
        </w:rPr>
        <w:t>节水载体建设</w:t>
      </w:r>
      <w:bookmarkEnd w:id="100"/>
    </w:p>
    <w:p>
      <w:pPr>
        <w:adjustRightInd w:val="0"/>
        <w:snapToGrid w:val="0"/>
        <w:spacing w:line="594" w:lineRule="exact"/>
        <w:ind w:firstLine="560" w:firstLineChars="200"/>
        <w:rPr>
          <w:rFonts w:ascii="Times New Roman" w:hAnsi="Times New Roman"/>
          <w:bCs/>
          <w:sz w:val="28"/>
          <w:szCs w:val="28"/>
        </w:rPr>
        <w:sectPr>
          <w:footnotePr>
            <w:numFmt w:val="decimalEnclosedCircleChinese"/>
          </w:footnotePr>
          <w:pgSz w:w="11906" w:h="16838"/>
          <w:pgMar w:top="1440" w:right="1800" w:bottom="1440" w:left="1800" w:header="851" w:footer="992" w:gutter="0"/>
          <w:cols w:space="425" w:num="1"/>
          <w:docGrid w:type="lines" w:linePitch="312" w:charSpace="0"/>
        </w:sectPr>
      </w:pPr>
      <w:r>
        <w:rPr>
          <w:rFonts w:hint="eastAsia" w:ascii="Times New Roman" w:hAnsi="Times New Roman"/>
          <w:bCs/>
          <w:sz w:val="28"/>
          <w:szCs w:val="28"/>
        </w:rPr>
        <w:t>开展节水型企业、节水型机关、节水型学校、节水型社</w:t>
      </w:r>
      <w:r>
        <w:rPr>
          <w:rFonts w:ascii="Times New Roman" w:hAnsi="Times New Roman"/>
          <w:bCs/>
          <w:sz w:val="28"/>
          <w:szCs w:val="28"/>
        </w:rPr>
        <w:t>(</w:t>
      </w:r>
      <w:r>
        <w:rPr>
          <w:rFonts w:hint="eastAsia" w:ascii="Times New Roman" w:hAnsi="Times New Roman"/>
          <w:bCs/>
          <w:sz w:val="28"/>
          <w:szCs w:val="28"/>
        </w:rPr>
        <w:t>小</w:t>
      </w:r>
      <w:r>
        <w:rPr>
          <w:rFonts w:ascii="Times New Roman" w:hAnsi="Times New Roman"/>
          <w:bCs/>
          <w:sz w:val="28"/>
          <w:szCs w:val="28"/>
        </w:rPr>
        <w:t>)</w:t>
      </w:r>
      <w:r>
        <w:rPr>
          <w:rFonts w:hint="eastAsia" w:ascii="Times New Roman" w:hAnsi="Times New Roman"/>
          <w:bCs/>
          <w:sz w:val="28"/>
          <w:szCs w:val="28"/>
        </w:rPr>
        <w:t>区、酒店等节水型载体创建活动，实现节水载体在农业、工业和城市生活等领域的覆盖。把节水型载体建成公众有效参与的平台，提高公众参与节水型社会建设的积极性。“十四五”期间，全区将实现节水型小区建成率提高到</w:t>
      </w:r>
      <w:r>
        <w:rPr>
          <w:rFonts w:ascii="Times New Roman" w:hAnsi="Times New Roman"/>
          <w:bCs/>
          <w:sz w:val="28"/>
          <w:szCs w:val="28"/>
        </w:rPr>
        <w:t>15%</w:t>
      </w:r>
      <w:r>
        <w:rPr>
          <w:rFonts w:hint="eastAsia" w:ascii="Times New Roman" w:hAnsi="Times New Roman"/>
          <w:bCs/>
          <w:sz w:val="28"/>
          <w:szCs w:val="28"/>
        </w:rPr>
        <w:t>以上，区级节水型机关全面建成，区级其他公共机构创建率达到</w:t>
      </w:r>
      <w:r>
        <w:rPr>
          <w:rFonts w:ascii="Times New Roman" w:hAnsi="Times New Roman"/>
          <w:bCs/>
          <w:sz w:val="28"/>
          <w:szCs w:val="28"/>
        </w:rPr>
        <w:t>70%</w:t>
      </w:r>
      <w:r>
        <w:rPr>
          <w:rFonts w:hint="eastAsia" w:ascii="Times New Roman" w:hAnsi="Times New Roman"/>
          <w:bCs/>
          <w:sz w:val="28"/>
          <w:szCs w:val="28"/>
        </w:rPr>
        <w:t>。规模以上重点行业年用水量</w:t>
      </w:r>
      <w:r>
        <w:rPr>
          <w:rFonts w:ascii="Times New Roman" w:hAnsi="Times New Roman"/>
          <w:bCs/>
          <w:sz w:val="28"/>
          <w:szCs w:val="28"/>
        </w:rPr>
        <w:t>10</w:t>
      </w:r>
      <w:r>
        <w:rPr>
          <w:rFonts w:hint="eastAsia" w:ascii="Times New Roman" w:hAnsi="Times New Roman"/>
          <w:bCs/>
          <w:sz w:val="28"/>
          <w:szCs w:val="28"/>
        </w:rPr>
        <w:t>万</w:t>
      </w:r>
      <w:r>
        <w:rPr>
          <w:rFonts w:ascii="Times New Roman" w:hAnsi="Times New Roman"/>
          <w:bCs/>
          <w:sz w:val="28"/>
          <w:szCs w:val="28"/>
        </w:rPr>
        <w:t>m</w:t>
      </w:r>
      <w:r>
        <w:rPr>
          <w:rFonts w:ascii="Times New Roman" w:hAnsi="Times New Roman"/>
          <w:bCs/>
          <w:sz w:val="28"/>
          <w:szCs w:val="28"/>
          <w:vertAlign w:val="superscript"/>
        </w:rPr>
        <w:t>3</w:t>
      </w:r>
      <w:r>
        <w:rPr>
          <w:rFonts w:hint="eastAsia" w:ascii="Times New Roman" w:hAnsi="Times New Roman"/>
          <w:bCs/>
          <w:sz w:val="28"/>
          <w:szCs w:val="28"/>
        </w:rPr>
        <w:t>以上节水型企业建成率达到</w:t>
      </w:r>
      <w:r>
        <w:rPr>
          <w:rFonts w:ascii="Times New Roman" w:hAnsi="Times New Roman"/>
          <w:bCs/>
          <w:sz w:val="28"/>
          <w:szCs w:val="28"/>
        </w:rPr>
        <w:t>100%</w:t>
      </w:r>
      <w:r>
        <w:rPr>
          <w:rFonts w:hint="eastAsia" w:ascii="Times New Roman" w:hAnsi="Times New Roman"/>
          <w:bCs/>
          <w:sz w:val="28"/>
          <w:szCs w:val="28"/>
        </w:rPr>
        <w:t>，争取创建</w:t>
      </w:r>
      <w:r>
        <w:rPr>
          <w:rFonts w:ascii="Times New Roman" w:hAnsi="Times New Roman"/>
          <w:bCs/>
          <w:sz w:val="28"/>
          <w:szCs w:val="28"/>
        </w:rPr>
        <w:t>5</w:t>
      </w:r>
      <w:r>
        <w:rPr>
          <w:rFonts w:hint="eastAsia" w:ascii="Times New Roman" w:hAnsi="Times New Roman"/>
          <w:bCs/>
          <w:sz w:val="28"/>
          <w:szCs w:val="28"/>
        </w:rPr>
        <w:t>家绿色工厂（每年</w:t>
      </w:r>
      <w:r>
        <w:rPr>
          <w:rFonts w:ascii="Times New Roman" w:hAnsi="Times New Roman"/>
          <w:bCs/>
          <w:sz w:val="28"/>
          <w:szCs w:val="28"/>
        </w:rPr>
        <w:t>1</w:t>
      </w:r>
      <w:r>
        <w:rPr>
          <w:rFonts w:hint="eastAsia" w:ascii="Times New Roman" w:hAnsi="Times New Roman"/>
          <w:bCs/>
          <w:sz w:val="28"/>
          <w:szCs w:val="28"/>
        </w:rPr>
        <w:t>家）。</w:t>
      </w:r>
    </w:p>
    <w:p>
      <w:pPr>
        <w:keepNext/>
        <w:keepLines/>
        <w:spacing w:before="340" w:after="330" w:line="576" w:lineRule="auto"/>
        <w:jc w:val="center"/>
        <w:outlineLvl w:val="0"/>
        <w:rPr>
          <w:rFonts w:ascii="Times New Roman" w:hAnsi="Times New Roman"/>
          <w:b/>
          <w:bCs/>
          <w:kern w:val="44"/>
          <w:sz w:val="36"/>
          <w:szCs w:val="36"/>
        </w:rPr>
      </w:pPr>
      <w:bookmarkStart w:id="101" w:name="_Toc90482807"/>
      <w:r>
        <w:rPr>
          <w:rFonts w:ascii="Times New Roman" w:hAnsi="Times New Roman"/>
          <w:b/>
          <w:bCs/>
          <w:kern w:val="44"/>
          <w:sz w:val="36"/>
          <w:szCs w:val="36"/>
        </w:rPr>
        <w:t xml:space="preserve">7 </w:t>
      </w:r>
      <w:r>
        <w:rPr>
          <w:rFonts w:hint="eastAsia" w:ascii="Times New Roman" w:hAnsi="Times New Roman"/>
          <w:b/>
          <w:bCs/>
          <w:kern w:val="44"/>
          <w:sz w:val="36"/>
          <w:szCs w:val="36"/>
        </w:rPr>
        <w:t>投资估算及任务分工</w:t>
      </w:r>
      <w:bookmarkEnd w:id="101"/>
    </w:p>
    <w:p>
      <w:pPr>
        <w:keepNext/>
        <w:keepLines/>
        <w:spacing w:before="260" w:after="260" w:line="413" w:lineRule="auto"/>
        <w:ind w:firstLine="281" w:firstLineChars="100"/>
        <w:outlineLvl w:val="1"/>
        <w:rPr>
          <w:rFonts w:ascii="Times New Roman" w:hAnsi="Times New Roman"/>
          <w:b/>
          <w:bCs/>
          <w:kern w:val="44"/>
          <w:sz w:val="28"/>
          <w:szCs w:val="28"/>
        </w:rPr>
      </w:pPr>
      <w:bookmarkStart w:id="102" w:name="_Toc90482808"/>
      <w:r>
        <w:rPr>
          <w:rFonts w:ascii="Times New Roman" w:hAnsi="Times New Roman"/>
          <w:b/>
          <w:bCs/>
          <w:kern w:val="44"/>
          <w:sz w:val="28"/>
          <w:szCs w:val="28"/>
        </w:rPr>
        <w:t xml:space="preserve">7.1 </w:t>
      </w:r>
      <w:r>
        <w:rPr>
          <w:rFonts w:hint="eastAsia" w:ascii="Times New Roman" w:hAnsi="Times New Roman"/>
          <w:b/>
          <w:bCs/>
          <w:kern w:val="44"/>
          <w:sz w:val="28"/>
          <w:szCs w:val="28"/>
        </w:rPr>
        <w:t>投资估算</w:t>
      </w:r>
      <w:bookmarkEnd w:id="102"/>
    </w:p>
    <w:p>
      <w:pPr>
        <w:ind w:firstLine="560" w:firstLineChars="200"/>
        <w:rPr>
          <w:rFonts w:ascii="Times New Roman" w:hAnsi="Times New Roman"/>
          <w:sz w:val="28"/>
          <w:szCs w:val="28"/>
        </w:rPr>
      </w:pPr>
      <w:r>
        <w:rPr>
          <w:rFonts w:hint="eastAsia" w:ascii="Times New Roman" w:hAnsi="Times New Roman"/>
          <w:sz w:val="28"/>
          <w:szCs w:val="28"/>
        </w:rPr>
        <w:t>根据规划确定的目标和任务，“十四五”期间，全区节水工程规划总投资</w:t>
      </w:r>
      <w:r>
        <w:rPr>
          <w:rFonts w:ascii="Times New Roman" w:hAnsi="Times New Roman"/>
          <w:sz w:val="28"/>
          <w:szCs w:val="28"/>
        </w:rPr>
        <w:t>80911</w:t>
      </w:r>
      <w:r>
        <w:rPr>
          <w:rFonts w:hint="eastAsia" w:ascii="Times New Roman" w:hAnsi="Times New Roman"/>
          <w:sz w:val="28"/>
          <w:szCs w:val="28"/>
        </w:rPr>
        <w:t>万元，其中农业节水工程投资</w:t>
      </w:r>
      <w:r>
        <w:rPr>
          <w:rFonts w:ascii="Times New Roman" w:hAnsi="Times New Roman"/>
          <w:sz w:val="28"/>
          <w:szCs w:val="28"/>
        </w:rPr>
        <w:t>39854</w:t>
      </w:r>
      <w:r>
        <w:rPr>
          <w:rFonts w:hint="eastAsia" w:ascii="Times New Roman" w:hAnsi="Times New Roman"/>
          <w:sz w:val="28"/>
          <w:szCs w:val="28"/>
        </w:rPr>
        <w:t>万元，城镇节水工程投资</w:t>
      </w:r>
      <w:r>
        <w:rPr>
          <w:rFonts w:ascii="Times New Roman" w:hAnsi="Times New Roman"/>
          <w:sz w:val="28"/>
          <w:szCs w:val="28"/>
        </w:rPr>
        <w:t>11257</w:t>
      </w:r>
      <w:r>
        <w:rPr>
          <w:rFonts w:hint="eastAsia" w:ascii="Times New Roman" w:hAnsi="Times New Roman"/>
          <w:sz w:val="28"/>
          <w:szCs w:val="28"/>
        </w:rPr>
        <w:t>万元，工业节水工程投资</w:t>
      </w:r>
      <w:r>
        <w:rPr>
          <w:rFonts w:ascii="Times New Roman" w:hAnsi="Times New Roman"/>
          <w:sz w:val="28"/>
          <w:szCs w:val="28"/>
        </w:rPr>
        <w:t>200</w:t>
      </w:r>
      <w:r>
        <w:rPr>
          <w:rFonts w:hint="eastAsia" w:ascii="Times New Roman" w:hAnsi="Times New Roman"/>
          <w:sz w:val="28"/>
          <w:szCs w:val="28"/>
        </w:rPr>
        <w:t>万元，海绵城市建设工程投资</w:t>
      </w:r>
      <w:r>
        <w:rPr>
          <w:rFonts w:ascii="Times New Roman" w:hAnsi="Times New Roman"/>
          <w:sz w:val="28"/>
          <w:szCs w:val="28"/>
        </w:rPr>
        <w:t>29000</w:t>
      </w:r>
      <w:r>
        <w:rPr>
          <w:rFonts w:hint="eastAsia" w:ascii="Times New Roman" w:hAnsi="Times New Roman"/>
          <w:sz w:val="28"/>
          <w:szCs w:val="28"/>
        </w:rPr>
        <w:t>万元，能力建设工程投资</w:t>
      </w:r>
      <w:r>
        <w:rPr>
          <w:rFonts w:ascii="Times New Roman" w:hAnsi="Times New Roman"/>
          <w:sz w:val="28"/>
          <w:szCs w:val="28"/>
        </w:rPr>
        <w:t>600</w:t>
      </w:r>
      <w:r>
        <w:rPr>
          <w:rFonts w:hint="eastAsia" w:ascii="Times New Roman" w:hAnsi="Times New Roman"/>
          <w:sz w:val="28"/>
          <w:szCs w:val="28"/>
        </w:rPr>
        <w:t>万元。</w:t>
      </w:r>
    </w:p>
    <w:p>
      <w:pPr>
        <w:ind w:firstLine="560" w:firstLineChars="200"/>
        <w:jc w:val="center"/>
        <w:rPr>
          <w:rFonts w:ascii="Times New Roman" w:hAnsi="Times New Roman"/>
          <w:sz w:val="28"/>
          <w:szCs w:val="28"/>
        </w:rPr>
      </w:pPr>
      <w:r>
        <w:rPr>
          <w:rFonts w:hint="eastAsia" w:ascii="Times New Roman" w:hAnsi="Times New Roman"/>
          <w:sz w:val="28"/>
          <w:szCs w:val="28"/>
        </w:rPr>
        <w:t>表</w:t>
      </w:r>
      <w:r>
        <w:rPr>
          <w:rFonts w:ascii="Times New Roman" w:hAnsi="Times New Roman"/>
          <w:sz w:val="28"/>
          <w:szCs w:val="28"/>
        </w:rPr>
        <w:t xml:space="preserve">7-1 </w:t>
      </w:r>
      <w:r>
        <w:rPr>
          <w:rFonts w:hint="eastAsia" w:ascii="Times New Roman" w:hAnsi="Times New Roman"/>
          <w:sz w:val="28"/>
          <w:szCs w:val="28"/>
        </w:rPr>
        <w:t>渝北区“十四五”节水投资估算</w:t>
      </w:r>
    </w:p>
    <w:tbl>
      <w:tblPr>
        <w:tblStyle w:val="21"/>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2765"/>
        <w:gridCol w:w="2765"/>
        <w:gridCol w:w="2766"/>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trPr>
        <w:tc>
          <w:tcPr>
            <w:tcW w:w="2765" w:type="dxa"/>
            <w:vAlign w:val="center"/>
          </w:tcPr>
          <w:p>
            <w:pPr>
              <w:jc w:val="center"/>
              <w:rPr>
                <w:b/>
                <w:szCs w:val="21"/>
              </w:rPr>
            </w:pPr>
            <w:r>
              <w:rPr>
                <w:rFonts w:hint="eastAsia"/>
                <w:b/>
                <w:szCs w:val="21"/>
              </w:rPr>
              <w:t>项目类别</w:t>
            </w:r>
          </w:p>
        </w:tc>
        <w:tc>
          <w:tcPr>
            <w:tcW w:w="2765" w:type="dxa"/>
            <w:vAlign w:val="center"/>
          </w:tcPr>
          <w:p>
            <w:pPr>
              <w:jc w:val="center"/>
              <w:rPr>
                <w:b/>
                <w:szCs w:val="21"/>
              </w:rPr>
            </w:pPr>
            <w:r>
              <w:rPr>
                <w:rFonts w:hint="eastAsia"/>
                <w:b/>
                <w:szCs w:val="21"/>
              </w:rPr>
              <w:t>投资估算（万元）</w:t>
            </w:r>
          </w:p>
        </w:tc>
        <w:tc>
          <w:tcPr>
            <w:tcW w:w="2766" w:type="dxa"/>
            <w:vAlign w:val="center"/>
          </w:tcPr>
          <w:p>
            <w:pPr>
              <w:jc w:val="center"/>
              <w:rPr>
                <w:b/>
                <w:szCs w:val="21"/>
              </w:rPr>
            </w:pPr>
            <w:r>
              <w:rPr>
                <w:rFonts w:hint="eastAsia"/>
                <w:b/>
                <w:szCs w:val="21"/>
              </w:rPr>
              <w:t>投资占比</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trPr>
        <w:tc>
          <w:tcPr>
            <w:tcW w:w="2765" w:type="dxa"/>
            <w:vAlign w:val="center"/>
          </w:tcPr>
          <w:p>
            <w:pPr>
              <w:jc w:val="center"/>
              <w:rPr>
                <w:szCs w:val="21"/>
              </w:rPr>
            </w:pPr>
            <w:r>
              <w:rPr>
                <w:rFonts w:hint="eastAsia"/>
                <w:szCs w:val="21"/>
              </w:rPr>
              <w:t>农业节水工程</w:t>
            </w:r>
          </w:p>
        </w:tc>
        <w:tc>
          <w:tcPr>
            <w:tcW w:w="2765" w:type="dxa"/>
            <w:vAlign w:val="center"/>
          </w:tcPr>
          <w:p>
            <w:pPr>
              <w:jc w:val="center"/>
              <w:rPr>
                <w:rFonts w:ascii="Times New Roman" w:hAnsi="Times New Roman"/>
                <w:szCs w:val="21"/>
                <w:highlight w:val="yellow"/>
              </w:rPr>
            </w:pPr>
            <w:r>
              <w:rPr>
                <w:rFonts w:ascii="Times New Roman" w:hAnsi="Times New Roman"/>
                <w:szCs w:val="21"/>
              </w:rPr>
              <w:t>39854</w:t>
            </w:r>
          </w:p>
        </w:tc>
        <w:tc>
          <w:tcPr>
            <w:tcW w:w="2766" w:type="dxa"/>
            <w:vAlign w:val="center"/>
          </w:tcPr>
          <w:p>
            <w:pPr>
              <w:jc w:val="center"/>
              <w:rPr>
                <w:rFonts w:ascii="Times New Roman" w:hAnsi="Times New Roman"/>
                <w:szCs w:val="21"/>
              </w:rPr>
            </w:pPr>
            <w:r>
              <w:rPr>
                <w:rFonts w:ascii="Times New Roman" w:hAnsi="Times New Roman"/>
                <w:szCs w:val="21"/>
              </w:rPr>
              <w:t>49.26%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trPr>
        <w:tc>
          <w:tcPr>
            <w:tcW w:w="2765" w:type="dxa"/>
            <w:vAlign w:val="center"/>
          </w:tcPr>
          <w:p>
            <w:pPr>
              <w:jc w:val="center"/>
              <w:rPr>
                <w:szCs w:val="21"/>
              </w:rPr>
            </w:pPr>
            <w:r>
              <w:rPr>
                <w:rFonts w:hint="eastAsia"/>
                <w:szCs w:val="21"/>
              </w:rPr>
              <w:t>城镇节水工程</w:t>
            </w:r>
          </w:p>
        </w:tc>
        <w:tc>
          <w:tcPr>
            <w:tcW w:w="2765" w:type="dxa"/>
            <w:vAlign w:val="center"/>
          </w:tcPr>
          <w:p>
            <w:pPr>
              <w:jc w:val="center"/>
              <w:rPr>
                <w:rFonts w:ascii="Times New Roman" w:hAnsi="Times New Roman"/>
                <w:szCs w:val="21"/>
                <w:highlight w:val="yellow"/>
              </w:rPr>
            </w:pPr>
            <w:r>
              <w:rPr>
                <w:rFonts w:ascii="Times New Roman" w:hAnsi="Times New Roman"/>
                <w:szCs w:val="21"/>
              </w:rPr>
              <w:t>11257</w:t>
            </w:r>
          </w:p>
        </w:tc>
        <w:tc>
          <w:tcPr>
            <w:tcW w:w="2766" w:type="dxa"/>
            <w:vAlign w:val="center"/>
          </w:tcPr>
          <w:p>
            <w:pPr>
              <w:jc w:val="center"/>
              <w:rPr>
                <w:rFonts w:ascii="Times New Roman" w:hAnsi="Times New Roman"/>
                <w:szCs w:val="21"/>
              </w:rPr>
            </w:pPr>
            <w:r>
              <w:rPr>
                <w:rFonts w:ascii="Times New Roman" w:hAnsi="Times New Roman"/>
                <w:szCs w:val="21"/>
              </w:rPr>
              <w:t>13.91%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trPr>
        <w:tc>
          <w:tcPr>
            <w:tcW w:w="2765" w:type="dxa"/>
            <w:vAlign w:val="center"/>
          </w:tcPr>
          <w:p>
            <w:pPr>
              <w:jc w:val="center"/>
              <w:rPr>
                <w:szCs w:val="21"/>
              </w:rPr>
            </w:pPr>
            <w:r>
              <w:rPr>
                <w:rFonts w:hint="eastAsia"/>
                <w:szCs w:val="21"/>
              </w:rPr>
              <w:t>工业节水工程</w:t>
            </w:r>
          </w:p>
        </w:tc>
        <w:tc>
          <w:tcPr>
            <w:tcW w:w="2765" w:type="dxa"/>
            <w:vAlign w:val="center"/>
          </w:tcPr>
          <w:p>
            <w:pPr>
              <w:jc w:val="center"/>
              <w:rPr>
                <w:rFonts w:ascii="Times New Roman" w:hAnsi="Times New Roman"/>
                <w:szCs w:val="21"/>
              </w:rPr>
            </w:pPr>
            <w:r>
              <w:rPr>
                <w:rFonts w:ascii="Times New Roman" w:hAnsi="Times New Roman"/>
                <w:szCs w:val="21"/>
              </w:rPr>
              <w:t>200</w:t>
            </w:r>
          </w:p>
        </w:tc>
        <w:tc>
          <w:tcPr>
            <w:tcW w:w="2766" w:type="dxa"/>
            <w:vAlign w:val="center"/>
          </w:tcPr>
          <w:p>
            <w:pPr>
              <w:jc w:val="center"/>
              <w:rPr>
                <w:rFonts w:ascii="Times New Roman" w:hAnsi="Times New Roman"/>
                <w:szCs w:val="21"/>
              </w:rPr>
            </w:pPr>
            <w:r>
              <w:rPr>
                <w:rFonts w:ascii="Times New Roman" w:hAnsi="Times New Roman"/>
                <w:szCs w:val="21"/>
              </w:rPr>
              <w:t>0.25%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trPr>
        <w:tc>
          <w:tcPr>
            <w:tcW w:w="2765" w:type="dxa"/>
            <w:vAlign w:val="center"/>
          </w:tcPr>
          <w:p>
            <w:pPr>
              <w:jc w:val="center"/>
              <w:rPr>
                <w:szCs w:val="21"/>
              </w:rPr>
            </w:pPr>
            <w:r>
              <w:rPr>
                <w:rFonts w:hint="eastAsia"/>
                <w:szCs w:val="21"/>
              </w:rPr>
              <w:t>海绵城市建设工程</w:t>
            </w:r>
          </w:p>
        </w:tc>
        <w:tc>
          <w:tcPr>
            <w:tcW w:w="2765" w:type="dxa"/>
            <w:vAlign w:val="center"/>
          </w:tcPr>
          <w:p>
            <w:pPr>
              <w:jc w:val="center"/>
              <w:rPr>
                <w:rFonts w:ascii="Times New Roman" w:hAnsi="Times New Roman"/>
                <w:szCs w:val="21"/>
              </w:rPr>
            </w:pPr>
            <w:r>
              <w:rPr>
                <w:rFonts w:ascii="Times New Roman" w:hAnsi="Times New Roman"/>
                <w:szCs w:val="21"/>
              </w:rPr>
              <w:t>29000</w:t>
            </w:r>
          </w:p>
        </w:tc>
        <w:tc>
          <w:tcPr>
            <w:tcW w:w="2766" w:type="dxa"/>
            <w:vAlign w:val="center"/>
          </w:tcPr>
          <w:p>
            <w:pPr>
              <w:jc w:val="center"/>
              <w:rPr>
                <w:rFonts w:ascii="Times New Roman" w:hAnsi="Times New Roman"/>
                <w:szCs w:val="21"/>
              </w:rPr>
            </w:pPr>
            <w:r>
              <w:rPr>
                <w:rFonts w:ascii="Times New Roman" w:hAnsi="Times New Roman"/>
                <w:szCs w:val="21"/>
              </w:rPr>
              <w:t>35.84%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trPr>
        <w:tc>
          <w:tcPr>
            <w:tcW w:w="2765" w:type="dxa"/>
            <w:vAlign w:val="center"/>
          </w:tcPr>
          <w:p>
            <w:pPr>
              <w:jc w:val="center"/>
              <w:rPr>
                <w:szCs w:val="21"/>
              </w:rPr>
            </w:pPr>
            <w:r>
              <w:rPr>
                <w:rFonts w:hint="eastAsia"/>
                <w:szCs w:val="21"/>
              </w:rPr>
              <w:t>能力建设工程</w:t>
            </w:r>
          </w:p>
        </w:tc>
        <w:tc>
          <w:tcPr>
            <w:tcW w:w="2765" w:type="dxa"/>
            <w:vAlign w:val="center"/>
          </w:tcPr>
          <w:p>
            <w:pPr>
              <w:jc w:val="center"/>
              <w:rPr>
                <w:rFonts w:ascii="Times New Roman" w:hAnsi="Times New Roman"/>
                <w:szCs w:val="21"/>
                <w:highlight w:val="yellow"/>
              </w:rPr>
            </w:pPr>
            <w:r>
              <w:rPr>
                <w:rFonts w:ascii="Times New Roman" w:hAnsi="Times New Roman"/>
                <w:szCs w:val="21"/>
              </w:rPr>
              <w:t>600</w:t>
            </w:r>
          </w:p>
        </w:tc>
        <w:tc>
          <w:tcPr>
            <w:tcW w:w="2766" w:type="dxa"/>
            <w:vAlign w:val="center"/>
          </w:tcPr>
          <w:p>
            <w:pPr>
              <w:jc w:val="center"/>
              <w:rPr>
                <w:rFonts w:ascii="Times New Roman" w:hAnsi="Times New Roman"/>
                <w:szCs w:val="21"/>
              </w:rPr>
            </w:pPr>
            <w:r>
              <w:rPr>
                <w:rFonts w:ascii="Times New Roman" w:hAnsi="Times New Roman"/>
                <w:szCs w:val="21"/>
              </w:rPr>
              <w:t>0.74%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trPr>
        <w:tc>
          <w:tcPr>
            <w:tcW w:w="2765" w:type="dxa"/>
            <w:vAlign w:val="center"/>
          </w:tcPr>
          <w:p>
            <w:pPr>
              <w:jc w:val="center"/>
              <w:rPr>
                <w:rFonts w:ascii="Times New Roman" w:hAnsi="Times New Roman"/>
                <w:szCs w:val="21"/>
              </w:rPr>
            </w:pPr>
            <w:r>
              <w:rPr>
                <w:rFonts w:hint="eastAsia" w:ascii="Times New Roman" w:hAnsi="Times New Roman"/>
                <w:szCs w:val="21"/>
              </w:rPr>
              <w:t>合计</w:t>
            </w:r>
          </w:p>
        </w:tc>
        <w:tc>
          <w:tcPr>
            <w:tcW w:w="2765" w:type="dxa"/>
            <w:vAlign w:val="center"/>
          </w:tcPr>
          <w:p>
            <w:pPr>
              <w:jc w:val="center"/>
              <w:rPr>
                <w:rFonts w:ascii="Times New Roman" w:hAnsi="Times New Roman"/>
                <w:szCs w:val="21"/>
                <w:highlight w:val="yellow"/>
              </w:rPr>
            </w:pPr>
            <w:r>
              <w:rPr>
                <w:rFonts w:ascii="Times New Roman" w:hAnsi="Times New Roman"/>
                <w:szCs w:val="21"/>
              </w:rPr>
              <w:t>80911</w:t>
            </w:r>
          </w:p>
        </w:tc>
        <w:tc>
          <w:tcPr>
            <w:tcW w:w="2766" w:type="dxa"/>
            <w:vAlign w:val="center"/>
          </w:tcPr>
          <w:p>
            <w:pPr>
              <w:jc w:val="center"/>
              <w:rPr>
                <w:rFonts w:ascii="Times New Roman" w:hAnsi="Times New Roman"/>
                <w:szCs w:val="21"/>
                <w:highlight w:val="yellow"/>
              </w:rPr>
            </w:pPr>
            <w:r>
              <w:rPr>
                <w:rFonts w:ascii="Times New Roman" w:hAnsi="Times New Roman"/>
                <w:szCs w:val="21"/>
              </w:rPr>
              <w:t>100%</w:t>
            </w:r>
          </w:p>
        </w:tc>
      </w:tr>
    </w:tbl>
    <w:p>
      <w:pPr>
        <w:ind w:firstLine="560" w:firstLineChars="200"/>
        <w:jc w:val="center"/>
        <w:rPr>
          <w:rFonts w:ascii="Times New Roman" w:hAnsi="Times New Roman"/>
          <w:color w:val="0070C0"/>
          <w:sz w:val="28"/>
          <w:szCs w:val="28"/>
        </w:rPr>
      </w:pPr>
    </w:p>
    <w:p>
      <w:pPr>
        <w:ind w:firstLine="560" w:firstLineChars="200"/>
        <w:jc w:val="center"/>
        <w:rPr>
          <w:rFonts w:ascii="Times New Roman" w:hAnsi="Times New Roman"/>
          <w:color w:val="0070C0"/>
          <w:sz w:val="28"/>
          <w:szCs w:val="28"/>
        </w:rPr>
        <w:sectPr>
          <w:pgSz w:w="11906" w:h="16838"/>
          <w:pgMar w:top="1440" w:right="1800" w:bottom="1440" w:left="1800" w:header="851" w:footer="992" w:gutter="0"/>
          <w:cols w:space="425" w:num="1"/>
          <w:docGrid w:type="lines" w:linePitch="312" w:charSpace="0"/>
        </w:sectPr>
      </w:pPr>
    </w:p>
    <w:p>
      <w:pPr>
        <w:keepNext/>
        <w:keepLines/>
        <w:spacing w:before="260" w:after="260" w:line="413" w:lineRule="auto"/>
        <w:ind w:firstLine="281" w:firstLineChars="100"/>
        <w:outlineLvl w:val="1"/>
        <w:rPr>
          <w:rFonts w:ascii="Times New Roman" w:hAnsi="Times New Roman"/>
          <w:b/>
          <w:bCs/>
          <w:kern w:val="44"/>
          <w:sz w:val="28"/>
          <w:szCs w:val="28"/>
        </w:rPr>
      </w:pPr>
      <w:bookmarkStart w:id="103" w:name="_Toc90482809"/>
      <w:r>
        <w:rPr>
          <w:rFonts w:ascii="Times New Roman" w:hAnsi="Times New Roman"/>
          <w:b/>
          <w:bCs/>
          <w:kern w:val="44"/>
          <w:sz w:val="28"/>
          <w:szCs w:val="28"/>
        </w:rPr>
        <w:t xml:space="preserve">7.2 </w:t>
      </w:r>
      <w:r>
        <w:rPr>
          <w:rFonts w:hint="eastAsia" w:ascii="Times New Roman" w:hAnsi="Times New Roman"/>
          <w:b/>
          <w:bCs/>
          <w:kern w:val="44"/>
          <w:sz w:val="28"/>
          <w:szCs w:val="28"/>
        </w:rPr>
        <w:t>任务分工</w:t>
      </w:r>
      <w:bookmarkEnd w:id="103"/>
    </w:p>
    <w:p>
      <w:pPr>
        <w:ind w:firstLine="560" w:firstLineChars="200"/>
        <w:rPr>
          <w:rFonts w:ascii="Times New Roman" w:hAnsi="Times New Roman"/>
          <w:sz w:val="28"/>
          <w:szCs w:val="28"/>
        </w:rPr>
      </w:pPr>
      <w:r>
        <w:rPr>
          <w:rFonts w:hint="eastAsia" w:ascii="Times New Roman" w:hAnsi="Times New Roman"/>
          <w:sz w:val="28"/>
          <w:szCs w:val="28"/>
        </w:rPr>
        <w:t>为将渝北区“十四五”节约用水规划任务分工落到实处，本规划中的约束性指标分解落实到相关部门，并纳入对相关部门绩效考核指标体系。</w:t>
      </w:r>
    </w:p>
    <w:p>
      <w:pPr>
        <w:jc w:val="center"/>
        <w:rPr>
          <w:rFonts w:ascii="Times New Roman" w:hAnsi="Times New Roman"/>
          <w:b/>
          <w:bCs/>
          <w:sz w:val="24"/>
          <w:szCs w:val="24"/>
        </w:rPr>
      </w:pPr>
      <w:r>
        <w:rPr>
          <w:rFonts w:hint="eastAsia" w:ascii="Times New Roman" w:hAnsi="Times New Roman"/>
          <w:b/>
          <w:bCs/>
          <w:sz w:val="24"/>
          <w:szCs w:val="24"/>
        </w:rPr>
        <w:t>表</w:t>
      </w:r>
      <w:r>
        <w:rPr>
          <w:rFonts w:ascii="Times New Roman" w:hAnsi="Times New Roman"/>
          <w:b/>
          <w:bCs/>
          <w:sz w:val="24"/>
          <w:szCs w:val="24"/>
        </w:rPr>
        <w:t xml:space="preserve">7-2 </w:t>
      </w:r>
      <w:r>
        <w:rPr>
          <w:rFonts w:hint="eastAsia" w:ascii="Times New Roman" w:hAnsi="Times New Roman"/>
          <w:b/>
          <w:bCs/>
          <w:sz w:val="24"/>
          <w:szCs w:val="24"/>
        </w:rPr>
        <w:t>“十四五”期间渝北区节水型社会建设部门指标任务</w:t>
      </w:r>
    </w:p>
    <w:tbl>
      <w:tblPr>
        <w:tblStyle w:val="21"/>
        <w:tblW w:w="8086"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129"/>
        <w:gridCol w:w="2977"/>
        <w:gridCol w:w="1402"/>
        <w:gridCol w:w="2578"/>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91" w:hRule="atLeast"/>
          <w:tblHeader/>
          <w:jc w:val="center"/>
        </w:trPr>
        <w:tc>
          <w:tcPr>
            <w:tcW w:w="1129" w:type="dxa"/>
            <w:vAlign w:val="center"/>
          </w:tcPr>
          <w:p>
            <w:pPr>
              <w:jc w:val="center"/>
              <w:rPr>
                <w:rFonts w:ascii="Times New Roman" w:hAnsi="Times New Roman"/>
                <w:b/>
                <w:szCs w:val="21"/>
              </w:rPr>
            </w:pPr>
            <w:r>
              <w:rPr>
                <w:rFonts w:hint="eastAsia" w:ascii="Times New Roman" w:hAnsi="Times New Roman"/>
                <w:b/>
                <w:szCs w:val="21"/>
              </w:rPr>
              <w:t>类别</w:t>
            </w:r>
          </w:p>
        </w:tc>
        <w:tc>
          <w:tcPr>
            <w:tcW w:w="2977" w:type="dxa"/>
            <w:vAlign w:val="center"/>
          </w:tcPr>
          <w:p>
            <w:pPr>
              <w:jc w:val="center"/>
              <w:rPr>
                <w:rFonts w:ascii="Times New Roman" w:hAnsi="Times New Roman"/>
                <w:b/>
                <w:szCs w:val="21"/>
              </w:rPr>
            </w:pPr>
            <w:r>
              <w:rPr>
                <w:rFonts w:hint="eastAsia" w:ascii="Times New Roman" w:hAnsi="Times New Roman"/>
                <w:b/>
                <w:szCs w:val="21"/>
              </w:rPr>
              <w:t>指标</w:t>
            </w:r>
          </w:p>
        </w:tc>
        <w:tc>
          <w:tcPr>
            <w:tcW w:w="1402" w:type="dxa"/>
            <w:vAlign w:val="center"/>
          </w:tcPr>
          <w:p>
            <w:pPr>
              <w:jc w:val="center"/>
              <w:rPr>
                <w:rFonts w:ascii="Times New Roman" w:hAnsi="Times New Roman"/>
                <w:b/>
                <w:szCs w:val="21"/>
              </w:rPr>
            </w:pPr>
            <w:r>
              <w:rPr>
                <w:rFonts w:hint="eastAsia" w:ascii="Times New Roman" w:hAnsi="Times New Roman"/>
                <w:b/>
                <w:szCs w:val="21"/>
              </w:rPr>
              <w:t>牵头</w:t>
            </w:r>
          </w:p>
          <w:p>
            <w:pPr>
              <w:jc w:val="center"/>
              <w:rPr>
                <w:rFonts w:ascii="Times New Roman" w:hAnsi="Times New Roman"/>
                <w:b/>
                <w:szCs w:val="21"/>
              </w:rPr>
            </w:pPr>
            <w:r>
              <w:rPr>
                <w:rFonts w:hint="eastAsia" w:ascii="Times New Roman" w:hAnsi="Times New Roman"/>
                <w:b/>
                <w:szCs w:val="21"/>
              </w:rPr>
              <w:t>单位</w:t>
            </w:r>
          </w:p>
        </w:tc>
        <w:tc>
          <w:tcPr>
            <w:tcW w:w="2578" w:type="dxa"/>
            <w:vAlign w:val="center"/>
          </w:tcPr>
          <w:p>
            <w:pPr>
              <w:jc w:val="center"/>
              <w:rPr>
                <w:rFonts w:ascii="Times New Roman" w:hAnsi="Times New Roman"/>
                <w:b/>
                <w:szCs w:val="21"/>
              </w:rPr>
            </w:pPr>
            <w:r>
              <w:rPr>
                <w:rFonts w:hint="eastAsia" w:ascii="Times New Roman" w:hAnsi="Times New Roman"/>
                <w:b/>
                <w:szCs w:val="21"/>
              </w:rPr>
              <w:t>配合单位</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702" w:hRule="atLeast"/>
          <w:jc w:val="center"/>
        </w:trPr>
        <w:tc>
          <w:tcPr>
            <w:tcW w:w="1129" w:type="dxa"/>
            <w:vMerge w:val="restart"/>
            <w:vAlign w:val="center"/>
          </w:tcPr>
          <w:p>
            <w:pPr>
              <w:rPr>
                <w:rFonts w:ascii="Times New Roman" w:hAnsi="Times New Roman"/>
                <w:szCs w:val="21"/>
              </w:rPr>
            </w:pPr>
            <w:r>
              <w:rPr>
                <w:rFonts w:hint="eastAsia" w:ascii="Times New Roman" w:hAnsi="Times New Roman"/>
                <w:szCs w:val="21"/>
              </w:rPr>
              <w:t>总体目标</w:t>
            </w:r>
          </w:p>
        </w:tc>
        <w:tc>
          <w:tcPr>
            <w:tcW w:w="2977" w:type="dxa"/>
            <w:vAlign w:val="center"/>
          </w:tcPr>
          <w:p>
            <w:pPr>
              <w:jc w:val="center"/>
              <w:rPr>
                <w:rFonts w:ascii="Times New Roman" w:hAnsi="Times New Roman"/>
                <w:b/>
                <w:szCs w:val="21"/>
              </w:rPr>
            </w:pPr>
            <w:r>
              <w:rPr>
                <w:rFonts w:hint="eastAsia" w:ascii="Times New Roman" w:hAnsi="Times New Roman"/>
                <w:szCs w:val="21"/>
              </w:rPr>
              <w:t>用水总量控制在</w:t>
            </w:r>
            <w:r>
              <w:rPr>
                <w:rFonts w:ascii="Times New Roman" w:hAnsi="Times New Roman"/>
                <w:szCs w:val="21"/>
              </w:rPr>
              <w:t>3.6350</w:t>
            </w:r>
            <w:r>
              <w:rPr>
                <w:rFonts w:hint="eastAsia" w:ascii="Times New Roman" w:hAnsi="Times New Roman"/>
                <w:szCs w:val="21"/>
              </w:rPr>
              <w:t>亿</w:t>
            </w:r>
            <w:r>
              <w:rPr>
                <w:rFonts w:ascii="Times New Roman" w:hAnsi="Times New Roman"/>
                <w:szCs w:val="21"/>
              </w:rPr>
              <w:t>m</w:t>
            </w:r>
            <w:r>
              <w:rPr>
                <w:rFonts w:ascii="Times New Roman" w:hAnsi="Times New Roman"/>
                <w:szCs w:val="21"/>
                <w:vertAlign w:val="superscript"/>
              </w:rPr>
              <w:t>3</w:t>
            </w:r>
          </w:p>
        </w:tc>
        <w:tc>
          <w:tcPr>
            <w:tcW w:w="1402" w:type="dxa"/>
            <w:vAlign w:val="center"/>
          </w:tcPr>
          <w:p>
            <w:pPr>
              <w:jc w:val="center"/>
              <w:rPr>
                <w:rFonts w:ascii="Times New Roman" w:hAnsi="Times New Roman"/>
                <w:b/>
                <w:szCs w:val="21"/>
              </w:rPr>
            </w:pPr>
            <w:r>
              <w:rPr>
                <w:rFonts w:hint="eastAsia" w:ascii="Times New Roman" w:hAnsi="Times New Roman"/>
                <w:szCs w:val="21"/>
              </w:rPr>
              <w:t>区水利局</w:t>
            </w:r>
          </w:p>
        </w:tc>
        <w:tc>
          <w:tcPr>
            <w:tcW w:w="2578" w:type="dxa"/>
            <w:vAlign w:val="center"/>
          </w:tcPr>
          <w:p>
            <w:pPr>
              <w:rPr>
                <w:rFonts w:ascii="Times New Roman" w:hAnsi="Times New Roman"/>
                <w:b/>
                <w:color w:val="0070C0"/>
                <w:szCs w:val="21"/>
              </w:rPr>
            </w:pPr>
            <w:r>
              <w:rPr>
                <w:rFonts w:hint="eastAsia" w:ascii="Times New Roman" w:hAnsi="Times New Roman"/>
                <w:szCs w:val="21"/>
              </w:rPr>
              <w:t>区发展改革委、区经济信息委、区规划自然资源局、区住房城乡建委、区城市管理局、区农业农村委、区商务委、区市场监管局、区机关事务中心等</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702" w:hRule="atLeast"/>
          <w:jc w:val="center"/>
        </w:trPr>
        <w:tc>
          <w:tcPr>
            <w:tcW w:w="1129" w:type="dxa"/>
            <w:vMerge w:val="continue"/>
            <w:vAlign w:val="center"/>
          </w:tcPr>
          <w:p>
            <w:pPr>
              <w:rPr>
                <w:rFonts w:ascii="Times New Roman" w:hAnsi="Times New Roman"/>
                <w:szCs w:val="21"/>
              </w:rPr>
            </w:pPr>
          </w:p>
        </w:tc>
        <w:tc>
          <w:tcPr>
            <w:tcW w:w="2977" w:type="dxa"/>
            <w:vAlign w:val="center"/>
          </w:tcPr>
          <w:p>
            <w:pPr>
              <w:jc w:val="center"/>
              <w:rPr>
                <w:rFonts w:ascii="Times New Roman" w:hAnsi="Times New Roman"/>
                <w:szCs w:val="21"/>
              </w:rPr>
            </w:pPr>
            <w:r>
              <w:rPr>
                <w:rFonts w:hint="eastAsia"/>
              </w:rPr>
              <w:t>万元</w:t>
            </w:r>
            <w:r>
              <w:t xml:space="preserve"> GDP </w:t>
            </w:r>
            <w:r>
              <w:rPr>
                <w:rFonts w:hint="eastAsia"/>
              </w:rPr>
              <w:t>用水量下降</w:t>
            </w:r>
            <w:r>
              <w:t>5%</w:t>
            </w:r>
          </w:p>
        </w:tc>
        <w:tc>
          <w:tcPr>
            <w:tcW w:w="1402" w:type="dxa"/>
            <w:vAlign w:val="center"/>
          </w:tcPr>
          <w:p>
            <w:pPr>
              <w:jc w:val="center"/>
              <w:rPr>
                <w:rFonts w:ascii="Times New Roman" w:hAnsi="Times New Roman"/>
                <w:szCs w:val="21"/>
              </w:rPr>
            </w:pPr>
            <w:r>
              <w:rPr>
                <w:rFonts w:hint="eastAsia" w:ascii="Times New Roman" w:hAnsi="Times New Roman"/>
                <w:szCs w:val="21"/>
              </w:rPr>
              <w:t>区水利局</w:t>
            </w:r>
          </w:p>
        </w:tc>
        <w:tc>
          <w:tcPr>
            <w:tcW w:w="2578" w:type="dxa"/>
            <w:vAlign w:val="center"/>
          </w:tcPr>
          <w:p>
            <w:pPr>
              <w:jc w:val="center"/>
              <w:rPr>
                <w:rFonts w:ascii="Times New Roman" w:hAnsi="Times New Roman"/>
                <w:szCs w:val="21"/>
              </w:rPr>
            </w:pPr>
            <w:r>
              <w:rPr>
                <w:rFonts w:hint="eastAsia" w:ascii="Times New Roman" w:hAnsi="Times New Roman"/>
                <w:szCs w:val="21"/>
              </w:rPr>
              <w:t>区发展改革委、区经济信息委、区规划自然资源局、区住房城乡建委、区城市管理局、区农业农村委、区商务委、区市场监管局、区机关事务中心等</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702" w:hRule="atLeast"/>
          <w:jc w:val="center"/>
        </w:trPr>
        <w:tc>
          <w:tcPr>
            <w:tcW w:w="1129" w:type="dxa"/>
            <w:vMerge w:val="continue"/>
            <w:vAlign w:val="center"/>
          </w:tcPr>
          <w:p>
            <w:pPr>
              <w:rPr>
                <w:rFonts w:ascii="Times New Roman" w:hAnsi="Times New Roman"/>
                <w:szCs w:val="21"/>
              </w:rPr>
            </w:pPr>
          </w:p>
        </w:tc>
        <w:tc>
          <w:tcPr>
            <w:tcW w:w="2977" w:type="dxa"/>
            <w:vAlign w:val="center"/>
          </w:tcPr>
          <w:p>
            <w:pPr>
              <w:jc w:val="center"/>
            </w:pPr>
            <w:r>
              <w:rPr>
                <w:rFonts w:hint="eastAsia"/>
              </w:rPr>
              <w:t>其中万元工业增加值用水量下降</w:t>
            </w:r>
            <w:r>
              <w:t>5%</w:t>
            </w:r>
          </w:p>
        </w:tc>
        <w:tc>
          <w:tcPr>
            <w:tcW w:w="1402" w:type="dxa"/>
            <w:vAlign w:val="center"/>
          </w:tcPr>
          <w:p>
            <w:pPr>
              <w:jc w:val="center"/>
              <w:rPr>
                <w:rFonts w:ascii="Times New Roman" w:hAnsi="Times New Roman"/>
                <w:szCs w:val="21"/>
              </w:rPr>
            </w:pPr>
            <w:r>
              <w:rPr>
                <w:rFonts w:hint="eastAsia" w:ascii="Times New Roman" w:hAnsi="Times New Roman"/>
                <w:szCs w:val="21"/>
              </w:rPr>
              <w:t>区水利局</w:t>
            </w:r>
          </w:p>
        </w:tc>
        <w:tc>
          <w:tcPr>
            <w:tcW w:w="2578" w:type="dxa"/>
          </w:tcPr>
          <w:p>
            <w:pPr>
              <w:rPr>
                <w:rFonts w:ascii="Times New Roman" w:hAnsi="Times New Roman"/>
                <w:szCs w:val="21"/>
              </w:rPr>
            </w:pPr>
            <w:r>
              <w:rPr>
                <w:rFonts w:hint="eastAsia" w:ascii="Times New Roman" w:hAnsi="Times New Roman"/>
                <w:szCs w:val="21"/>
              </w:rPr>
              <w:t>区发展改革委、区经济信息委</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702" w:hRule="atLeast"/>
          <w:jc w:val="center"/>
        </w:trPr>
        <w:tc>
          <w:tcPr>
            <w:tcW w:w="1129" w:type="dxa"/>
            <w:vMerge w:val="continue"/>
            <w:vAlign w:val="center"/>
          </w:tcPr>
          <w:p>
            <w:pPr>
              <w:rPr>
                <w:rFonts w:ascii="Times New Roman" w:hAnsi="Times New Roman"/>
                <w:szCs w:val="21"/>
              </w:rPr>
            </w:pPr>
          </w:p>
        </w:tc>
        <w:tc>
          <w:tcPr>
            <w:tcW w:w="2977" w:type="dxa"/>
            <w:vAlign w:val="center"/>
          </w:tcPr>
          <w:p>
            <w:pPr>
              <w:jc w:val="center"/>
            </w:pPr>
            <w:r>
              <w:rPr>
                <w:rFonts w:hint="eastAsia"/>
              </w:rPr>
              <w:t>农田灌溉水利用系数</w:t>
            </w:r>
            <w:r>
              <w:t>0.516</w:t>
            </w:r>
          </w:p>
        </w:tc>
        <w:tc>
          <w:tcPr>
            <w:tcW w:w="1402" w:type="dxa"/>
            <w:vAlign w:val="center"/>
          </w:tcPr>
          <w:p>
            <w:pPr>
              <w:jc w:val="center"/>
              <w:rPr>
                <w:rFonts w:ascii="Times New Roman" w:hAnsi="Times New Roman"/>
                <w:szCs w:val="21"/>
              </w:rPr>
            </w:pPr>
            <w:r>
              <w:rPr>
                <w:rFonts w:hint="eastAsia" w:ascii="Times New Roman" w:hAnsi="Times New Roman"/>
                <w:szCs w:val="21"/>
              </w:rPr>
              <w:t>区水利局</w:t>
            </w:r>
          </w:p>
        </w:tc>
        <w:tc>
          <w:tcPr>
            <w:tcW w:w="2578" w:type="dxa"/>
            <w:vAlign w:val="center"/>
          </w:tcPr>
          <w:p>
            <w:pPr>
              <w:jc w:val="center"/>
              <w:rPr>
                <w:rFonts w:ascii="Times New Roman" w:hAnsi="Times New Roman"/>
                <w:szCs w:val="21"/>
              </w:rPr>
            </w:pPr>
            <w:r>
              <w:rPr>
                <w:rFonts w:hint="eastAsia"/>
              </w:rPr>
              <w:t>区农业农村委</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702" w:hRule="atLeast"/>
          <w:jc w:val="center"/>
        </w:trPr>
        <w:tc>
          <w:tcPr>
            <w:tcW w:w="1129" w:type="dxa"/>
            <w:vAlign w:val="center"/>
          </w:tcPr>
          <w:p>
            <w:pPr>
              <w:rPr>
                <w:rFonts w:ascii="Times New Roman" w:hAnsi="Times New Roman"/>
                <w:szCs w:val="21"/>
              </w:rPr>
            </w:pPr>
            <w:r>
              <w:rPr>
                <w:rFonts w:hint="eastAsia" w:ascii="Times New Roman" w:hAnsi="Times New Roman"/>
                <w:szCs w:val="21"/>
              </w:rPr>
              <w:t>农业节水目标</w:t>
            </w:r>
          </w:p>
        </w:tc>
        <w:tc>
          <w:tcPr>
            <w:tcW w:w="2977" w:type="dxa"/>
            <w:vAlign w:val="center"/>
          </w:tcPr>
          <w:p>
            <w:pPr>
              <w:jc w:val="center"/>
            </w:pPr>
            <w:r>
              <w:rPr>
                <w:rFonts w:hint="eastAsia"/>
              </w:rPr>
              <w:t>新增高效节水灌溉面积</w:t>
            </w:r>
            <w:r>
              <w:t>1.50</w:t>
            </w:r>
            <w:r>
              <w:rPr>
                <w:rFonts w:hint="eastAsia"/>
              </w:rPr>
              <w:t>万亩</w:t>
            </w:r>
          </w:p>
        </w:tc>
        <w:tc>
          <w:tcPr>
            <w:tcW w:w="1402" w:type="dxa"/>
            <w:vAlign w:val="center"/>
          </w:tcPr>
          <w:p>
            <w:pPr>
              <w:jc w:val="center"/>
              <w:rPr>
                <w:rFonts w:ascii="Times New Roman" w:hAnsi="Times New Roman"/>
                <w:szCs w:val="21"/>
              </w:rPr>
            </w:pPr>
            <w:r>
              <w:rPr>
                <w:rFonts w:hint="eastAsia"/>
              </w:rPr>
              <w:t>区农业农村委</w:t>
            </w:r>
          </w:p>
        </w:tc>
        <w:tc>
          <w:tcPr>
            <w:tcW w:w="2578" w:type="dxa"/>
            <w:vAlign w:val="center"/>
          </w:tcPr>
          <w:p>
            <w:pPr>
              <w:jc w:val="center"/>
              <w:rPr>
                <w:rFonts w:ascii="Times New Roman" w:hAnsi="Times New Roman"/>
                <w:szCs w:val="21"/>
              </w:rPr>
            </w:pPr>
            <w:r>
              <w:rPr>
                <w:rFonts w:hint="eastAsia" w:ascii="Times New Roman" w:hAnsi="Times New Roman"/>
                <w:szCs w:val="21"/>
              </w:rPr>
              <w:t>区水利局</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41" w:hRule="atLeast"/>
          <w:jc w:val="center"/>
        </w:trPr>
        <w:tc>
          <w:tcPr>
            <w:tcW w:w="1129" w:type="dxa"/>
            <w:vMerge w:val="restart"/>
            <w:vAlign w:val="center"/>
          </w:tcPr>
          <w:p>
            <w:pPr>
              <w:rPr>
                <w:rFonts w:ascii="Times New Roman" w:hAnsi="Times New Roman"/>
                <w:szCs w:val="21"/>
              </w:rPr>
            </w:pPr>
            <w:r>
              <w:rPr>
                <w:rFonts w:hint="eastAsia" w:ascii="Times New Roman" w:hAnsi="Times New Roman"/>
                <w:szCs w:val="21"/>
              </w:rPr>
              <w:t>工业节水目标</w:t>
            </w:r>
          </w:p>
        </w:tc>
        <w:tc>
          <w:tcPr>
            <w:tcW w:w="2977" w:type="dxa"/>
            <w:vAlign w:val="center"/>
          </w:tcPr>
          <w:p>
            <w:pPr>
              <w:rPr>
                <w:rFonts w:ascii="Times New Roman" w:hAnsi="Times New Roman"/>
                <w:szCs w:val="21"/>
              </w:rPr>
            </w:pPr>
            <w:r>
              <w:rPr>
                <w:rFonts w:hint="eastAsia" w:ascii="Times New Roman" w:hAnsi="Times New Roman"/>
                <w:szCs w:val="21"/>
              </w:rPr>
              <w:t>规模以上工业水重复利用率提高到</w:t>
            </w:r>
            <w:r>
              <w:rPr>
                <w:rFonts w:ascii="Times New Roman" w:hAnsi="Times New Roman"/>
                <w:szCs w:val="21"/>
              </w:rPr>
              <w:t>90%</w:t>
            </w:r>
            <w:r>
              <w:rPr>
                <w:rFonts w:hint="eastAsia" w:ascii="Times New Roman" w:hAnsi="Times New Roman"/>
                <w:szCs w:val="21"/>
              </w:rPr>
              <w:t>以上</w:t>
            </w:r>
          </w:p>
        </w:tc>
        <w:tc>
          <w:tcPr>
            <w:tcW w:w="1402" w:type="dxa"/>
          </w:tcPr>
          <w:p>
            <w:pPr>
              <w:rPr>
                <w:rFonts w:ascii="Times New Roman" w:hAnsi="Times New Roman"/>
                <w:szCs w:val="21"/>
              </w:rPr>
            </w:pPr>
            <w:r>
              <w:rPr>
                <w:rFonts w:hint="eastAsia" w:ascii="Times New Roman" w:hAnsi="Times New Roman"/>
                <w:szCs w:val="21"/>
              </w:rPr>
              <w:t>区经济信息委</w:t>
            </w:r>
          </w:p>
        </w:tc>
        <w:tc>
          <w:tcPr>
            <w:tcW w:w="2578" w:type="dxa"/>
          </w:tcPr>
          <w:p>
            <w:pPr>
              <w:rPr>
                <w:rFonts w:ascii="Times New Roman" w:hAnsi="Times New Roman"/>
                <w:szCs w:val="21"/>
              </w:rPr>
            </w:pPr>
            <w:r>
              <w:rPr>
                <w:rFonts w:hint="eastAsia" w:ascii="Times New Roman" w:hAnsi="Times New Roman"/>
                <w:szCs w:val="21"/>
              </w:rPr>
              <w:t>区发展改革委、区水利局、区规划自然资源局、区住房城乡建委、区城市管理局</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41" w:hRule="atLeast"/>
          <w:jc w:val="center"/>
        </w:trPr>
        <w:tc>
          <w:tcPr>
            <w:tcW w:w="1129" w:type="dxa"/>
            <w:vMerge w:val="continue"/>
            <w:vAlign w:val="center"/>
          </w:tcPr>
          <w:p>
            <w:pPr>
              <w:ind w:firstLine="420" w:firstLineChars="200"/>
              <w:jc w:val="center"/>
              <w:rPr>
                <w:rFonts w:ascii="Times New Roman" w:hAnsi="Times New Roman"/>
                <w:szCs w:val="21"/>
              </w:rPr>
            </w:pPr>
          </w:p>
        </w:tc>
        <w:tc>
          <w:tcPr>
            <w:tcW w:w="2977" w:type="dxa"/>
          </w:tcPr>
          <w:p>
            <w:pPr>
              <w:rPr>
                <w:rFonts w:ascii="Times New Roman" w:hAnsi="Times New Roman"/>
                <w:szCs w:val="21"/>
              </w:rPr>
            </w:pPr>
            <w:r>
              <w:rPr>
                <w:rFonts w:hint="eastAsia" w:ascii="Times New Roman" w:hAnsi="Times New Roman"/>
                <w:szCs w:val="21"/>
              </w:rPr>
              <w:t>工业用水计量率提高到</w:t>
            </w:r>
            <w:r>
              <w:rPr>
                <w:rFonts w:ascii="Times New Roman" w:hAnsi="Times New Roman"/>
                <w:szCs w:val="21"/>
              </w:rPr>
              <w:t>100%</w:t>
            </w:r>
            <w:r>
              <w:rPr>
                <w:rFonts w:hint="eastAsia" w:ascii="Times New Roman" w:hAnsi="Times New Roman"/>
                <w:szCs w:val="21"/>
              </w:rPr>
              <w:t>以上</w:t>
            </w:r>
          </w:p>
        </w:tc>
        <w:tc>
          <w:tcPr>
            <w:tcW w:w="1402" w:type="dxa"/>
          </w:tcPr>
          <w:p>
            <w:pPr>
              <w:rPr>
                <w:rFonts w:ascii="Times New Roman" w:hAnsi="Times New Roman"/>
                <w:szCs w:val="21"/>
              </w:rPr>
            </w:pPr>
            <w:r>
              <w:rPr>
                <w:rFonts w:hint="eastAsia" w:ascii="Times New Roman" w:hAnsi="Times New Roman"/>
                <w:szCs w:val="21"/>
              </w:rPr>
              <w:t>区经济信息委</w:t>
            </w:r>
          </w:p>
        </w:tc>
        <w:tc>
          <w:tcPr>
            <w:tcW w:w="2578" w:type="dxa"/>
          </w:tcPr>
          <w:p>
            <w:pPr>
              <w:rPr>
                <w:rFonts w:ascii="Times New Roman" w:hAnsi="Times New Roman"/>
                <w:szCs w:val="21"/>
              </w:rPr>
            </w:pPr>
            <w:r>
              <w:rPr>
                <w:rFonts w:hint="eastAsia" w:ascii="Times New Roman" w:hAnsi="Times New Roman"/>
                <w:szCs w:val="21"/>
              </w:rPr>
              <w:t>区水利局、区市场监管局、区城市管理局、区统计局</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41" w:hRule="atLeast"/>
          <w:jc w:val="center"/>
        </w:trPr>
        <w:tc>
          <w:tcPr>
            <w:tcW w:w="1129" w:type="dxa"/>
            <w:vMerge w:val="continue"/>
            <w:vAlign w:val="center"/>
          </w:tcPr>
          <w:p>
            <w:pPr>
              <w:ind w:firstLine="420" w:firstLineChars="200"/>
              <w:jc w:val="center"/>
              <w:rPr>
                <w:rFonts w:ascii="Times New Roman" w:hAnsi="Times New Roman"/>
                <w:szCs w:val="21"/>
              </w:rPr>
            </w:pPr>
          </w:p>
        </w:tc>
        <w:tc>
          <w:tcPr>
            <w:tcW w:w="2977"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jc w:val="left"/>
              <w:rPr>
                <w:rFonts w:ascii="Times New Roman" w:hAnsi="Times New Roman"/>
                <w:szCs w:val="21"/>
              </w:rPr>
            </w:pPr>
            <w:r>
              <w:rPr>
                <w:rFonts w:hint="eastAsia" w:ascii="Times New Roman" w:hAnsi="Times New Roman"/>
              </w:rPr>
              <w:t>规模以上节水型企业建成率</w:t>
            </w:r>
            <w:r>
              <w:rPr>
                <w:rFonts w:ascii="Times New Roman" w:hAnsi="Times New Roman"/>
              </w:rPr>
              <w:t>100%</w:t>
            </w:r>
            <w:r>
              <w:rPr>
                <w:rFonts w:hint="eastAsia" w:ascii="Times New Roman" w:hAnsi="Times New Roman"/>
              </w:rPr>
              <w:t>（重点行业年用水量</w:t>
            </w:r>
            <w:r>
              <w:rPr>
                <w:rFonts w:ascii="Times New Roman" w:hAnsi="Times New Roman"/>
              </w:rPr>
              <w:t>10</w:t>
            </w:r>
            <w:r>
              <w:rPr>
                <w:rFonts w:hint="eastAsia" w:ascii="Times New Roman" w:hAnsi="Times New Roman"/>
              </w:rPr>
              <w:t>万</w:t>
            </w:r>
            <w:r>
              <w:rPr>
                <w:rFonts w:ascii="Times New Roman" w:hAnsi="Times New Roman"/>
              </w:rPr>
              <w:t>m</w:t>
            </w:r>
            <w:r>
              <w:rPr>
                <w:rFonts w:ascii="Times New Roman" w:hAnsi="Times New Roman"/>
                <w:vertAlign w:val="superscript"/>
              </w:rPr>
              <w:t>3</w:t>
            </w:r>
            <w:r>
              <w:rPr>
                <w:rFonts w:hint="eastAsia" w:ascii="Times New Roman" w:hAnsi="Times New Roman"/>
              </w:rPr>
              <w:t>以上）</w:t>
            </w:r>
          </w:p>
        </w:tc>
        <w:tc>
          <w:tcPr>
            <w:tcW w:w="1402" w:type="dxa"/>
          </w:tcPr>
          <w:p>
            <w:pPr>
              <w:rPr>
                <w:rFonts w:ascii="Times New Roman" w:hAnsi="Times New Roman"/>
                <w:szCs w:val="21"/>
              </w:rPr>
            </w:pPr>
            <w:r>
              <w:rPr>
                <w:rFonts w:hint="eastAsia" w:ascii="Times New Roman" w:hAnsi="Times New Roman"/>
                <w:szCs w:val="21"/>
              </w:rPr>
              <w:t>区经济信息委</w:t>
            </w:r>
          </w:p>
        </w:tc>
        <w:tc>
          <w:tcPr>
            <w:tcW w:w="2578" w:type="dxa"/>
          </w:tcPr>
          <w:p>
            <w:pPr>
              <w:rPr>
                <w:rFonts w:ascii="Times New Roman" w:hAnsi="Times New Roman"/>
                <w:szCs w:val="21"/>
              </w:rPr>
            </w:pPr>
            <w:r>
              <w:rPr>
                <w:rFonts w:hint="eastAsia" w:ascii="Times New Roman" w:hAnsi="Times New Roman"/>
                <w:szCs w:val="21"/>
              </w:rPr>
              <w:t>区发展改革委、区水利局、区市场监管局、区城市管理局、区统计局</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79" w:hRule="atLeast"/>
          <w:jc w:val="center"/>
        </w:trPr>
        <w:tc>
          <w:tcPr>
            <w:tcW w:w="1129" w:type="dxa"/>
            <w:vMerge w:val="restart"/>
            <w:vAlign w:val="center"/>
          </w:tcPr>
          <w:p>
            <w:pPr>
              <w:rPr>
                <w:rFonts w:ascii="Times New Roman" w:hAnsi="Times New Roman"/>
                <w:szCs w:val="21"/>
              </w:rPr>
            </w:pPr>
            <w:r>
              <w:rPr>
                <w:rFonts w:hint="eastAsia" w:ascii="Times New Roman" w:hAnsi="Times New Roman"/>
                <w:szCs w:val="21"/>
              </w:rPr>
              <w:t>城镇节水目标</w:t>
            </w:r>
          </w:p>
        </w:tc>
        <w:tc>
          <w:tcPr>
            <w:tcW w:w="2977" w:type="dxa"/>
            <w:vAlign w:val="center"/>
          </w:tcPr>
          <w:p>
            <w:pPr>
              <w:rPr>
                <w:rFonts w:ascii="Times New Roman" w:hAnsi="Times New Roman"/>
                <w:szCs w:val="21"/>
              </w:rPr>
            </w:pPr>
            <w:r>
              <w:rPr>
                <w:rFonts w:hint="eastAsia" w:ascii="Times New Roman" w:hAnsi="Times New Roman"/>
                <w:szCs w:val="21"/>
              </w:rPr>
              <w:t>城镇公共供水管网漏损率控制在</w:t>
            </w:r>
            <w:r>
              <w:rPr>
                <w:rFonts w:ascii="Times New Roman" w:hAnsi="Times New Roman"/>
                <w:szCs w:val="21"/>
              </w:rPr>
              <w:t>9%</w:t>
            </w:r>
            <w:r>
              <w:rPr>
                <w:rFonts w:hint="eastAsia" w:ascii="Times New Roman" w:hAnsi="Times New Roman"/>
                <w:szCs w:val="21"/>
              </w:rPr>
              <w:t>以内</w:t>
            </w:r>
          </w:p>
        </w:tc>
        <w:tc>
          <w:tcPr>
            <w:tcW w:w="1402" w:type="dxa"/>
            <w:vAlign w:val="center"/>
          </w:tcPr>
          <w:p>
            <w:pPr>
              <w:rPr>
                <w:rFonts w:ascii="Times New Roman" w:hAnsi="Times New Roman"/>
                <w:szCs w:val="21"/>
              </w:rPr>
            </w:pPr>
            <w:r>
              <w:rPr>
                <w:rFonts w:hint="eastAsia" w:ascii="Times New Roman" w:hAnsi="Times New Roman"/>
                <w:szCs w:val="21"/>
              </w:rPr>
              <w:t>区城市管理局</w:t>
            </w:r>
          </w:p>
        </w:tc>
        <w:tc>
          <w:tcPr>
            <w:tcW w:w="2578" w:type="dxa"/>
            <w:vAlign w:val="center"/>
          </w:tcPr>
          <w:p>
            <w:pPr>
              <w:rPr>
                <w:rFonts w:ascii="Times New Roman" w:hAnsi="Times New Roman"/>
                <w:szCs w:val="21"/>
              </w:rPr>
            </w:pPr>
            <w:r>
              <w:rPr>
                <w:rFonts w:hint="eastAsia" w:ascii="Times New Roman" w:hAnsi="Times New Roman"/>
                <w:szCs w:val="21"/>
              </w:rPr>
              <w:t>区住房城乡建委、区发展改革委、区水利局、区财政局、区规划自然资源局、区机关事务中心、区教委</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79" w:hRule="atLeast"/>
          <w:jc w:val="center"/>
        </w:trPr>
        <w:tc>
          <w:tcPr>
            <w:tcW w:w="1129" w:type="dxa"/>
            <w:vMerge w:val="continue"/>
            <w:vAlign w:val="center"/>
          </w:tcPr>
          <w:p>
            <w:pPr>
              <w:ind w:firstLine="420" w:firstLineChars="200"/>
              <w:jc w:val="center"/>
              <w:rPr>
                <w:rFonts w:ascii="Times New Roman" w:hAnsi="Times New Roman"/>
                <w:color w:val="0070C0"/>
                <w:szCs w:val="21"/>
              </w:rPr>
            </w:pPr>
          </w:p>
        </w:tc>
        <w:tc>
          <w:tcPr>
            <w:tcW w:w="2977" w:type="dxa"/>
            <w:vAlign w:val="center"/>
          </w:tcPr>
          <w:p>
            <w:pPr>
              <w:rPr>
                <w:rFonts w:ascii="Times New Roman" w:hAnsi="Times New Roman"/>
                <w:szCs w:val="21"/>
              </w:rPr>
            </w:pPr>
            <w:r>
              <w:rPr>
                <w:rFonts w:hint="eastAsia" w:ascii="Times New Roman" w:hAnsi="Times New Roman"/>
              </w:rPr>
              <w:t>城市再生水利用率提高到</w:t>
            </w:r>
            <w:r>
              <w:rPr>
                <w:rFonts w:ascii="Times New Roman" w:hAnsi="Times New Roman"/>
              </w:rPr>
              <w:t>15%</w:t>
            </w:r>
            <w:r>
              <w:rPr>
                <w:rFonts w:hint="eastAsia" w:ascii="Times New Roman" w:hAnsi="Times New Roman"/>
              </w:rPr>
              <w:t>以上</w:t>
            </w:r>
          </w:p>
        </w:tc>
        <w:tc>
          <w:tcPr>
            <w:tcW w:w="1402" w:type="dxa"/>
            <w:vAlign w:val="center"/>
          </w:tcPr>
          <w:p>
            <w:pPr>
              <w:rPr>
                <w:rFonts w:ascii="Times New Roman" w:hAnsi="Times New Roman"/>
                <w:szCs w:val="21"/>
              </w:rPr>
            </w:pPr>
            <w:r>
              <w:rPr>
                <w:rFonts w:hint="eastAsia" w:ascii="Times New Roman" w:hAnsi="Times New Roman"/>
                <w:szCs w:val="21"/>
              </w:rPr>
              <w:t>区住房城乡建委</w:t>
            </w:r>
          </w:p>
        </w:tc>
        <w:tc>
          <w:tcPr>
            <w:tcW w:w="2578" w:type="dxa"/>
          </w:tcPr>
          <w:p>
            <w:pPr>
              <w:rPr>
                <w:rFonts w:ascii="Times New Roman" w:hAnsi="Times New Roman"/>
                <w:szCs w:val="21"/>
              </w:rPr>
            </w:pPr>
            <w:r>
              <w:rPr>
                <w:rFonts w:hint="eastAsia" w:ascii="Times New Roman" w:hAnsi="Times New Roman"/>
                <w:szCs w:val="21"/>
              </w:rPr>
              <w:t>区城市管理局、区水利局、区经济信息委、区财政局、区规划自然资源局</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79" w:hRule="atLeast"/>
          <w:jc w:val="center"/>
        </w:trPr>
        <w:tc>
          <w:tcPr>
            <w:tcW w:w="1129" w:type="dxa"/>
            <w:vMerge w:val="continue"/>
            <w:vAlign w:val="center"/>
          </w:tcPr>
          <w:p>
            <w:pPr>
              <w:ind w:firstLine="420" w:firstLineChars="200"/>
              <w:jc w:val="center"/>
              <w:rPr>
                <w:rFonts w:ascii="Times New Roman" w:hAnsi="Times New Roman"/>
                <w:color w:val="0070C0"/>
                <w:szCs w:val="21"/>
              </w:rPr>
            </w:pPr>
          </w:p>
        </w:tc>
        <w:tc>
          <w:tcPr>
            <w:tcW w:w="2977" w:type="dxa"/>
            <w:vAlign w:val="center"/>
          </w:tcPr>
          <w:p>
            <w:pPr>
              <w:rPr>
                <w:rFonts w:ascii="Times New Roman" w:hAnsi="Times New Roman"/>
              </w:rPr>
            </w:pPr>
            <w:r>
              <w:rPr>
                <w:rFonts w:hint="eastAsia" w:ascii="Times New Roman" w:hAnsi="Times New Roman"/>
              </w:rPr>
              <w:t>有专业化物业管理公司的节水型小区建成率提高到</w:t>
            </w:r>
            <w:r>
              <w:rPr>
                <w:rFonts w:ascii="Times New Roman" w:hAnsi="Times New Roman"/>
              </w:rPr>
              <w:t>15%</w:t>
            </w:r>
            <w:r>
              <w:rPr>
                <w:rFonts w:hint="eastAsia" w:ascii="Times New Roman" w:hAnsi="Times New Roman"/>
              </w:rPr>
              <w:t>以上</w:t>
            </w:r>
          </w:p>
        </w:tc>
        <w:tc>
          <w:tcPr>
            <w:tcW w:w="1402" w:type="dxa"/>
            <w:vAlign w:val="center"/>
          </w:tcPr>
          <w:p>
            <w:pPr>
              <w:rPr>
                <w:rFonts w:ascii="Times New Roman" w:hAnsi="Times New Roman"/>
                <w:szCs w:val="21"/>
              </w:rPr>
            </w:pPr>
            <w:r>
              <w:rPr>
                <w:rFonts w:hint="eastAsia" w:ascii="Times New Roman" w:hAnsi="Times New Roman"/>
                <w:szCs w:val="21"/>
              </w:rPr>
              <w:t>区住房城乡建委</w:t>
            </w:r>
          </w:p>
        </w:tc>
        <w:tc>
          <w:tcPr>
            <w:tcW w:w="2578" w:type="dxa"/>
          </w:tcPr>
          <w:p>
            <w:pPr>
              <w:rPr>
                <w:rFonts w:ascii="Times New Roman" w:hAnsi="Times New Roman"/>
                <w:szCs w:val="21"/>
              </w:rPr>
            </w:pPr>
            <w:r>
              <w:rPr>
                <w:rFonts w:hint="eastAsia" w:ascii="Times New Roman" w:hAnsi="Times New Roman"/>
                <w:szCs w:val="21"/>
              </w:rPr>
              <w:t>区发展改革委、区水利局、区城市管理局</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79" w:hRule="atLeast"/>
          <w:jc w:val="center"/>
        </w:trPr>
        <w:tc>
          <w:tcPr>
            <w:tcW w:w="1129" w:type="dxa"/>
            <w:vMerge w:val="continue"/>
            <w:vAlign w:val="center"/>
          </w:tcPr>
          <w:p>
            <w:pPr>
              <w:ind w:firstLine="420" w:firstLineChars="200"/>
              <w:jc w:val="center"/>
              <w:rPr>
                <w:rFonts w:ascii="Times New Roman" w:hAnsi="Times New Roman"/>
                <w:color w:val="0070C0"/>
                <w:szCs w:val="21"/>
              </w:rPr>
            </w:pPr>
          </w:p>
        </w:tc>
        <w:tc>
          <w:tcPr>
            <w:tcW w:w="2977" w:type="dxa"/>
            <w:vAlign w:val="center"/>
          </w:tcPr>
          <w:p>
            <w:pPr>
              <w:rPr>
                <w:rFonts w:ascii="Times New Roman" w:hAnsi="Times New Roman"/>
              </w:rPr>
            </w:pPr>
            <w:r>
              <w:rPr>
                <w:rFonts w:hint="eastAsia" w:ascii="Times New Roman" w:hAnsi="Times New Roman"/>
              </w:rPr>
              <w:t>全部区级机关和</w:t>
            </w:r>
            <w:r>
              <w:rPr>
                <w:rFonts w:ascii="Times New Roman" w:hAnsi="Times New Roman"/>
              </w:rPr>
              <w:t>70%</w:t>
            </w:r>
            <w:r>
              <w:rPr>
                <w:rFonts w:hint="eastAsia" w:ascii="Times New Roman" w:hAnsi="Times New Roman"/>
              </w:rPr>
              <w:t>的区级其他公共机构</w:t>
            </w:r>
          </w:p>
        </w:tc>
        <w:tc>
          <w:tcPr>
            <w:tcW w:w="1402" w:type="dxa"/>
            <w:vAlign w:val="center"/>
          </w:tcPr>
          <w:p>
            <w:pPr>
              <w:rPr>
                <w:rFonts w:ascii="Times New Roman" w:hAnsi="Times New Roman"/>
                <w:szCs w:val="21"/>
              </w:rPr>
            </w:pPr>
            <w:r>
              <w:rPr>
                <w:rFonts w:hint="eastAsia" w:ascii="Times New Roman" w:hAnsi="Times New Roman"/>
                <w:szCs w:val="21"/>
              </w:rPr>
              <w:t>区机关事务中心</w:t>
            </w:r>
          </w:p>
        </w:tc>
        <w:tc>
          <w:tcPr>
            <w:tcW w:w="2578" w:type="dxa"/>
          </w:tcPr>
          <w:p>
            <w:pPr>
              <w:rPr>
                <w:rFonts w:ascii="Times New Roman" w:hAnsi="Times New Roman"/>
                <w:szCs w:val="21"/>
              </w:rPr>
            </w:pPr>
            <w:r>
              <w:rPr>
                <w:rFonts w:hint="eastAsia" w:ascii="Times New Roman" w:hAnsi="Times New Roman"/>
                <w:szCs w:val="21"/>
              </w:rPr>
              <w:t>区住房城乡建委、区城市管理局、区水利局、区教委、区卫生健康委、各镇街</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79" w:hRule="atLeast"/>
          <w:jc w:val="center"/>
        </w:trPr>
        <w:tc>
          <w:tcPr>
            <w:tcW w:w="1129" w:type="dxa"/>
            <w:vMerge w:val="restart"/>
            <w:vAlign w:val="center"/>
          </w:tcPr>
          <w:p>
            <w:pPr>
              <w:rPr>
                <w:rFonts w:ascii="Times New Roman" w:hAnsi="Times New Roman"/>
                <w:szCs w:val="21"/>
              </w:rPr>
            </w:pPr>
            <w:r>
              <w:rPr>
                <w:rFonts w:hint="eastAsia" w:ascii="Times New Roman" w:hAnsi="Times New Roman"/>
                <w:szCs w:val="21"/>
              </w:rPr>
              <w:t>生态目标</w:t>
            </w:r>
          </w:p>
        </w:tc>
        <w:tc>
          <w:tcPr>
            <w:tcW w:w="2977" w:type="dxa"/>
          </w:tcPr>
          <w:p>
            <w:pPr>
              <w:rPr>
                <w:rFonts w:ascii="Times New Roman" w:hAnsi="Times New Roman"/>
                <w:szCs w:val="21"/>
              </w:rPr>
            </w:pPr>
            <w:r>
              <w:rPr>
                <w:rFonts w:hint="eastAsia"/>
              </w:rPr>
              <w:t>工业废水达标排放率（重点行业）达到</w:t>
            </w:r>
            <w:r>
              <w:rPr>
                <w:rFonts w:ascii="Times New Roman" w:hAnsi="Times New Roman"/>
              </w:rPr>
              <w:t>100%</w:t>
            </w:r>
          </w:p>
        </w:tc>
        <w:tc>
          <w:tcPr>
            <w:tcW w:w="1402" w:type="dxa"/>
            <w:tcBorders>
              <w:top w:val="single" w:color="000000" w:sz="4" w:space="0"/>
              <w:left w:val="single" w:color="000000" w:sz="4" w:space="0"/>
              <w:right w:val="single" w:color="000000" w:sz="4" w:space="0"/>
            </w:tcBorders>
            <w:vAlign w:val="center"/>
          </w:tcPr>
          <w:p>
            <w:pPr>
              <w:rPr>
                <w:rFonts w:ascii="Times New Roman" w:hAnsi="Times New Roman"/>
                <w:szCs w:val="21"/>
              </w:rPr>
            </w:pPr>
            <w:r>
              <w:rPr>
                <w:rFonts w:hint="eastAsia" w:ascii="Times New Roman" w:hAnsi="Times New Roman"/>
                <w:szCs w:val="21"/>
              </w:rPr>
              <w:t>区生态环境局</w:t>
            </w:r>
          </w:p>
        </w:tc>
        <w:tc>
          <w:tcPr>
            <w:tcW w:w="2578" w:type="dxa"/>
          </w:tcPr>
          <w:p>
            <w:pPr>
              <w:rPr>
                <w:rFonts w:ascii="Times New Roman" w:hAnsi="Times New Roman"/>
                <w:szCs w:val="21"/>
              </w:rPr>
            </w:pPr>
            <w:r>
              <w:rPr>
                <w:rFonts w:hint="eastAsia" w:ascii="Times New Roman" w:hAnsi="Times New Roman"/>
                <w:szCs w:val="21"/>
              </w:rPr>
              <w:t>区经济信息委</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79" w:hRule="atLeast"/>
          <w:jc w:val="center"/>
        </w:trPr>
        <w:tc>
          <w:tcPr>
            <w:tcW w:w="1129" w:type="dxa"/>
            <w:vMerge w:val="continue"/>
            <w:vAlign w:val="center"/>
          </w:tcPr>
          <w:p>
            <w:pPr>
              <w:rPr>
                <w:rFonts w:ascii="Times New Roman" w:hAnsi="Times New Roman"/>
                <w:szCs w:val="21"/>
              </w:rPr>
            </w:pPr>
          </w:p>
        </w:tc>
        <w:tc>
          <w:tcPr>
            <w:tcW w:w="2977" w:type="dxa"/>
          </w:tcPr>
          <w:p>
            <w:pPr>
              <w:rPr>
                <w:rFonts w:ascii="Times New Roman" w:hAnsi="Times New Roman"/>
                <w:szCs w:val="21"/>
              </w:rPr>
            </w:pPr>
            <w:r>
              <w:rPr>
                <w:rFonts w:hint="eastAsia"/>
              </w:rPr>
              <w:t>水功能区水质达标率保持在</w:t>
            </w:r>
            <w:r>
              <w:rPr>
                <w:rFonts w:ascii="Times New Roman" w:hAnsi="Times New Roman"/>
              </w:rPr>
              <w:t>90%</w:t>
            </w:r>
            <w:r>
              <w:rPr>
                <w:rFonts w:hint="eastAsia" w:ascii="宋体" w:hAnsi="宋体" w:cs="宋体"/>
              </w:rPr>
              <w:t>以上</w:t>
            </w:r>
          </w:p>
        </w:tc>
        <w:tc>
          <w:tcPr>
            <w:tcW w:w="1402" w:type="dxa"/>
            <w:vAlign w:val="center"/>
          </w:tcPr>
          <w:p>
            <w:pPr>
              <w:rPr>
                <w:rFonts w:ascii="Times New Roman" w:hAnsi="Times New Roman"/>
                <w:szCs w:val="21"/>
              </w:rPr>
            </w:pPr>
            <w:r>
              <w:rPr>
                <w:rFonts w:hint="eastAsia" w:ascii="Times New Roman" w:hAnsi="Times New Roman"/>
                <w:szCs w:val="21"/>
              </w:rPr>
              <w:t>区生态环境局</w:t>
            </w:r>
          </w:p>
        </w:tc>
        <w:tc>
          <w:tcPr>
            <w:tcW w:w="2578" w:type="dxa"/>
          </w:tcPr>
          <w:p>
            <w:pPr>
              <w:rPr>
                <w:rFonts w:ascii="Times New Roman" w:hAnsi="Times New Roman"/>
                <w:szCs w:val="21"/>
              </w:rPr>
            </w:pPr>
            <w:r>
              <w:rPr>
                <w:rFonts w:hint="eastAsia" w:ascii="Times New Roman" w:hAnsi="Times New Roman"/>
                <w:szCs w:val="21"/>
              </w:rPr>
              <w:t>区水利局</w:t>
            </w:r>
          </w:p>
        </w:tc>
      </w:tr>
    </w:tbl>
    <w:p>
      <w:pPr>
        <w:ind w:firstLine="560" w:firstLineChars="200"/>
        <w:jc w:val="left"/>
        <w:rPr>
          <w:rFonts w:ascii="Times New Roman" w:hAnsi="Times New Roman"/>
          <w:sz w:val="28"/>
          <w:szCs w:val="28"/>
        </w:rPr>
      </w:pPr>
    </w:p>
    <w:p>
      <w:pPr>
        <w:ind w:firstLine="560" w:firstLineChars="200"/>
        <w:jc w:val="left"/>
        <w:rPr>
          <w:rFonts w:ascii="Times New Roman" w:hAnsi="Times New Roman"/>
          <w:sz w:val="28"/>
          <w:szCs w:val="28"/>
        </w:rPr>
        <w:sectPr>
          <w:pgSz w:w="11906" w:h="16838"/>
          <w:pgMar w:top="1440" w:right="1800" w:bottom="1440" w:left="1800" w:header="851" w:footer="992" w:gutter="0"/>
          <w:cols w:space="425" w:num="1"/>
          <w:docGrid w:type="lines" w:linePitch="312" w:charSpace="0"/>
        </w:sectPr>
      </w:pPr>
      <w:r>
        <w:rPr>
          <w:rFonts w:hint="eastAsia" w:ascii="Times New Roman" w:hAnsi="Times New Roman"/>
          <w:sz w:val="28"/>
          <w:szCs w:val="28"/>
        </w:rPr>
        <w:t>为全面落实渝北区“十四五”节约用水规划建设，依据《重庆市渝北区节水行动实施方案》，本规划将重点工作进行任务分解。</w:t>
      </w:r>
    </w:p>
    <w:p>
      <w:pPr>
        <w:jc w:val="center"/>
        <w:rPr>
          <w:rFonts w:ascii="Times New Roman" w:hAnsi="Times New Roman"/>
          <w:b/>
          <w:bCs/>
          <w:sz w:val="24"/>
          <w:szCs w:val="24"/>
        </w:rPr>
      </w:pPr>
      <w:r>
        <w:rPr>
          <w:rFonts w:hint="eastAsia" w:ascii="Times New Roman" w:hAnsi="Times New Roman"/>
          <w:b/>
          <w:bCs/>
          <w:sz w:val="24"/>
          <w:szCs w:val="24"/>
        </w:rPr>
        <w:t>表</w:t>
      </w:r>
      <w:r>
        <w:rPr>
          <w:rFonts w:ascii="Times New Roman" w:hAnsi="Times New Roman"/>
          <w:b/>
          <w:bCs/>
          <w:sz w:val="24"/>
          <w:szCs w:val="24"/>
        </w:rPr>
        <w:t>7-3</w:t>
      </w:r>
      <w:r>
        <w:rPr>
          <w:rFonts w:hint="eastAsia" w:ascii="Times New Roman" w:hAnsi="Times New Roman"/>
          <w:b/>
          <w:bCs/>
          <w:sz w:val="24"/>
          <w:szCs w:val="24"/>
        </w:rPr>
        <w:t>“十四五”期间渝北区节水型社会建设部门工作任务</w:t>
      </w:r>
    </w:p>
    <w:tbl>
      <w:tblPr>
        <w:tblStyle w:val="21"/>
        <w:tblW w:w="5000"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728"/>
        <w:gridCol w:w="1137"/>
        <w:gridCol w:w="7206"/>
        <w:gridCol w:w="1151"/>
        <w:gridCol w:w="395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91" w:hRule="atLeast"/>
          <w:jc w:val="center"/>
        </w:trPr>
        <w:tc>
          <w:tcPr>
            <w:tcW w:w="257" w:type="pct"/>
            <w:vAlign w:val="center"/>
          </w:tcPr>
          <w:p>
            <w:pPr>
              <w:widowControl/>
              <w:spacing w:line="259" w:lineRule="auto"/>
              <w:jc w:val="left"/>
              <w:rPr>
                <w:rFonts w:ascii="Times New Roman" w:hAnsi="Times New Roman"/>
                <w:b/>
                <w:szCs w:val="21"/>
              </w:rPr>
            </w:pPr>
            <w:bookmarkStart w:id="104" w:name="_Hlk89949670"/>
            <w:r>
              <w:rPr>
                <w:rFonts w:hint="eastAsia" w:ascii="Times New Roman" w:hAnsi="Times New Roman"/>
                <w:b/>
                <w:szCs w:val="21"/>
              </w:rPr>
              <w:t>序号</w:t>
            </w:r>
          </w:p>
        </w:tc>
        <w:tc>
          <w:tcPr>
            <w:tcW w:w="401" w:type="pct"/>
            <w:vAlign w:val="center"/>
          </w:tcPr>
          <w:p>
            <w:pPr>
              <w:jc w:val="center"/>
              <w:rPr>
                <w:rFonts w:ascii="Times New Roman" w:hAnsi="Times New Roman"/>
                <w:b/>
                <w:szCs w:val="21"/>
              </w:rPr>
            </w:pPr>
            <w:r>
              <w:rPr>
                <w:rFonts w:hint="eastAsia" w:ascii="Times New Roman" w:hAnsi="Times New Roman"/>
                <w:b/>
                <w:szCs w:val="21"/>
              </w:rPr>
              <w:t>目标任务</w:t>
            </w:r>
          </w:p>
        </w:tc>
        <w:tc>
          <w:tcPr>
            <w:tcW w:w="2542" w:type="pct"/>
            <w:vAlign w:val="center"/>
          </w:tcPr>
          <w:p>
            <w:pPr>
              <w:jc w:val="center"/>
              <w:rPr>
                <w:rFonts w:ascii="Times New Roman" w:hAnsi="Times New Roman"/>
                <w:b/>
                <w:szCs w:val="21"/>
              </w:rPr>
            </w:pPr>
            <w:r>
              <w:rPr>
                <w:rFonts w:hint="eastAsia" w:ascii="Times New Roman" w:hAnsi="Times New Roman"/>
                <w:b/>
                <w:szCs w:val="21"/>
              </w:rPr>
              <w:t>工作内容</w:t>
            </w:r>
          </w:p>
        </w:tc>
        <w:tc>
          <w:tcPr>
            <w:tcW w:w="406" w:type="pct"/>
            <w:vAlign w:val="center"/>
          </w:tcPr>
          <w:p>
            <w:pPr>
              <w:jc w:val="center"/>
              <w:rPr>
                <w:rFonts w:ascii="Times New Roman" w:hAnsi="Times New Roman"/>
                <w:b/>
                <w:szCs w:val="21"/>
              </w:rPr>
            </w:pPr>
            <w:r>
              <w:rPr>
                <w:rFonts w:hint="eastAsia" w:ascii="Times New Roman" w:hAnsi="Times New Roman"/>
                <w:b/>
                <w:szCs w:val="21"/>
              </w:rPr>
              <w:t>牵头单位</w:t>
            </w:r>
          </w:p>
        </w:tc>
        <w:tc>
          <w:tcPr>
            <w:tcW w:w="1394" w:type="pct"/>
            <w:vAlign w:val="center"/>
          </w:tcPr>
          <w:p>
            <w:pPr>
              <w:jc w:val="center"/>
              <w:rPr>
                <w:rFonts w:ascii="Times New Roman" w:hAnsi="Times New Roman"/>
                <w:b/>
                <w:szCs w:val="21"/>
              </w:rPr>
            </w:pPr>
            <w:r>
              <w:rPr>
                <w:rFonts w:hint="eastAsia" w:ascii="Times New Roman" w:hAnsi="Times New Roman"/>
                <w:b/>
                <w:szCs w:val="21"/>
              </w:rPr>
              <w:t>责任单位</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91" w:hRule="atLeast"/>
          <w:jc w:val="center"/>
        </w:trPr>
        <w:tc>
          <w:tcPr>
            <w:tcW w:w="257" w:type="pct"/>
            <w:vAlign w:val="center"/>
          </w:tcPr>
          <w:p>
            <w:pPr>
              <w:rPr>
                <w:rFonts w:ascii="Times New Roman" w:hAnsi="Times New Roman"/>
              </w:rPr>
            </w:pPr>
            <w:r>
              <w:rPr>
                <w:rFonts w:ascii="Times New Roman" w:hAnsi="Times New Roman"/>
              </w:rPr>
              <w:t>1</w:t>
            </w:r>
          </w:p>
        </w:tc>
        <w:tc>
          <w:tcPr>
            <w:tcW w:w="401" w:type="pct"/>
            <w:vAlign w:val="center"/>
          </w:tcPr>
          <w:p>
            <w:pPr>
              <w:jc w:val="center"/>
              <w:rPr>
                <w:rFonts w:ascii="Times New Roman" w:hAnsi="Times New Roman"/>
              </w:rPr>
            </w:pPr>
            <w:r>
              <w:rPr>
                <w:rFonts w:hint="eastAsia" w:ascii="Times New Roman" w:hAnsi="Times New Roman"/>
              </w:rPr>
              <w:t>强化指标刚性约束</w:t>
            </w:r>
          </w:p>
        </w:tc>
        <w:tc>
          <w:tcPr>
            <w:tcW w:w="2542" w:type="pct"/>
            <w:vAlign w:val="center"/>
          </w:tcPr>
          <w:p>
            <w:pPr>
              <w:jc w:val="left"/>
              <w:rPr>
                <w:rFonts w:ascii="Times New Roman" w:hAnsi="Times New Roman"/>
              </w:rPr>
            </w:pPr>
            <w:r>
              <w:rPr>
                <w:rFonts w:hint="eastAsia" w:ascii="Times New Roman" w:hAnsi="Times New Roman"/>
              </w:rPr>
              <w:t>严格实行用水总量和强度控制。健全用水总量、用水强度控制指标体系，强化节水约束性指标管理，加快落实主要领域用水指标。划定水资源承载能力领域分类，实施差别化管控措施，建立监测预警机制。</w:t>
            </w:r>
          </w:p>
        </w:tc>
        <w:tc>
          <w:tcPr>
            <w:tcW w:w="406" w:type="pct"/>
            <w:vAlign w:val="center"/>
          </w:tcPr>
          <w:p>
            <w:pPr>
              <w:jc w:val="center"/>
              <w:rPr>
                <w:rFonts w:ascii="Times New Roman" w:hAnsi="Times New Roman"/>
              </w:rPr>
            </w:pPr>
            <w:r>
              <w:rPr>
                <w:rFonts w:hint="eastAsia" w:ascii="Times New Roman" w:hAnsi="Times New Roman"/>
              </w:rPr>
              <w:t>区水利局</w:t>
            </w:r>
          </w:p>
        </w:tc>
        <w:tc>
          <w:tcPr>
            <w:tcW w:w="1394" w:type="pct"/>
            <w:vAlign w:val="center"/>
          </w:tcPr>
          <w:p>
            <w:pPr>
              <w:rPr>
                <w:rFonts w:ascii="Times New Roman" w:hAnsi="Times New Roman"/>
              </w:rPr>
            </w:pPr>
            <w:r>
              <w:rPr>
                <w:rFonts w:hint="eastAsia" w:ascii="Times New Roman" w:hAnsi="Times New Roman"/>
              </w:rPr>
              <w:t>区发展改革委、区经济信息委、区规划自然资源局、区住房城乡建委、区城管局、区农业农</w:t>
            </w:r>
            <w:r>
              <w:rPr>
                <w:rFonts w:ascii="Times New Roman" w:hAnsi="Times New Roman"/>
              </w:rPr>
              <w:t>.</w:t>
            </w:r>
            <w:r>
              <w:rPr>
                <w:rFonts w:hint="eastAsia" w:ascii="Times New Roman" w:hAnsi="Times New Roman"/>
              </w:rPr>
              <w:t>村委、区商务委、区市场监管局、区机关事务中心、各镇街</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91" w:hRule="atLeast"/>
          <w:jc w:val="center"/>
        </w:trPr>
        <w:tc>
          <w:tcPr>
            <w:tcW w:w="257" w:type="pct"/>
            <w:vMerge w:val="restart"/>
            <w:vAlign w:val="center"/>
          </w:tcPr>
          <w:p>
            <w:pPr>
              <w:rPr>
                <w:rFonts w:ascii="Times New Roman" w:hAnsi="Times New Roman"/>
              </w:rPr>
            </w:pPr>
            <w:r>
              <w:rPr>
                <w:rFonts w:ascii="Times New Roman" w:hAnsi="Times New Roman"/>
              </w:rPr>
              <w:t>2</w:t>
            </w:r>
          </w:p>
        </w:tc>
        <w:tc>
          <w:tcPr>
            <w:tcW w:w="401" w:type="pct"/>
            <w:vMerge w:val="restart"/>
            <w:vAlign w:val="center"/>
          </w:tcPr>
          <w:p>
            <w:pPr>
              <w:rPr>
                <w:rFonts w:ascii="Times New Roman" w:hAnsi="Times New Roman"/>
              </w:rPr>
            </w:pPr>
            <w:r>
              <w:rPr>
                <w:rFonts w:hint="eastAsia" w:ascii="Times New Roman" w:hAnsi="Times New Roman"/>
              </w:rPr>
              <w:t>严格用水全过程管理</w:t>
            </w:r>
          </w:p>
        </w:tc>
        <w:tc>
          <w:tcPr>
            <w:tcW w:w="2542" w:type="pct"/>
            <w:vAlign w:val="center"/>
          </w:tcPr>
          <w:p>
            <w:pPr>
              <w:rPr>
                <w:rFonts w:ascii="Times New Roman" w:hAnsi="Times New Roman"/>
              </w:rPr>
            </w:pPr>
            <w:r>
              <w:rPr>
                <w:rFonts w:hint="eastAsia" w:ascii="Times New Roman" w:hAnsi="Times New Roman"/>
              </w:rPr>
              <w:t>严控水资源开发利用强度，完善规划和建设项目水资源论证制度实施规划和建设项目节水评价工作审查制度。严格实行取水许可制度。加强对重点用水户、特殊用水行业用水户的监督管理。</w:t>
            </w:r>
          </w:p>
        </w:tc>
        <w:tc>
          <w:tcPr>
            <w:tcW w:w="406" w:type="pct"/>
            <w:vAlign w:val="center"/>
          </w:tcPr>
          <w:p>
            <w:pPr>
              <w:rPr>
                <w:rFonts w:ascii="Times New Roman" w:hAnsi="Times New Roman"/>
              </w:rPr>
            </w:pPr>
            <w:r>
              <w:rPr>
                <w:rFonts w:hint="eastAsia" w:ascii="Times New Roman" w:hAnsi="Times New Roman"/>
              </w:rPr>
              <w:t>区水利局</w:t>
            </w:r>
          </w:p>
        </w:tc>
        <w:tc>
          <w:tcPr>
            <w:tcW w:w="1394" w:type="pct"/>
            <w:vAlign w:val="center"/>
          </w:tcPr>
          <w:p>
            <w:pPr>
              <w:rPr>
                <w:rFonts w:ascii="Times New Roman" w:hAnsi="Times New Roman"/>
              </w:rPr>
            </w:pPr>
            <w:r>
              <w:rPr>
                <w:rFonts w:hint="eastAsia" w:ascii="Times New Roman" w:hAnsi="Times New Roman"/>
              </w:rPr>
              <w:t>区发展改革委、区教委、区经济信息委、区规划自然资源局、区住房城乡建委、区城管局、区交通局、区农业农村委、区</w:t>
            </w:r>
          </w:p>
          <w:p>
            <w:pPr>
              <w:rPr>
                <w:rFonts w:ascii="Times New Roman" w:hAnsi="Times New Roman"/>
              </w:rPr>
            </w:pPr>
            <w:r>
              <w:rPr>
                <w:rFonts w:hint="eastAsia" w:ascii="Times New Roman" w:hAnsi="Times New Roman"/>
              </w:rPr>
              <w:t>商务委、区机关事务中心、各镇街</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91" w:hRule="atLeast"/>
          <w:jc w:val="center"/>
        </w:trPr>
        <w:tc>
          <w:tcPr>
            <w:tcW w:w="257" w:type="pct"/>
            <w:vMerge w:val="continue"/>
            <w:vAlign w:val="center"/>
          </w:tcPr>
          <w:p>
            <w:pPr>
              <w:rPr>
                <w:rFonts w:ascii="Times New Roman" w:hAnsi="Times New Roman"/>
              </w:rPr>
            </w:pPr>
          </w:p>
        </w:tc>
        <w:tc>
          <w:tcPr>
            <w:tcW w:w="401" w:type="pct"/>
            <w:vMerge w:val="continue"/>
            <w:vAlign w:val="center"/>
          </w:tcPr>
          <w:p>
            <w:pPr>
              <w:rPr>
                <w:rFonts w:ascii="Times New Roman" w:hAnsi="Times New Roman"/>
              </w:rPr>
            </w:pPr>
          </w:p>
        </w:tc>
        <w:tc>
          <w:tcPr>
            <w:tcW w:w="2542" w:type="pct"/>
            <w:vAlign w:val="center"/>
          </w:tcPr>
          <w:p>
            <w:pPr>
              <w:rPr>
                <w:rFonts w:ascii="Times New Roman" w:hAnsi="Times New Roman"/>
              </w:rPr>
            </w:pPr>
            <w:r>
              <w:rPr>
                <w:rFonts w:hint="eastAsia" w:ascii="Times New Roman" w:hAnsi="Times New Roman"/>
              </w:rPr>
              <w:t>对城镇新区规划、工业园区规划、高耗水行业专项规划、涉及取用水项目的相关产业发展规划开展节水评价工作。</w:t>
            </w:r>
          </w:p>
        </w:tc>
        <w:tc>
          <w:tcPr>
            <w:tcW w:w="406" w:type="pct"/>
            <w:vAlign w:val="center"/>
          </w:tcPr>
          <w:p>
            <w:pPr>
              <w:rPr>
                <w:rFonts w:ascii="Times New Roman" w:hAnsi="Times New Roman"/>
              </w:rPr>
            </w:pPr>
            <w:r>
              <w:rPr>
                <w:rFonts w:hint="eastAsia" w:ascii="Times New Roman" w:hAnsi="Times New Roman"/>
              </w:rPr>
              <w:t>区发展改革委</w:t>
            </w:r>
          </w:p>
        </w:tc>
        <w:tc>
          <w:tcPr>
            <w:tcW w:w="1394" w:type="pct"/>
            <w:vAlign w:val="center"/>
          </w:tcPr>
          <w:p>
            <w:pPr>
              <w:rPr>
                <w:rFonts w:ascii="Times New Roman" w:hAnsi="Times New Roman"/>
              </w:rPr>
            </w:pPr>
            <w:r>
              <w:rPr>
                <w:rFonts w:hint="eastAsia" w:ascii="Times New Roman" w:hAnsi="Times New Roman"/>
              </w:rPr>
              <w:t>区水利局、区规划自然资源局、区经济信息委、区住房城乡建委</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91" w:hRule="atLeast"/>
          <w:jc w:val="center"/>
        </w:trPr>
        <w:tc>
          <w:tcPr>
            <w:tcW w:w="257" w:type="pct"/>
            <w:vMerge w:val="continue"/>
            <w:vAlign w:val="center"/>
          </w:tcPr>
          <w:p>
            <w:pPr>
              <w:rPr>
                <w:rFonts w:ascii="Times New Roman" w:hAnsi="Times New Roman"/>
              </w:rPr>
            </w:pPr>
          </w:p>
        </w:tc>
        <w:tc>
          <w:tcPr>
            <w:tcW w:w="401" w:type="pct"/>
            <w:vMerge w:val="continue"/>
            <w:vAlign w:val="center"/>
          </w:tcPr>
          <w:p>
            <w:pPr>
              <w:rPr>
                <w:rFonts w:ascii="Times New Roman" w:hAnsi="Times New Roman"/>
              </w:rPr>
            </w:pPr>
          </w:p>
        </w:tc>
        <w:tc>
          <w:tcPr>
            <w:tcW w:w="2542" w:type="pct"/>
            <w:vAlign w:val="center"/>
          </w:tcPr>
          <w:p>
            <w:pPr>
              <w:rPr>
                <w:rFonts w:ascii="Times New Roman" w:hAnsi="Times New Roman"/>
              </w:rPr>
            </w:pPr>
            <w:r>
              <w:rPr>
                <w:rFonts w:hint="eastAsia" w:ascii="Times New Roman" w:hAnsi="Times New Roman"/>
              </w:rPr>
              <w:t>加强对公共供水管网供水的重点用水户、特殊用水行业用水户的监督管理。</w:t>
            </w:r>
          </w:p>
        </w:tc>
        <w:tc>
          <w:tcPr>
            <w:tcW w:w="406" w:type="pct"/>
            <w:vAlign w:val="center"/>
          </w:tcPr>
          <w:p>
            <w:pPr>
              <w:rPr>
                <w:rFonts w:ascii="Times New Roman" w:hAnsi="Times New Roman"/>
              </w:rPr>
            </w:pPr>
            <w:r>
              <w:rPr>
                <w:rFonts w:hint="eastAsia" w:ascii="Times New Roman" w:hAnsi="Times New Roman"/>
              </w:rPr>
              <w:t>区城管局</w:t>
            </w:r>
          </w:p>
        </w:tc>
        <w:tc>
          <w:tcPr>
            <w:tcW w:w="1394" w:type="pct"/>
            <w:vAlign w:val="center"/>
          </w:tcPr>
          <w:p>
            <w:pPr>
              <w:rPr>
                <w:rFonts w:ascii="Times New Roman" w:hAnsi="Times New Roman"/>
              </w:rPr>
            </w:pPr>
            <w:r>
              <w:rPr>
                <w:rFonts w:hint="eastAsia" w:ascii="Times New Roman" w:hAnsi="Times New Roman"/>
              </w:rPr>
              <w:t>区水利局、区规划自然资源局、区经济信息委、各镇街</w:t>
            </w:r>
          </w:p>
        </w:tc>
      </w:tr>
      <w:tr>
        <w:tblPrEx>
          <w:tblCellMar>
            <w:top w:w="0" w:type="dxa"/>
            <w:left w:w="108" w:type="dxa"/>
            <w:bottom w:w="0" w:type="dxa"/>
            <w:right w:w="108" w:type="dxa"/>
          </w:tblCellMar>
        </w:tblPrEx>
        <w:trPr>
          <w:trHeight w:val="291" w:hRule="atLeast"/>
          <w:jc w:val="center"/>
        </w:trPr>
        <w:tc>
          <w:tcPr>
            <w:tcW w:w="257" w:type="pct"/>
            <w:vAlign w:val="center"/>
          </w:tcPr>
          <w:p>
            <w:pPr>
              <w:rPr>
                <w:rFonts w:ascii="Times New Roman" w:hAnsi="Times New Roman"/>
              </w:rPr>
            </w:pPr>
            <w:r>
              <w:rPr>
                <w:rFonts w:ascii="Times New Roman" w:hAnsi="Times New Roman"/>
              </w:rPr>
              <w:t>3</w:t>
            </w:r>
          </w:p>
        </w:tc>
        <w:tc>
          <w:tcPr>
            <w:tcW w:w="401" w:type="pct"/>
            <w:vAlign w:val="center"/>
          </w:tcPr>
          <w:p>
            <w:pPr>
              <w:rPr>
                <w:rFonts w:ascii="Times New Roman" w:hAnsi="Times New Roman"/>
              </w:rPr>
            </w:pPr>
            <w:r>
              <w:rPr>
                <w:rFonts w:hint="eastAsia" w:ascii="Times New Roman" w:hAnsi="Times New Roman"/>
              </w:rPr>
              <w:t>强化节水监督考核</w:t>
            </w:r>
          </w:p>
        </w:tc>
        <w:tc>
          <w:tcPr>
            <w:tcW w:w="2542" w:type="pct"/>
            <w:vAlign w:val="center"/>
          </w:tcPr>
          <w:p>
            <w:pPr>
              <w:rPr>
                <w:rFonts w:ascii="Times New Roman" w:hAnsi="Times New Roman"/>
              </w:rPr>
            </w:pPr>
            <w:r>
              <w:rPr>
                <w:rFonts w:hint="eastAsia" w:ascii="Times New Roman" w:hAnsi="Times New Roman"/>
              </w:rPr>
              <w:t>建立管行业必管节水的工作机制，实行节水目标责任制，将水资源节约和保护的主要指标纳入经济社会发展综合评价体系，实行最严格水资源管理制度考核。完善监督考核工作机制，强化部门协作，严格节水责任追究。</w:t>
            </w:r>
          </w:p>
        </w:tc>
        <w:tc>
          <w:tcPr>
            <w:tcW w:w="406" w:type="pct"/>
            <w:vAlign w:val="center"/>
          </w:tcPr>
          <w:p>
            <w:pPr>
              <w:rPr>
                <w:rFonts w:ascii="Times New Roman" w:hAnsi="Times New Roman"/>
              </w:rPr>
            </w:pPr>
            <w:r>
              <w:rPr>
                <w:rFonts w:hint="eastAsia" w:ascii="Times New Roman" w:hAnsi="Times New Roman"/>
              </w:rPr>
              <w:t>区水利局</w:t>
            </w:r>
          </w:p>
        </w:tc>
        <w:tc>
          <w:tcPr>
            <w:tcW w:w="1394" w:type="pct"/>
            <w:vAlign w:val="center"/>
          </w:tcPr>
          <w:p>
            <w:pPr>
              <w:rPr>
                <w:rFonts w:ascii="Times New Roman" w:hAnsi="Times New Roman"/>
              </w:rPr>
            </w:pPr>
            <w:r>
              <w:rPr>
                <w:rFonts w:hint="eastAsia" w:ascii="Times New Roman" w:hAnsi="Times New Roman"/>
              </w:rPr>
              <w:t>区发展改革委，区教委、区科技局、区经济信息委、区司法局、区财政局、区规划自然资源局、区生态环境局、区住房城乡建委、区城管局、区交通局、区农业农村委、区商务委、区卫生健康委、区市场监管局、区统计局、区机关事务中心、区税务局、区委宣传部、各镇街</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91" w:hRule="atLeast"/>
          <w:jc w:val="center"/>
        </w:trPr>
        <w:tc>
          <w:tcPr>
            <w:tcW w:w="257" w:type="pct"/>
            <w:vAlign w:val="center"/>
          </w:tcPr>
          <w:p>
            <w:pPr>
              <w:rPr>
                <w:rFonts w:ascii="Times New Roman" w:hAnsi="Times New Roman"/>
              </w:rPr>
            </w:pPr>
            <w:r>
              <w:rPr>
                <w:rFonts w:ascii="Times New Roman" w:hAnsi="Times New Roman"/>
              </w:rPr>
              <w:t>4</w:t>
            </w:r>
          </w:p>
        </w:tc>
        <w:tc>
          <w:tcPr>
            <w:tcW w:w="401" w:type="pct"/>
            <w:vAlign w:val="center"/>
          </w:tcPr>
          <w:p>
            <w:pPr>
              <w:rPr>
                <w:rFonts w:ascii="Times New Roman" w:hAnsi="Times New Roman"/>
              </w:rPr>
            </w:pPr>
            <w:r>
              <w:rPr>
                <w:rFonts w:hint="eastAsia" w:ascii="Times New Roman" w:hAnsi="Times New Roman"/>
              </w:rPr>
              <w:t>大幅降低供水管网漏损</w:t>
            </w:r>
          </w:p>
        </w:tc>
        <w:tc>
          <w:tcPr>
            <w:tcW w:w="2542" w:type="pct"/>
            <w:vAlign w:val="center"/>
          </w:tcPr>
          <w:p>
            <w:pPr>
              <w:rPr>
                <w:rFonts w:ascii="Times New Roman" w:hAnsi="Times New Roman"/>
              </w:rPr>
            </w:pPr>
            <w:r>
              <w:rPr>
                <w:rFonts w:hint="eastAsia" w:ascii="Times New Roman" w:hAnsi="Times New Roman"/>
              </w:rPr>
              <w:t>加快制定和实施供水管网改造建设实施方案，完善供水管网检漏制度。加强公共供水系统运行监督管理，推进城市供水管网分区计量管理，建立精细化管理平台和漏损管控体系，协同推进二次，供水设施改造和专业化管理。重点推动老城区、老校区等管网高漏损区域的节水改造。</w:t>
            </w:r>
          </w:p>
        </w:tc>
        <w:tc>
          <w:tcPr>
            <w:tcW w:w="406" w:type="pct"/>
            <w:vAlign w:val="center"/>
          </w:tcPr>
          <w:p>
            <w:pPr>
              <w:rPr>
                <w:rFonts w:ascii="Times New Roman" w:hAnsi="Times New Roman"/>
              </w:rPr>
            </w:pPr>
            <w:r>
              <w:rPr>
                <w:rFonts w:hint="eastAsia" w:ascii="Times New Roman" w:hAnsi="Times New Roman"/>
              </w:rPr>
              <w:t>区城管局</w:t>
            </w:r>
          </w:p>
        </w:tc>
        <w:tc>
          <w:tcPr>
            <w:tcW w:w="1394" w:type="pct"/>
            <w:vAlign w:val="center"/>
          </w:tcPr>
          <w:p>
            <w:pPr>
              <w:rPr>
                <w:rFonts w:ascii="Times New Roman" w:hAnsi="Times New Roman"/>
              </w:rPr>
            </w:pPr>
            <w:r>
              <w:rPr>
                <w:rFonts w:hint="eastAsia" w:ascii="Times New Roman" w:hAnsi="Times New Roman"/>
              </w:rPr>
              <w:t>区住房城乡建委、区发展改革委、区水利局、区财政局、区规划自然资源局、区机关事务中心、区教委</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91" w:hRule="atLeast"/>
          <w:jc w:val="center"/>
        </w:trPr>
        <w:tc>
          <w:tcPr>
            <w:tcW w:w="257" w:type="pct"/>
            <w:vAlign w:val="center"/>
          </w:tcPr>
          <w:p>
            <w:pPr>
              <w:rPr>
                <w:rFonts w:ascii="Times New Roman" w:hAnsi="Times New Roman"/>
              </w:rPr>
            </w:pPr>
            <w:r>
              <w:rPr>
                <w:rFonts w:ascii="Times New Roman" w:hAnsi="Times New Roman"/>
              </w:rPr>
              <w:t>5</w:t>
            </w:r>
          </w:p>
        </w:tc>
        <w:tc>
          <w:tcPr>
            <w:tcW w:w="401" w:type="pct"/>
            <w:vAlign w:val="center"/>
          </w:tcPr>
          <w:p>
            <w:pPr>
              <w:rPr>
                <w:rFonts w:ascii="Times New Roman" w:hAnsi="Times New Roman"/>
              </w:rPr>
            </w:pPr>
            <w:r>
              <w:rPr>
                <w:rFonts w:hint="eastAsia" w:ascii="Times New Roman" w:hAnsi="Times New Roman"/>
              </w:rPr>
              <w:t>加强缺水区域非常规水利用</w:t>
            </w:r>
          </w:p>
        </w:tc>
        <w:tc>
          <w:tcPr>
            <w:tcW w:w="2542" w:type="pct"/>
            <w:vAlign w:val="center"/>
          </w:tcPr>
          <w:p>
            <w:pPr>
              <w:rPr>
                <w:rFonts w:ascii="Times New Roman" w:hAnsi="Times New Roman"/>
              </w:rPr>
            </w:pPr>
            <w:r>
              <w:rPr>
                <w:rFonts w:hint="eastAsia" w:ascii="Times New Roman" w:hAnsi="Times New Roman"/>
              </w:rPr>
              <w:t>加强再生水、雨水、矿井水等非常规水多元、梯级和安全利用。强制推动非常规水纳入水资源统一配置。统筹利用好再生水、雨水等用于农业灌溉和生态景观。新建小区、城市道路、公共绿地等因地制宜配套建设雨水集蓄利用设施。</w:t>
            </w:r>
          </w:p>
        </w:tc>
        <w:tc>
          <w:tcPr>
            <w:tcW w:w="406" w:type="pct"/>
            <w:vAlign w:val="center"/>
          </w:tcPr>
          <w:p>
            <w:pPr>
              <w:rPr>
                <w:rFonts w:ascii="Times New Roman" w:hAnsi="Times New Roman"/>
              </w:rPr>
            </w:pPr>
            <w:r>
              <w:rPr>
                <w:rFonts w:hint="eastAsia" w:ascii="Times New Roman" w:hAnsi="Times New Roman"/>
              </w:rPr>
              <w:t>区住房城乡建委</w:t>
            </w:r>
          </w:p>
        </w:tc>
        <w:tc>
          <w:tcPr>
            <w:tcW w:w="1394" w:type="pct"/>
            <w:vAlign w:val="center"/>
          </w:tcPr>
          <w:p>
            <w:pPr>
              <w:rPr>
                <w:rFonts w:ascii="Times New Roman" w:hAnsi="Times New Roman"/>
              </w:rPr>
            </w:pPr>
            <w:r>
              <w:rPr>
                <w:rFonts w:hint="eastAsia" w:ascii="Times New Roman" w:hAnsi="Times New Roman"/>
              </w:rPr>
              <w:t>区发展改革委、区水利局、区经济信息委、区规划自然资源局、区城管局、区农业农村委、区教委</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91" w:hRule="atLeast"/>
          <w:jc w:val="center"/>
        </w:trPr>
        <w:tc>
          <w:tcPr>
            <w:tcW w:w="257" w:type="pct"/>
            <w:vAlign w:val="center"/>
          </w:tcPr>
          <w:p>
            <w:pPr>
              <w:rPr>
                <w:rFonts w:ascii="Times New Roman" w:hAnsi="Times New Roman"/>
              </w:rPr>
            </w:pPr>
            <w:r>
              <w:rPr>
                <w:rFonts w:ascii="Times New Roman" w:hAnsi="Times New Roman"/>
              </w:rPr>
              <w:t>6</w:t>
            </w:r>
          </w:p>
        </w:tc>
        <w:tc>
          <w:tcPr>
            <w:tcW w:w="401" w:type="pct"/>
            <w:vAlign w:val="center"/>
          </w:tcPr>
          <w:p>
            <w:pPr>
              <w:rPr>
                <w:rFonts w:ascii="Times New Roman" w:hAnsi="Times New Roman"/>
              </w:rPr>
            </w:pPr>
            <w:r>
              <w:rPr>
                <w:rFonts w:hint="eastAsia" w:ascii="Times New Roman" w:hAnsi="Times New Roman"/>
              </w:rPr>
              <w:t>大力推进工业节水改造</w:t>
            </w:r>
          </w:p>
        </w:tc>
        <w:tc>
          <w:tcPr>
            <w:tcW w:w="2542" w:type="pct"/>
            <w:vAlign w:val="center"/>
          </w:tcPr>
          <w:p>
            <w:pPr>
              <w:rPr>
                <w:rFonts w:ascii="Times New Roman" w:hAnsi="Times New Roman"/>
              </w:rPr>
            </w:pPr>
            <w:r>
              <w:rPr>
                <w:rFonts w:hint="eastAsia" w:ascii="Times New Roman" w:hAnsi="Times New Roman"/>
              </w:rPr>
              <w:t>完善供用水计量体系和在线监测系统，强化生产用水管理。大力推广高效冷却、洗涤、循环用水、废污水再生利用、高耗水生产工艺替代等节水工艺和技术。支持企业开展节水技术改造及再生水回用改造，重点企业要定期开展水平衡测试、用水审计及水效对标。对超过用水定额标准的企业分类分步限期实施节水改造。</w:t>
            </w:r>
          </w:p>
        </w:tc>
        <w:tc>
          <w:tcPr>
            <w:tcW w:w="406" w:type="pct"/>
            <w:vAlign w:val="center"/>
          </w:tcPr>
          <w:p>
            <w:pPr>
              <w:rPr>
                <w:rFonts w:ascii="Times New Roman" w:hAnsi="Times New Roman"/>
              </w:rPr>
            </w:pPr>
            <w:r>
              <w:rPr>
                <w:rFonts w:hint="eastAsia" w:ascii="Times New Roman" w:hAnsi="Times New Roman"/>
              </w:rPr>
              <w:t>区经济信息委</w:t>
            </w:r>
          </w:p>
        </w:tc>
        <w:tc>
          <w:tcPr>
            <w:tcW w:w="1394" w:type="pct"/>
            <w:vAlign w:val="center"/>
          </w:tcPr>
          <w:p>
            <w:pPr>
              <w:rPr>
                <w:rFonts w:ascii="Times New Roman" w:hAnsi="Times New Roman"/>
              </w:rPr>
            </w:pPr>
            <w:r>
              <w:rPr>
                <w:rFonts w:hint="eastAsia" w:ascii="Times New Roman" w:hAnsi="Times New Roman"/>
              </w:rPr>
              <w:t>区发展改革委、区水利局、区科技局、区规划自然资源局、区住房城乡建委、区城管局、区市场监管局</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91" w:hRule="atLeast"/>
          <w:jc w:val="center"/>
        </w:trPr>
        <w:tc>
          <w:tcPr>
            <w:tcW w:w="257" w:type="pct"/>
            <w:vAlign w:val="center"/>
          </w:tcPr>
          <w:p>
            <w:pPr>
              <w:rPr>
                <w:rFonts w:ascii="Times New Roman" w:hAnsi="Times New Roman"/>
              </w:rPr>
            </w:pPr>
            <w:r>
              <w:rPr>
                <w:rFonts w:ascii="Times New Roman" w:hAnsi="Times New Roman"/>
              </w:rPr>
              <w:t>7</w:t>
            </w:r>
          </w:p>
        </w:tc>
        <w:tc>
          <w:tcPr>
            <w:tcW w:w="401" w:type="pct"/>
            <w:vAlign w:val="center"/>
          </w:tcPr>
          <w:p>
            <w:pPr>
              <w:rPr>
                <w:rFonts w:ascii="Times New Roman" w:hAnsi="Times New Roman"/>
              </w:rPr>
            </w:pPr>
            <w:r>
              <w:rPr>
                <w:rFonts w:hint="eastAsia" w:ascii="Times New Roman" w:hAnsi="Times New Roman"/>
              </w:rPr>
              <w:t>大力推进节水灌溉</w:t>
            </w:r>
          </w:p>
        </w:tc>
        <w:tc>
          <w:tcPr>
            <w:tcW w:w="2542" w:type="pct"/>
            <w:vAlign w:val="center"/>
          </w:tcPr>
          <w:p>
            <w:pPr>
              <w:rPr>
                <w:rFonts w:ascii="Times New Roman" w:hAnsi="Times New Roman"/>
              </w:rPr>
            </w:pPr>
            <w:r>
              <w:rPr>
                <w:rFonts w:hint="eastAsia" w:ascii="Times New Roman" w:hAnsi="Times New Roman"/>
              </w:rPr>
              <w:t>加快灌区续建配套和现代化改造，规模化推进高效节水灌溉。结合高标准农田建设，加大田间节水设施建设力度。开展农业用水精细化管理，加强农业灌溉用水定额管理，推进灌溉试验及成果转化。推广喷灌、微灌、滴灌、低压管道输水灌溉、集雨补灌、水肥一化、覆盖保墒等技术。加强农田土壤墒情监测，推广测墒灌溉。</w:t>
            </w:r>
          </w:p>
        </w:tc>
        <w:tc>
          <w:tcPr>
            <w:tcW w:w="406" w:type="pct"/>
            <w:vAlign w:val="center"/>
          </w:tcPr>
          <w:p>
            <w:pPr>
              <w:rPr>
                <w:rFonts w:ascii="Times New Roman" w:hAnsi="Times New Roman"/>
              </w:rPr>
            </w:pPr>
            <w:r>
              <w:rPr>
                <w:rFonts w:hint="eastAsia" w:ascii="Times New Roman" w:hAnsi="Times New Roman"/>
              </w:rPr>
              <w:t>区农业农村委</w:t>
            </w:r>
          </w:p>
        </w:tc>
        <w:tc>
          <w:tcPr>
            <w:tcW w:w="1394" w:type="pct"/>
            <w:vAlign w:val="center"/>
          </w:tcPr>
          <w:p>
            <w:pPr>
              <w:rPr>
                <w:rFonts w:ascii="Times New Roman" w:hAnsi="Times New Roman"/>
              </w:rPr>
            </w:pPr>
            <w:r>
              <w:rPr>
                <w:rFonts w:hint="eastAsia" w:ascii="Times New Roman" w:hAnsi="Times New Roman"/>
              </w:rPr>
              <w:t>区发展改革委、区水利局、区科技局、区财政局、各镇街</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91" w:hRule="atLeast"/>
          <w:jc w:val="center"/>
        </w:trPr>
        <w:tc>
          <w:tcPr>
            <w:tcW w:w="257" w:type="pct"/>
            <w:vAlign w:val="center"/>
          </w:tcPr>
          <w:p>
            <w:pPr>
              <w:rPr>
                <w:rFonts w:ascii="Times New Roman" w:hAnsi="Times New Roman"/>
              </w:rPr>
            </w:pPr>
            <w:r>
              <w:rPr>
                <w:rFonts w:ascii="Times New Roman" w:hAnsi="Times New Roman"/>
              </w:rPr>
              <w:t>8</w:t>
            </w:r>
          </w:p>
        </w:tc>
        <w:tc>
          <w:tcPr>
            <w:tcW w:w="401" w:type="pct"/>
            <w:vAlign w:val="center"/>
          </w:tcPr>
          <w:p>
            <w:pPr>
              <w:rPr>
                <w:rFonts w:ascii="Times New Roman" w:hAnsi="Times New Roman"/>
              </w:rPr>
            </w:pPr>
            <w:r>
              <w:rPr>
                <w:rFonts w:hint="eastAsia" w:ascii="Times New Roman" w:hAnsi="Times New Roman"/>
              </w:rPr>
              <w:t>加快推进农村生活节水</w:t>
            </w:r>
          </w:p>
        </w:tc>
        <w:tc>
          <w:tcPr>
            <w:tcW w:w="2542" w:type="pct"/>
            <w:vAlign w:val="center"/>
          </w:tcPr>
          <w:p>
            <w:pPr>
              <w:rPr>
                <w:rFonts w:ascii="Times New Roman" w:hAnsi="Times New Roman"/>
              </w:rPr>
            </w:pPr>
            <w:r>
              <w:rPr>
                <w:rFonts w:hint="eastAsia" w:ascii="Times New Roman" w:hAnsi="Times New Roman"/>
              </w:rPr>
              <w:t>在实施农村集中供水、污水处理工程和保障饮用水安全基础上</w:t>
            </w:r>
            <w:r>
              <w:rPr>
                <w:rFonts w:ascii="Times New Roman" w:hAnsi="Times New Roman"/>
              </w:rPr>
              <w:t>,</w:t>
            </w:r>
            <w:r>
              <w:rPr>
                <w:rFonts w:hint="eastAsia" w:ascii="Times New Roman" w:hAnsi="Times New Roman"/>
              </w:rPr>
              <w:t>加强农村生活用水设施改造，在有条件的乡镇和社区推动计量收费。加快村镇生活供水设施及配套管网建设与改造</w:t>
            </w:r>
          </w:p>
        </w:tc>
        <w:tc>
          <w:tcPr>
            <w:tcW w:w="406" w:type="pct"/>
            <w:vAlign w:val="center"/>
          </w:tcPr>
          <w:p>
            <w:pPr>
              <w:rPr>
                <w:rFonts w:ascii="Times New Roman" w:hAnsi="Times New Roman"/>
              </w:rPr>
            </w:pPr>
            <w:r>
              <w:rPr>
                <w:rFonts w:hint="eastAsia" w:ascii="Times New Roman" w:hAnsi="Times New Roman"/>
              </w:rPr>
              <w:t>区水利局</w:t>
            </w:r>
          </w:p>
        </w:tc>
        <w:tc>
          <w:tcPr>
            <w:tcW w:w="1394" w:type="pct"/>
            <w:vAlign w:val="center"/>
          </w:tcPr>
          <w:p>
            <w:pPr>
              <w:rPr>
                <w:rFonts w:ascii="Times New Roman" w:hAnsi="Times New Roman"/>
              </w:rPr>
            </w:pPr>
            <w:r>
              <w:rPr>
                <w:rFonts w:hint="eastAsia" w:ascii="Times New Roman" w:hAnsi="Times New Roman"/>
              </w:rPr>
              <w:t>区发展改革委、区财政局、区农业农村委、区住房城乡建委、各镇街</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91" w:hRule="atLeast"/>
          <w:jc w:val="center"/>
        </w:trPr>
        <w:tc>
          <w:tcPr>
            <w:tcW w:w="257" w:type="pct"/>
            <w:vMerge w:val="restart"/>
            <w:vAlign w:val="center"/>
          </w:tcPr>
          <w:p>
            <w:pPr>
              <w:rPr>
                <w:rFonts w:ascii="Times New Roman" w:hAnsi="Times New Roman"/>
              </w:rPr>
            </w:pPr>
            <w:r>
              <w:rPr>
                <w:rFonts w:ascii="Times New Roman" w:hAnsi="Times New Roman"/>
              </w:rPr>
              <w:t>9</w:t>
            </w:r>
          </w:p>
        </w:tc>
        <w:tc>
          <w:tcPr>
            <w:tcW w:w="401" w:type="pct"/>
            <w:vMerge w:val="restart"/>
            <w:vAlign w:val="center"/>
          </w:tcPr>
          <w:p>
            <w:pPr>
              <w:rPr>
                <w:rFonts w:ascii="Times New Roman" w:hAnsi="Times New Roman"/>
              </w:rPr>
            </w:pPr>
            <w:r>
              <w:rPr>
                <w:rFonts w:hint="eastAsia" w:ascii="Times New Roman" w:hAnsi="Times New Roman"/>
              </w:rPr>
              <w:t>加强用水计量统计</w:t>
            </w:r>
          </w:p>
        </w:tc>
        <w:tc>
          <w:tcPr>
            <w:tcW w:w="2542" w:type="pct"/>
            <w:vAlign w:val="center"/>
          </w:tcPr>
          <w:p>
            <w:pPr>
              <w:rPr>
                <w:rFonts w:ascii="Times New Roman" w:hAnsi="Times New Roman"/>
              </w:rPr>
            </w:pPr>
            <w:r>
              <w:rPr>
                <w:rFonts w:hint="eastAsia" w:ascii="Times New Roman" w:hAnsi="Times New Roman"/>
              </w:rPr>
              <w:t>推进取用水计量统计。建立节水统计调查和基层用水统计管理制度，加强对农业、工业、生活、生态环境补水四类用水户涉水信息管理。</w:t>
            </w:r>
          </w:p>
        </w:tc>
        <w:tc>
          <w:tcPr>
            <w:tcW w:w="406" w:type="pct"/>
            <w:vAlign w:val="center"/>
          </w:tcPr>
          <w:p>
            <w:pPr>
              <w:rPr>
                <w:rFonts w:ascii="Times New Roman" w:hAnsi="Times New Roman"/>
              </w:rPr>
            </w:pPr>
            <w:r>
              <w:rPr>
                <w:rFonts w:hint="eastAsia" w:ascii="Times New Roman" w:hAnsi="Times New Roman"/>
              </w:rPr>
              <w:t>区水利局</w:t>
            </w:r>
          </w:p>
        </w:tc>
        <w:tc>
          <w:tcPr>
            <w:tcW w:w="1394" w:type="pct"/>
            <w:vAlign w:val="center"/>
          </w:tcPr>
          <w:p>
            <w:pPr>
              <w:rPr>
                <w:rFonts w:ascii="Times New Roman" w:hAnsi="Times New Roman"/>
              </w:rPr>
            </w:pPr>
            <w:r>
              <w:rPr>
                <w:rFonts w:hint="eastAsia" w:ascii="Times New Roman" w:hAnsi="Times New Roman"/>
              </w:rPr>
              <w:t>区经济信息委、区城管局、区住房城乡建委、区农业农村委、区市场监管局、区商务委、区统计局</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91" w:hRule="atLeast"/>
          <w:jc w:val="center"/>
        </w:trPr>
        <w:tc>
          <w:tcPr>
            <w:tcW w:w="257" w:type="pct"/>
            <w:vMerge w:val="continue"/>
            <w:vAlign w:val="center"/>
          </w:tcPr>
          <w:p>
            <w:pPr>
              <w:rPr>
                <w:rFonts w:ascii="Times New Roman" w:hAnsi="Times New Roman"/>
              </w:rPr>
            </w:pPr>
          </w:p>
        </w:tc>
        <w:tc>
          <w:tcPr>
            <w:tcW w:w="401" w:type="pct"/>
            <w:vMerge w:val="continue"/>
            <w:vAlign w:val="center"/>
          </w:tcPr>
          <w:p>
            <w:pPr>
              <w:rPr>
                <w:rFonts w:ascii="Times New Roman" w:hAnsi="Times New Roman"/>
              </w:rPr>
            </w:pPr>
          </w:p>
        </w:tc>
        <w:tc>
          <w:tcPr>
            <w:tcW w:w="2542" w:type="pct"/>
            <w:vAlign w:val="center"/>
          </w:tcPr>
          <w:p>
            <w:pPr>
              <w:rPr>
                <w:rFonts w:ascii="Times New Roman" w:hAnsi="Times New Roman"/>
              </w:rPr>
            </w:pPr>
            <w:r>
              <w:rPr>
                <w:rFonts w:hint="eastAsia" w:ascii="Times New Roman" w:hAnsi="Times New Roman"/>
              </w:rPr>
              <w:t>完善农业用水计量设施，提高农业灌溉用水计量率。</w:t>
            </w:r>
          </w:p>
        </w:tc>
        <w:tc>
          <w:tcPr>
            <w:tcW w:w="406" w:type="pct"/>
            <w:vAlign w:val="center"/>
          </w:tcPr>
          <w:p>
            <w:pPr>
              <w:rPr>
                <w:rFonts w:ascii="Times New Roman" w:hAnsi="Times New Roman"/>
              </w:rPr>
            </w:pPr>
            <w:r>
              <w:rPr>
                <w:rFonts w:hint="eastAsia" w:ascii="Times New Roman" w:hAnsi="Times New Roman"/>
              </w:rPr>
              <w:t>区农业农村委、区水利局</w:t>
            </w:r>
          </w:p>
        </w:tc>
        <w:tc>
          <w:tcPr>
            <w:tcW w:w="1394" w:type="pct"/>
            <w:vAlign w:val="center"/>
          </w:tcPr>
          <w:p>
            <w:pPr>
              <w:rPr>
                <w:rFonts w:ascii="Times New Roman" w:hAnsi="Times New Roman"/>
              </w:rPr>
            </w:pPr>
          </w:p>
        </w:tc>
      </w:tr>
      <w:tr>
        <w:tblPrEx>
          <w:tblCellMar>
            <w:top w:w="0" w:type="dxa"/>
            <w:left w:w="108" w:type="dxa"/>
            <w:bottom w:w="0" w:type="dxa"/>
            <w:right w:w="108" w:type="dxa"/>
          </w:tblCellMar>
        </w:tblPrEx>
        <w:trPr>
          <w:trHeight w:val="291" w:hRule="atLeast"/>
          <w:jc w:val="center"/>
        </w:trPr>
        <w:tc>
          <w:tcPr>
            <w:tcW w:w="257" w:type="pct"/>
            <w:vMerge w:val="continue"/>
            <w:vAlign w:val="center"/>
          </w:tcPr>
          <w:p>
            <w:pPr>
              <w:rPr>
                <w:rFonts w:ascii="Times New Roman" w:hAnsi="Times New Roman"/>
              </w:rPr>
            </w:pPr>
          </w:p>
        </w:tc>
        <w:tc>
          <w:tcPr>
            <w:tcW w:w="401" w:type="pct"/>
            <w:vMerge w:val="continue"/>
            <w:vAlign w:val="center"/>
          </w:tcPr>
          <w:p>
            <w:pPr>
              <w:rPr>
                <w:rFonts w:ascii="Times New Roman" w:hAnsi="Times New Roman"/>
              </w:rPr>
            </w:pPr>
          </w:p>
        </w:tc>
        <w:tc>
          <w:tcPr>
            <w:tcW w:w="2542" w:type="pct"/>
            <w:vAlign w:val="center"/>
          </w:tcPr>
          <w:p>
            <w:pPr>
              <w:rPr>
                <w:rFonts w:ascii="Times New Roman" w:hAnsi="Times New Roman"/>
              </w:rPr>
            </w:pPr>
            <w:r>
              <w:rPr>
                <w:rFonts w:hint="eastAsia" w:ascii="Times New Roman" w:hAnsi="Times New Roman"/>
              </w:rPr>
              <w:t>配备工业取用水计量器具，提高工业用水计量率。</w:t>
            </w:r>
          </w:p>
        </w:tc>
        <w:tc>
          <w:tcPr>
            <w:tcW w:w="406" w:type="pct"/>
            <w:vAlign w:val="center"/>
          </w:tcPr>
          <w:p>
            <w:pPr>
              <w:rPr>
                <w:rFonts w:ascii="Times New Roman" w:hAnsi="Times New Roman"/>
              </w:rPr>
            </w:pPr>
            <w:r>
              <w:rPr>
                <w:rFonts w:hint="eastAsia" w:ascii="Times New Roman" w:hAnsi="Times New Roman"/>
              </w:rPr>
              <w:t>区经济信息委</w:t>
            </w:r>
          </w:p>
        </w:tc>
        <w:tc>
          <w:tcPr>
            <w:tcW w:w="1394" w:type="pct"/>
            <w:vAlign w:val="center"/>
          </w:tcPr>
          <w:p>
            <w:pPr>
              <w:rPr>
                <w:rFonts w:ascii="Times New Roman" w:hAnsi="Times New Roman"/>
              </w:rPr>
            </w:pPr>
            <w:r>
              <w:rPr>
                <w:rFonts w:hint="eastAsia" w:ascii="Times New Roman" w:hAnsi="Times New Roman"/>
              </w:rPr>
              <w:t>区水利局、区市场监管局、区城管局</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91" w:hRule="atLeast"/>
          <w:jc w:val="center"/>
        </w:trPr>
        <w:tc>
          <w:tcPr>
            <w:tcW w:w="257" w:type="pct"/>
            <w:vMerge w:val="continue"/>
            <w:vAlign w:val="center"/>
          </w:tcPr>
          <w:p>
            <w:pPr>
              <w:rPr>
                <w:rFonts w:ascii="Times New Roman" w:hAnsi="Times New Roman"/>
              </w:rPr>
            </w:pPr>
          </w:p>
        </w:tc>
        <w:tc>
          <w:tcPr>
            <w:tcW w:w="401" w:type="pct"/>
            <w:vMerge w:val="continue"/>
            <w:vAlign w:val="center"/>
          </w:tcPr>
          <w:p>
            <w:pPr>
              <w:rPr>
                <w:rFonts w:ascii="Times New Roman" w:hAnsi="Times New Roman"/>
              </w:rPr>
            </w:pPr>
          </w:p>
        </w:tc>
        <w:tc>
          <w:tcPr>
            <w:tcW w:w="2542" w:type="pct"/>
            <w:vAlign w:val="center"/>
          </w:tcPr>
          <w:p>
            <w:pPr>
              <w:rPr>
                <w:rFonts w:ascii="Times New Roman" w:hAnsi="Times New Roman"/>
              </w:rPr>
            </w:pPr>
            <w:r>
              <w:rPr>
                <w:rFonts w:hint="eastAsia" w:ascii="Times New Roman" w:hAnsi="Times New Roman"/>
              </w:rPr>
              <w:t>全面实施城镇居民“一户一表”改造。</w:t>
            </w:r>
          </w:p>
        </w:tc>
        <w:tc>
          <w:tcPr>
            <w:tcW w:w="406" w:type="pct"/>
            <w:vAlign w:val="center"/>
          </w:tcPr>
          <w:p>
            <w:pPr>
              <w:rPr>
                <w:rFonts w:ascii="Times New Roman" w:hAnsi="Times New Roman"/>
              </w:rPr>
            </w:pPr>
            <w:r>
              <w:rPr>
                <w:rFonts w:hint="eastAsia" w:ascii="Times New Roman" w:hAnsi="Times New Roman"/>
              </w:rPr>
              <w:t>区住房城乡建委</w:t>
            </w:r>
          </w:p>
        </w:tc>
        <w:tc>
          <w:tcPr>
            <w:tcW w:w="1394" w:type="pct"/>
            <w:vAlign w:val="center"/>
          </w:tcPr>
          <w:p>
            <w:pPr>
              <w:rPr>
                <w:rFonts w:ascii="Times New Roman" w:hAnsi="Times New Roman"/>
              </w:rPr>
            </w:pPr>
            <w:r>
              <w:rPr>
                <w:rFonts w:hint="eastAsia" w:ascii="Times New Roman" w:hAnsi="Times New Roman"/>
              </w:rPr>
              <w:t>区城管局、区水利局</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91" w:hRule="atLeast"/>
          <w:jc w:val="center"/>
        </w:trPr>
        <w:tc>
          <w:tcPr>
            <w:tcW w:w="257" w:type="pct"/>
            <w:vMerge w:val="restart"/>
            <w:vAlign w:val="center"/>
          </w:tcPr>
          <w:p>
            <w:pPr>
              <w:rPr>
                <w:rFonts w:ascii="Times New Roman" w:hAnsi="Times New Roman"/>
              </w:rPr>
            </w:pPr>
            <w:r>
              <w:rPr>
                <w:rFonts w:ascii="Times New Roman" w:hAnsi="Times New Roman"/>
              </w:rPr>
              <w:t>10</w:t>
            </w:r>
          </w:p>
        </w:tc>
        <w:tc>
          <w:tcPr>
            <w:tcW w:w="401" w:type="pct"/>
            <w:vMerge w:val="restart"/>
            <w:vAlign w:val="center"/>
          </w:tcPr>
          <w:p>
            <w:pPr>
              <w:rPr>
                <w:rFonts w:ascii="Times New Roman" w:hAnsi="Times New Roman"/>
              </w:rPr>
            </w:pPr>
            <w:r>
              <w:rPr>
                <w:rFonts w:hint="eastAsia" w:ascii="Times New Roman" w:hAnsi="Times New Roman"/>
              </w:rPr>
              <w:t>强化节水监督管理</w:t>
            </w:r>
          </w:p>
        </w:tc>
        <w:tc>
          <w:tcPr>
            <w:tcW w:w="2542" w:type="pct"/>
            <w:vAlign w:val="center"/>
          </w:tcPr>
          <w:p>
            <w:pPr>
              <w:rPr>
                <w:rFonts w:ascii="Times New Roman" w:hAnsi="Times New Roman"/>
              </w:rPr>
            </w:pPr>
            <w:r>
              <w:rPr>
                <w:rFonts w:hint="eastAsia" w:ascii="Times New Roman" w:hAnsi="Times New Roman"/>
              </w:rPr>
              <w:t>严格实行计划用水监督管理。对重点地区、领域、行业、产品进行专项监督检查。实行用水报告制度，鼓励年用水总量超过</w:t>
            </w:r>
            <w:r>
              <w:rPr>
                <w:rFonts w:ascii="Times New Roman" w:hAnsi="Times New Roman"/>
              </w:rPr>
              <w:t>10</w:t>
            </w:r>
            <w:r>
              <w:rPr>
                <w:rFonts w:hint="eastAsia" w:ascii="Times New Roman" w:hAnsi="Times New Roman"/>
              </w:rPr>
              <w:t>万立方米的企业或园区设立水务经理。建立倒逼机制，将用水户违规记录纳入全国统一的信用信息共享平台。</w:t>
            </w:r>
          </w:p>
        </w:tc>
        <w:tc>
          <w:tcPr>
            <w:tcW w:w="406" w:type="pct"/>
            <w:vAlign w:val="center"/>
          </w:tcPr>
          <w:p>
            <w:pPr>
              <w:rPr>
                <w:rFonts w:ascii="Times New Roman" w:hAnsi="Times New Roman"/>
              </w:rPr>
            </w:pPr>
            <w:r>
              <w:rPr>
                <w:rFonts w:hint="eastAsia" w:ascii="Times New Roman" w:hAnsi="Times New Roman"/>
              </w:rPr>
              <w:t>区水利局</w:t>
            </w:r>
          </w:p>
        </w:tc>
        <w:tc>
          <w:tcPr>
            <w:tcW w:w="1394" w:type="pct"/>
            <w:vAlign w:val="center"/>
          </w:tcPr>
          <w:p>
            <w:pPr>
              <w:rPr>
                <w:rFonts w:ascii="Times New Roman" w:hAnsi="Times New Roman"/>
              </w:rPr>
            </w:pPr>
            <w:r>
              <w:rPr>
                <w:rFonts w:hint="eastAsia" w:ascii="Times New Roman" w:hAnsi="Times New Roman"/>
              </w:rPr>
              <w:t>区发展改革委、区经济信息委、区城管局、区住房城乡建委、区农业农村委、区商务委、区统计局</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91" w:hRule="atLeast"/>
          <w:jc w:val="center"/>
        </w:trPr>
        <w:tc>
          <w:tcPr>
            <w:tcW w:w="257" w:type="pct"/>
            <w:vMerge w:val="continue"/>
            <w:vAlign w:val="center"/>
          </w:tcPr>
          <w:p>
            <w:pPr>
              <w:rPr>
                <w:rFonts w:ascii="Times New Roman" w:hAnsi="Times New Roman"/>
              </w:rPr>
            </w:pPr>
          </w:p>
        </w:tc>
        <w:tc>
          <w:tcPr>
            <w:tcW w:w="401" w:type="pct"/>
            <w:vMerge w:val="continue"/>
            <w:vAlign w:val="center"/>
          </w:tcPr>
          <w:p>
            <w:pPr>
              <w:rPr>
                <w:rFonts w:ascii="Times New Roman" w:hAnsi="Times New Roman"/>
              </w:rPr>
            </w:pPr>
          </w:p>
        </w:tc>
        <w:tc>
          <w:tcPr>
            <w:tcW w:w="2542" w:type="pct"/>
            <w:vAlign w:val="center"/>
          </w:tcPr>
          <w:p>
            <w:pPr>
              <w:rPr>
                <w:rFonts w:ascii="Times New Roman" w:hAnsi="Times New Roman"/>
              </w:rPr>
            </w:pPr>
            <w:r>
              <w:rPr>
                <w:rFonts w:hint="eastAsia" w:ascii="Times New Roman" w:hAnsi="Times New Roman"/>
              </w:rPr>
              <w:t>城市公共供水管网的计划用水监督管理、专项监督检查、用水报告制度、重点单位监控用水。</w:t>
            </w:r>
          </w:p>
        </w:tc>
        <w:tc>
          <w:tcPr>
            <w:tcW w:w="406" w:type="pct"/>
            <w:vAlign w:val="center"/>
          </w:tcPr>
          <w:p>
            <w:pPr>
              <w:rPr>
                <w:rFonts w:ascii="Times New Roman" w:hAnsi="Times New Roman"/>
              </w:rPr>
            </w:pPr>
            <w:r>
              <w:rPr>
                <w:rFonts w:hint="eastAsia" w:ascii="Times New Roman" w:hAnsi="Times New Roman"/>
              </w:rPr>
              <w:t>区城管局</w:t>
            </w:r>
          </w:p>
        </w:tc>
        <w:tc>
          <w:tcPr>
            <w:tcW w:w="1394" w:type="pct"/>
            <w:vAlign w:val="center"/>
          </w:tcPr>
          <w:p>
            <w:pPr>
              <w:rPr>
                <w:rFonts w:ascii="Times New Roman" w:hAnsi="Times New Roman"/>
              </w:rPr>
            </w:pPr>
            <w:r>
              <w:rPr>
                <w:rFonts w:hint="eastAsia" w:ascii="Times New Roman" w:hAnsi="Times New Roman"/>
              </w:rPr>
              <w:t>区发展改革委、区经济信息委、区水利局、区农业农村委、区住房城乡建委、区商务委</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91" w:hRule="atLeast"/>
          <w:jc w:val="center"/>
        </w:trPr>
        <w:tc>
          <w:tcPr>
            <w:tcW w:w="257" w:type="pct"/>
            <w:vAlign w:val="center"/>
          </w:tcPr>
          <w:p>
            <w:pPr>
              <w:rPr>
                <w:rFonts w:ascii="Times New Roman" w:hAnsi="Times New Roman"/>
              </w:rPr>
            </w:pPr>
            <w:r>
              <w:rPr>
                <w:rFonts w:ascii="Times New Roman" w:hAnsi="Times New Roman"/>
              </w:rPr>
              <w:t>11</w:t>
            </w:r>
          </w:p>
        </w:tc>
        <w:tc>
          <w:tcPr>
            <w:tcW w:w="401" w:type="pct"/>
            <w:vAlign w:val="center"/>
          </w:tcPr>
          <w:p>
            <w:pPr>
              <w:rPr>
                <w:rFonts w:ascii="Times New Roman" w:hAnsi="Times New Roman"/>
              </w:rPr>
            </w:pPr>
            <w:r>
              <w:rPr>
                <w:rFonts w:hint="eastAsia" w:ascii="Times New Roman" w:hAnsi="Times New Roman"/>
              </w:rPr>
              <w:t>推动合同节水管理</w:t>
            </w:r>
          </w:p>
        </w:tc>
        <w:tc>
          <w:tcPr>
            <w:tcW w:w="2542" w:type="pct"/>
            <w:vAlign w:val="center"/>
          </w:tcPr>
          <w:p>
            <w:pPr>
              <w:rPr>
                <w:rFonts w:ascii="Times New Roman" w:hAnsi="Times New Roman"/>
              </w:rPr>
            </w:pPr>
            <w:r>
              <w:rPr>
                <w:rFonts w:hint="eastAsia" w:ascii="Times New Roman" w:hAnsi="Times New Roman"/>
              </w:rPr>
              <w:t>创新节水服务模式，建立节水装备及产品的质量评级和市场准入制度，完善工业水循环利用设施、集中建筑中水设施委托运营服务机制，在公共机构、公共建筑、高耗水工业、高耗水服务业、农业灌溉、供水管网漏损控制等领域，引导和推动合同节水管理。开展节水设计、改造、计量和咨询等服务，提供整体解决方案。拓展投融资渠道，整合市场资源要素，为节水改造和管理提供服务。</w:t>
            </w:r>
          </w:p>
        </w:tc>
        <w:tc>
          <w:tcPr>
            <w:tcW w:w="406" w:type="pct"/>
            <w:vAlign w:val="center"/>
          </w:tcPr>
          <w:p>
            <w:pPr>
              <w:rPr>
                <w:rFonts w:ascii="Times New Roman" w:hAnsi="Times New Roman"/>
              </w:rPr>
            </w:pPr>
            <w:r>
              <w:rPr>
                <w:rFonts w:hint="eastAsia" w:ascii="Times New Roman" w:hAnsi="Times New Roman"/>
              </w:rPr>
              <w:t>区水利局</w:t>
            </w:r>
          </w:p>
        </w:tc>
        <w:tc>
          <w:tcPr>
            <w:tcW w:w="1394" w:type="pct"/>
            <w:vAlign w:val="center"/>
          </w:tcPr>
          <w:p>
            <w:pPr>
              <w:rPr>
                <w:rFonts w:ascii="Times New Roman" w:hAnsi="Times New Roman"/>
              </w:rPr>
            </w:pPr>
            <w:r>
              <w:rPr>
                <w:rFonts w:hint="eastAsia" w:ascii="Times New Roman" w:hAnsi="Times New Roman"/>
              </w:rPr>
              <w:t>区教委、区发展改革委、区经济信息委、区机关事务中心、区城管局、区住房城乡建委、区农业农村委、区市场监管局</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91" w:hRule="atLeast"/>
          <w:jc w:val="center"/>
        </w:trPr>
        <w:tc>
          <w:tcPr>
            <w:tcW w:w="257" w:type="pct"/>
            <w:vMerge w:val="restart"/>
            <w:vAlign w:val="center"/>
          </w:tcPr>
          <w:p>
            <w:pPr>
              <w:rPr>
                <w:rFonts w:ascii="Times New Roman" w:hAnsi="Times New Roman"/>
              </w:rPr>
            </w:pPr>
            <w:r>
              <w:rPr>
                <w:rFonts w:ascii="Times New Roman" w:hAnsi="Times New Roman"/>
              </w:rPr>
              <w:t>12</w:t>
            </w:r>
          </w:p>
        </w:tc>
        <w:tc>
          <w:tcPr>
            <w:tcW w:w="401" w:type="pct"/>
            <w:vMerge w:val="restart"/>
            <w:vAlign w:val="center"/>
          </w:tcPr>
          <w:p>
            <w:pPr>
              <w:rPr>
                <w:rFonts w:ascii="Times New Roman" w:hAnsi="Times New Roman"/>
              </w:rPr>
            </w:pPr>
            <w:r>
              <w:rPr>
                <w:rFonts w:hint="eastAsia" w:ascii="Times New Roman" w:hAnsi="Times New Roman"/>
              </w:rPr>
              <w:t>提升节水意识</w:t>
            </w:r>
          </w:p>
        </w:tc>
        <w:tc>
          <w:tcPr>
            <w:tcW w:w="2542" w:type="pct"/>
            <w:vAlign w:val="center"/>
          </w:tcPr>
          <w:p>
            <w:pPr>
              <w:rPr>
                <w:rFonts w:ascii="Times New Roman" w:hAnsi="Times New Roman"/>
              </w:rPr>
            </w:pPr>
            <w:r>
              <w:rPr>
                <w:rFonts w:hint="eastAsia" w:ascii="Times New Roman" w:hAnsi="Times New Roman"/>
              </w:rPr>
              <w:t>加强国情市情区情水情教育，逐步将节水纳入宣传、国民素质教育和中小学教育活动，向全民普及节水知识。加强高校节水相关专业人才培养。开展世界水日、中国水周、城市节水宣传周等形式多样的主题宣传活动，倡导简约适度的消费模式，提高全民节水意识。鼓励各相关领域开展节水型社会、节水型单位等创建活动。</w:t>
            </w:r>
          </w:p>
        </w:tc>
        <w:tc>
          <w:tcPr>
            <w:tcW w:w="406" w:type="pct"/>
            <w:vAlign w:val="center"/>
          </w:tcPr>
          <w:p>
            <w:pPr>
              <w:rPr>
                <w:rFonts w:ascii="Times New Roman" w:hAnsi="Times New Roman"/>
              </w:rPr>
            </w:pPr>
            <w:r>
              <w:rPr>
                <w:rFonts w:hint="eastAsia" w:ascii="Times New Roman" w:hAnsi="Times New Roman"/>
              </w:rPr>
              <w:t>区水利局</w:t>
            </w:r>
          </w:p>
        </w:tc>
        <w:tc>
          <w:tcPr>
            <w:tcW w:w="1394" w:type="pct"/>
            <w:vAlign w:val="center"/>
          </w:tcPr>
          <w:p>
            <w:pPr>
              <w:rPr>
                <w:rFonts w:ascii="Times New Roman" w:hAnsi="Times New Roman"/>
              </w:rPr>
            </w:pPr>
            <w:r>
              <w:rPr>
                <w:rFonts w:hint="eastAsia" w:ascii="Times New Roman" w:hAnsi="Times New Roman"/>
              </w:rPr>
              <w:t>区发展改革委、区教委、区住房城乡建委、区城管局、区农业农村委、区机关事务中心、区委宣传部、团区委</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91" w:hRule="atLeast"/>
          <w:jc w:val="center"/>
        </w:trPr>
        <w:tc>
          <w:tcPr>
            <w:tcW w:w="257" w:type="pct"/>
            <w:vMerge w:val="continue"/>
            <w:vAlign w:val="center"/>
          </w:tcPr>
          <w:p>
            <w:pPr>
              <w:rPr>
                <w:rFonts w:ascii="Times New Roman" w:hAnsi="Times New Roman"/>
              </w:rPr>
            </w:pPr>
          </w:p>
        </w:tc>
        <w:tc>
          <w:tcPr>
            <w:tcW w:w="401" w:type="pct"/>
            <w:vMerge w:val="continue"/>
            <w:vAlign w:val="center"/>
          </w:tcPr>
          <w:p>
            <w:pPr>
              <w:rPr>
                <w:rFonts w:ascii="Times New Roman" w:hAnsi="Times New Roman"/>
              </w:rPr>
            </w:pPr>
          </w:p>
        </w:tc>
        <w:tc>
          <w:tcPr>
            <w:tcW w:w="2542" w:type="pct"/>
            <w:vAlign w:val="center"/>
          </w:tcPr>
          <w:p>
            <w:pPr>
              <w:rPr>
                <w:rFonts w:ascii="Times New Roman" w:hAnsi="Times New Roman"/>
              </w:rPr>
            </w:pPr>
            <w:r>
              <w:rPr>
                <w:rFonts w:hint="eastAsia" w:ascii="Times New Roman" w:hAnsi="Times New Roman"/>
              </w:rPr>
              <w:t>积极开展节水青年志愿者活动和“节水使者”评选活动。</w:t>
            </w:r>
          </w:p>
        </w:tc>
        <w:tc>
          <w:tcPr>
            <w:tcW w:w="406" w:type="pct"/>
            <w:vAlign w:val="center"/>
          </w:tcPr>
          <w:p>
            <w:pPr>
              <w:rPr>
                <w:rFonts w:ascii="Times New Roman" w:hAnsi="Times New Roman"/>
              </w:rPr>
            </w:pPr>
            <w:r>
              <w:rPr>
                <w:rFonts w:hint="eastAsia" w:ascii="Times New Roman" w:hAnsi="Times New Roman"/>
              </w:rPr>
              <w:t>团区委区</w:t>
            </w:r>
          </w:p>
        </w:tc>
        <w:tc>
          <w:tcPr>
            <w:tcW w:w="1394" w:type="pct"/>
            <w:vAlign w:val="center"/>
          </w:tcPr>
          <w:p>
            <w:pPr>
              <w:rPr>
                <w:rFonts w:ascii="Times New Roman" w:hAnsi="Times New Roman"/>
              </w:rPr>
            </w:pPr>
            <w:r>
              <w:rPr>
                <w:rFonts w:hint="eastAsia" w:ascii="Times New Roman" w:hAnsi="Times New Roman"/>
              </w:rPr>
              <w:t>水利局、区教委</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91" w:hRule="atLeast"/>
          <w:jc w:val="center"/>
        </w:trPr>
        <w:tc>
          <w:tcPr>
            <w:tcW w:w="257" w:type="pct"/>
            <w:vMerge w:val="continue"/>
            <w:vAlign w:val="center"/>
          </w:tcPr>
          <w:p>
            <w:pPr>
              <w:rPr>
                <w:rFonts w:ascii="Times New Roman" w:hAnsi="Times New Roman"/>
              </w:rPr>
            </w:pPr>
          </w:p>
        </w:tc>
        <w:tc>
          <w:tcPr>
            <w:tcW w:w="401" w:type="pct"/>
            <w:vMerge w:val="continue"/>
            <w:vAlign w:val="center"/>
          </w:tcPr>
          <w:p>
            <w:pPr>
              <w:rPr>
                <w:rFonts w:ascii="Times New Roman" w:hAnsi="Times New Roman"/>
              </w:rPr>
            </w:pPr>
          </w:p>
        </w:tc>
        <w:tc>
          <w:tcPr>
            <w:tcW w:w="2542" w:type="pct"/>
            <w:vAlign w:val="center"/>
          </w:tcPr>
          <w:p>
            <w:pPr>
              <w:rPr>
                <w:rFonts w:ascii="Times New Roman" w:hAnsi="Times New Roman"/>
              </w:rPr>
            </w:pPr>
            <w:r>
              <w:rPr>
                <w:rFonts w:hint="eastAsia" w:ascii="Times New Roman" w:hAnsi="Times New Roman"/>
              </w:rPr>
              <w:t>在中小学开展“节水小使者”评选活动等形式多样的主题宣传活动。</w:t>
            </w:r>
          </w:p>
        </w:tc>
        <w:tc>
          <w:tcPr>
            <w:tcW w:w="406" w:type="pct"/>
            <w:vAlign w:val="center"/>
          </w:tcPr>
          <w:p>
            <w:pPr>
              <w:rPr>
                <w:rFonts w:ascii="Times New Roman" w:hAnsi="Times New Roman"/>
              </w:rPr>
            </w:pPr>
            <w:r>
              <w:rPr>
                <w:rFonts w:hint="eastAsia" w:ascii="Times New Roman" w:hAnsi="Times New Roman"/>
              </w:rPr>
              <w:t>区教委</w:t>
            </w:r>
          </w:p>
        </w:tc>
        <w:tc>
          <w:tcPr>
            <w:tcW w:w="1394" w:type="pct"/>
            <w:vAlign w:val="center"/>
          </w:tcPr>
          <w:p>
            <w:pPr>
              <w:rPr>
                <w:rFonts w:ascii="Times New Roman" w:hAnsi="Times New Roman"/>
              </w:rPr>
            </w:pPr>
            <w:r>
              <w:rPr>
                <w:rFonts w:hint="eastAsia" w:ascii="Times New Roman" w:hAnsi="Times New Roman"/>
              </w:rPr>
              <w:t>区水利局、团区委</w:t>
            </w:r>
          </w:p>
        </w:tc>
      </w:tr>
      <w:bookmarkEnd w:id="104"/>
    </w:tbl>
    <w:p>
      <w:pPr>
        <w:widowControl/>
        <w:jc w:val="left"/>
        <w:rPr>
          <w:rFonts w:ascii="Times New Roman" w:hAnsi="Times New Roman"/>
          <w:color w:val="0070C0"/>
        </w:rPr>
      </w:pPr>
    </w:p>
    <w:p>
      <w:pPr>
        <w:widowControl/>
        <w:jc w:val="left"/>
        <w:rPr>
          <w:rFonts w:ascii="Times New Roman" w:hAnsi="Times New Roman"/>
          <w:color w:val="0070C0"/>
        </w:rPr>
      </w:pPr>
    </w:p>
    <w:p>
      <w:pPr>
        <w:widowControl/>
        <w:jc w:val="left"/>
        <w:rPr>
          <w:rFonts w:ascii="Times New Roman" w:hAnsi="Times New Roman"/>
          <w:color w:val="0070C0"/>
        </w:rPr>
        <w:sectPr>
          <w:pgSz w:w="16838" w:h="11906" w:orient="landscape"/>
          <w:pgMar w:top="1800" w:right="1440" w:bottom="1800" w:left="1440" w:header="851" w:footer="992" w:gutter="0"/>
          <w:cols w:space="425" w:num="1"/>
          <w:docGrid w:type="lines" w:linePitch="312" w:charSpace="0"/>
        </w:sectPr>
      </w:pPr>
    </w:p>
    <w:p>
      <w:pPr>
        <w:widowControl/>
        <w:jc w:val="left"/>
        <w:rPr>
          <w:rFonts w:ascii="Times New Roman" w:hAnsi="Times New Roman"/>
          <w:color w:val="0070C0"/>
        </w:rPr>
        <w:sectPr>
          <w:pgSz w:w="11906" w:h="16838"/>
          <w:pgMar w:top="1440" w:right="1800" w:bottom="1440" w:left="1800" w:header="851" w:footer="992" w:gutter="0"/>
          <w:cols w:space="425" w:num="1"/>
          <w:docGrid w:type="lines" w:linePitch="312" w:charSpace="0"/>
        </w:sectPr>
      </w:pPr>
    </w:p>
    <w:p>
      <w:pPr>
        <w:keepNext/>
        <w:keepLines/>
        <w:spacing w:before="340" w:after="330" w:line="576" w:lineRule="auto"/>
        <w:ind w:firstLine="723" w:firstLineChars="200"/>
        <w:jc w:val="center"/>
        <w:outlineLvl w:val="0"/>
        <w:rPr>
          <w:rFonts w:ascii="宋体" w:cs="宋体"/>
          <w:b/>
          <w:bCs/>
          <w:kern w:val="44"/>
          <w:sz w:val="36"/>
          <w:szCs w:val="36"/>
        </w:rPr>
      </w:pPr>
      <w:bookmarkStart w:id="105" w:name="_Toc61605780"/>
      <w:bookmarkStart w:id="106" w:name="_Toc90482810"/>
      <w:bookmarkStart w:id="107" w:name="_Toc63757718"/>
      <w:r>
        <w:rPr>
          <w:rFonts w:ascii="宋体" w:hAnsi="宋体" w:cs="宋体"/>
          <w:b/>
          <w:bCs/>
          <w:kern w:val="44"/>
          <w:sz w:val="36"/>
          <w:szCs w:val="36"/>
        </w:rPr>
        <w:t xml:space="preserve">8 </w:t>
      </w:r>
      <w:r>
        <w:rPr>
          <w:rFonts w:hint="eastAsia" w:ascii="宋体" w:hAnsi="宋体" w:cs="宋体"/>
          <w:b/>
          <w:bCs/>
          <w:kern w:val="44"/>
          <w:sz w:val="36"/>
          <w:szCs w:val="36"/>
        </w:rPr>
        <w:t>实施效果评价</w:t>
      </w:r>
      <w:bookmarkEnd w:id="105"/>
      <w:bookmarkEnd w:id="106"/>
    </w:p>
    <w:p>
      <w:pPr>
        <w:keepNext/>
        <w:keepLines/>
        <w:spacing w:before="260" w:after="260" w:line="413" w:lineRule="auto"/>
        <w:ind w:firstLine="281" w:firstLineChars="100"/>
        <w:outlineLvl w:val="1"/>
        <w:rPr>
          <w:rFonts w:ascii="宋体" w:cs="宋体"/>
          <w:b/>
          <w:bCs/>
          <w:kern w:val="44"/>
          <w:sz w:val="28"/>
          <w:szCs w:val="28"/>
        </w:rPr>
      </w:pPr>
      <w:bookmarkStart w:id="108" w:name="_Toc61605781"/>
      <w:bookmarkStart w:id="109" w:name="_Toc90482811"/>
      <w:r>
        <w:rPr>
          <w:rFonts w:ascii="宋体" w:hAnsi="宋体" w:cs="宋体"/>
          <w:b/>
          <w:bCs/>
          <w:kern w:val="44"/>
          <w:sz w:val="28"/>
          <w:szCs w:val="28"/>
        </w:rPr>
        <w:t xml:space="preserve">8.1 </w:t>
      </w:r>
      <w:r>
        <w:rPr>
          <w:rFonts w:hint="eastAsia" w:ascii="宋体" w:hAnsi="宋体" w:cs="宋体"/>
          <w:b/>
          <w:bCs/>
          <w:kern w:val="44"/>
          <w:sz w:val="28"/>
          <w:szCs w:val="28"/>
        </w:rPr>
        <w:t>经济效益</w:t>
      </w:r>
      <w:bookmarkEnd w:id="108"/>
      <w:bookmarkEnd w:id="109"/>
    </w:p>
    <w:p>
      <w:pPr>
        <w:topLinePunct/>
        <w:ind w:firstLine="560" w:firstLineChars="200"/>
        <w:rPr>
          <w:rFonts w:ascii="Times New Roman" w:hAnsi="Times New Roman"/>
          <w:sz w:val="28"/>
          <w:szCs w:val="28"/>
        </w:rPr>
      </w:pPr>
      <w:r>
        <w:rPr>
          <w:rFonts w:hint="eastAsia" w:ascii="Times New Roman" w:hAnsi="Times New Roman"/>
          <w:sz w:val="28"/>
          <w:szCs w:val="28"/>
        </w:rPr>
        <w:t>根据分析测算，规划实施后，重庆市渝北区水资源利用效率显著提高，到</w:t>
      </w:r>
      <w:r>
        <w:rPr>
          <w:rFonts w:ascii="Times New Roman" w:hAnsi="Times New Roman"/>
          <w:sz w:val="28"/>
          <w:szCs w:val="28"/>
        </w:rPr>
        <w:t>2025</w:t>
      </w:r>
      <w:r>
        <w:rPr>
          <w:rFonts w:hint="eastAsia" w:ascii="Times New Roman" w:hAnsi="Times New Roman"/>
          <w:sz w:val="28"/>
          <w:szCs w:val="28"/>
        </w:rPr>
        <w:t>年，全区万元</w:t>
      </w:r>
      <w:r>
        <w:rPr>
          <w:rFonts w:ascii="Times New Roman" w:hAnsi="Times New Roman"/>
          <w:sz w:val="28"/>
          <w:szCs w:val="28"/>
        </w:rPr>
        <w:t>GDP</w:t>
      </w:r>
      <w:r>
        <w:rPr>
          <w:rFonts w:hint="eastAsia" w:ascii="Times New Roman" w:hAnsi="Times New Roman"/>
          <w:sz w:val="28"/>
          <w:szCs w:val="28"/>
        </w:rPr>
        <w:t>用水量由</w:t>
      </w:r>
      <w:r>
        <w:rPr>
          <w:rFonts w:ascii="Times New Roman" w:hAnsi="Times New Roman"/>
          <w:sz w:val="28"/>
          <w:szCs w:val="28"/>
        </w:rPr>
        <w:t>2020</w:t>
      </w:r>
      <w:r>
        <w:rPr>
          <w:rFonts w:hint="eastAsia" w:ascii="Times New Roman" w:hAnsi="Times New Roman"/>
          <w:sz w:val="28"/>
          <w:szCs w:val="28"/>
        </w:rPr>
        <w:t>年的</w:t>
      </w:r>
      <w:r>
        <w:rPr>
          <w:rFonts w:ascii="Times New Roman" w:hAnsi="Times New Roman"/>
          <w:sz w:val="28"/>
          <w:szCs w:val="28"/>
        </w:rPr>
        <w:t>13 m</w:t>
      </w:r>
      <w:r>
        <w:rPr>
          <w:rFonts w:ascii="Times New Roman" w:hAnsi="Times New Roman"/>
          <w:sz w:val="28"/>
          <w:szCs w:val="28"/>
          <w:vertAlign w:val="superscript"/>
        </w:rPr>
        <w:t>3</w:t>
      </w:r>
      <w:r>
        <w:rPr>
          <w:rFonts w:hint="eastAsia" w:ascii="Times New Roman" w:hAnsi="Times New Roman"/>
          <w:sz w:val="28"/>
          <w:szCs w:val="28"/>
        </w:rPr>
        <w:t>下降</w:t>
      </w:r>
      <w:r>
        <w:rPr>
          <w:rFonts w:ascii="Times New Roman" w:hAnsi="Times New Roman"/>
          <w:sz w:val="28"/>
          <w:szCs w:val="28"/>
        </w:rPr>
        <w:t>5%</w:t>
      </w:r>
      <w:r>
        <w:rPr>
          <w:rFonts w:hint="eastAsia" w:ascii="Times New Roman" w:hAnsi="Times New Roman"/>
          <w:sz w:val="28"/>
          <w:szCs w:val="28"/>
        </w:rPr>
        <w:t>，万元工业增加值用水量由</w:t>
      </w:r>
      <w:r>
        <w:rPr>
          <w:rFonts w:ascii="Times New Roman" w:hAnsi="Times New Roman"/>
          <w:sz w:val="28"/>
          <w:szCs w:val="28"/>
        </w:rPr>
        <w:t>2020</w:t>
      </w:r>
      <w:r>
        <w:rPr>
          <w:rFonts w:hint="eastAsia" w:ascii="Times New Roman" w:hAnsi="Times New Roman"/>
          <w:sz w:val="28"/>
          <w:szCs w:val="28"/>
        </w:rPr>
        <w:t>年的</w:t>
      </w:r>
      <w:r>
        <w:rPr>
          <w:rFonts w:ascii="Times New Roman" w:hAnsi="Times New Roman"/>
          <w:sz w:val="28"/>
          <w:szCs w:val="28"/>
        </w:rPr>
        <w:t>12 m</w:t>
      </w:r>
      <w:r>
        <w:rPr>
          <w:rFonts w:ascii="Times New Roman" w:hAnsi="Times New Roman"/>
          <w:sz w:val="28"/>
          <w:szCs w:val="28"/>
          <w:vertAlign w:val="superscript"/>
        </w:rPr>
        <w:t>3</w:t>
      </w:r>
      <w:r>
        <w:rPr>
          <w:rFonts w:hint="eastAsia" w:ascii="Times New Roman" w:hAnsi="Times New Roman"/>
          <w:sz w:val="28"/>
          <w:szCs w:val="28"/>
        </w:rPr>
        <w:t>下降</w:t>
      </w:r>
      <w:r>
        <w:rPr>
          <w:rFonts w:ascii="Times New Roman" w:hAnsi="Times New Roman"/>
          <w:sz w:val="28"/>
          <w:szCs w:val="28"/>
        </w:rPr>
        <w:t>5%</w:t>
      </w:r>
      <w:r>
        <w:rPr>
          <w:rFonts w:hint="eastAsia" w:ascii="Times New Roman" w:hAnsi="Times New Roman"/>
          <w:sz w:val="28"/>
          <w:szCs w:val="28"/>
        </w:rPr>
        <w:t>，农田灌溉水有效利用系数由</w:t>
      </w:r>
      <w:r>
        <w:rPr>
          <w:rFonts w:ascii="Times New Roman" w:hAnsi="Times New Roman"/>
          <w:sz w:val="28"/>
          <w:szCs w:val="28"/>
        </w:rPr>
        <w:t>2020</w:t>
      </w:r>
      <w:r>
        <w:rPr>
          <w:rFonts w:hint="eastAsia" w:ascii="Times New Roman" w:hAnsi="Times New Roman"/>
          <w:sz w:val="28"/>
          <w:szCs w:val="28"/>
        </w:rPr>
        <w:t>年的</w:t>
      </w:r>
      <w:r>
        <w:rPr>
          <w:rFonts w:ascii="Times New Roman" w:hAnsi="Times New Roman"/>
          <w:sz w:val="28"/>
          <w:szCs w:val="28"/>
        </w:rPr>
        <w:t>0.5043</w:t>
      </w:r>
      <w:r>
        <w:rPr>
          <w:rFonts w:hint="eastAsia" w:ascii="Times New Roman" w:hAnsi="Times New Roman"/>
          <w:sz w:val="28"/>
          <w:szCs w:val="28"/>
        </w:rPr>
        <w:t>提高到</w:t>
      </w:r>
      <w:r>
        <w:rPr>
          <w:rFonts w:ascii="Times New Roman" w:hAnsi="Times New Roman"/>
          <w:sz w:val="28"/>
          <w:szCs w:val="28"/>
        </w:rPr>
        <w:t>0.5160</w:t>
      </w:r>
      <w:r>
        <w:rPr>
          <w:rFonts w:hint="eastAsia" w:ascii="Times New Roman" w:hAnsi="Times New Roman"/>
          <w:sz w:val="28"/>
          <w:szCs w:val="28"/>
        </w:rPr>
        <w:t>，提高</w:t>
      </w:r>
      <w:r>
        <w:rPr>
          <w:rFonts w:ascii="Times New Roman" w:hAnsi="Times New Roman"/>
          <w:sz w:val="28"/>
          <w:szCs w:val="28"/>
        </w:rPr>
        <w:t>2.32%</w:t>
      </w:r>
      <w:r>
        <w:rPr>
          <w:rFonts w:hint="eastAsia" w:ascii="Times New Roman" w:hAnsi="Times New Roman"/>
          <w:sz w:val="28"/>
          <w:szCs w:val="28"/>
        </w:rPr>
        <w:t>。通过强化水资源管理体系、合理调整产业结构以及构建节水社会规范体系，农业高效节水灌溉增产，城市节水降损，工业节水增效，同时促进区域内再生水回用和污水的有效处理，水资源节约将带动全社会经济效应显著提升。</w:t>
      </w:r>
    </w:p>
    <w:p>
      <w:pPr>
        <w:keepNext/>
        <w:keepLines/>
        <w:spacing w:before="260" w:after="260" w:line="413" w:lineRule="auto"/>
        <w:ind w:firstLine="281" w:firstLineChars="100"/>
        <w:outlineLvl w:val="1"/>
        <w:rPr>
          <w:rFonts w:ascii="宋体" w:cs="宋体"/>
          <w:b/>
          <w:bCs/>
          <w:kern w:val="44"/>
          <w:sz w:val="28"/>
          <w:szCs w:val="28"/>
        </w:rPr>
      </w:pPr>
      <w:bookmarkStart w:id="110" w:name="_Toc90482812"/>
      <w:r>
        <w:rPr>
          <w:rFonts w:ascii="宋体" w:hAnsi="宋体" w:cs="宋体"/>
          <w:b/>
          <w:bCs/>
          <w:kern w:val="44"/>
          <w:sz w:val="28"/>
          <w:szCs w:val="28"/>
        </w:rPr>
        <w:t xml:space="preserve">8.2 </w:t>
      </w:r>
      <w:r>
        <w:rPr>
          <w:rFonts w:hint="eastAsia" w:ascii="宋体" w:hAnsi="宋体" w:cs="宋体"/>
          <w:b/>
          <w:bCs/>
          <w:kern w:val="44"/>
          <w:sz w:val="28"/>
          <w:szCs w:val="28"/>
        </w:rPr>
        <w:t>社会效益</w:t>
      </w:r>
      <w:bookmarkEnd w:id="110"/>
    </w:p>
    <w:p>
      <w:pPr>
        <w:topLinePunct/>
        <w:ind w:firstLine="560" w:firstLineChars="200"/>
        <w:rPr>
          <w:rFonts w:ascii="Times New Roman" w:hAnsi="Times New Roman"/>
          <w:sz w:val="28"/>
          <w:szCs w:val="28"/>
        </w:rPr>
      </w:pPr>
      <w:r>
        <w:rPr>
          <w:rFonts w:hint="eastAsia" w:ascii="Times New Roman" w:hAnsi="Times New Roman"/>
          <w:sz w:val="28"/>
          <w:szCs w:val="28"/>
        </w:rPr>
        <w:t>节水不是简单地压缩经济社会用水，而是在充分保证经济社会发展用水需求，客观分析经济社会发展与水资源供需关系的基础上，通过技术、管理、法律、行政等手段，节约水资源。促进发展方式转变，产业结构的调整及优化升级，使经济结构与水资源承载能力相适应。节水规划的实施，将进一步提高水资源利用效率和效益，有效控制用水需求，缓解区域水资源供需矛盾，推动新农村建设、促进经济增长方式的转变、促进经济社会又好又快发展，以及规范用水秩序、避免水事纠纷、促进社会稳定，同时促进社会公众资源节约和环境保护意识提高、促进经济社会可持续发展等。</w:t>
      </w:r>
    </w:p>
    <w:p>
      <w:pPr>
        <w:keepNext/>
        <w:keepLines/>
        <w:spacing w:before="260" w:after="260" w:line="413" w:lineRule="auto"/>
        <w:ind w:firstLine="281" w:firstLineChars="100"/>
        <w:outlineLvl w:val="1"/>
        <w:rPr>
          <w:rFonts w:ascii="宋体" w:cs="宋体"/>
          <w:b/>
          <w:bCs/>
          <w:kern w:val="44"/>
          <w:sz w:val="28"/>
          <w:szCs w:val="28"/>
        </w:rPr>
      </w:pPr>
      <w:bookmarkStart w:id="111" w:name="_Toc61605787"/>
      <w:bookmarkStart w:id="112" w:name="_Toc90482813"/>
      <w:r>
        <w:rPr>
          <w:rFonts w:ascii="宋体" w:hAnsi="宋体" w:cs="宋体"/>
          <w:b/>
          <w:bCs/>
          <w:kern w:val="44"/>
          <w:sz w:val="28"/>
          <w:szCs w:val="28"/>
        </w:rPr>
        <w:t xml:space="preserve">8.3 </w:t>
      </w:r>
      <w:r>
        <w:rPr>
          <w:rFonts w:hint="eastAsia" w:ascii="宋体" w:hAnsi="宋体" w:cs="宋体"/>
          <w:b/>
          <w:bCs/>
          <w:kern w:val="44"/>
          <w:sz w:val="28"/>
          <w:szCs w:val="28"/>
        </w:rPr>
        <w:t>生态效益</w:t>
      </w:r>
      <w:bookmarkEnd w:id="111"/>
      <w:bookmarkEnd w:id="112"/>
    </w:p>
    <w:p>
      <w:pPr>
        <w:spacing w:line="540" w:lineRule="exact"/>
        <w:ind w:firstLine="560" w:firstLineChars="200"/>
        <w:rPr>
          <w:rFonts w:ascii="宋体" w:cs="宋体"/>
          <w:sz w:val="28"/>
          <w:szCs w:val="28"/>
        </w:rPr>
      </w:pPr>
      <w:r>
        <w:rPr>
          <w:rFonts w:hint="eastAsia" w:ascii="宋体" w:hAnsi="宋体" w:cs="宋体"/>
          <w:sz w:val="28"/>
          <w:szCs w:val="28"/>
        </w:rPr>
        <w:t>生态与环境效益在降低经济社会发展取水量的同时，维持了基本生态用水，减少排污量的同时改善生态与环境，提高水资源承载能力，促进水资源可持续利用。</w:t>
      </w:r>
    </w:p>
    <w:p>
      <w:pPr>
        <w:spacing w:line="540" w:lineRule="exact"/>
        <w:ind w:firstLine="560" w:firstLineChars="200"/>
        <w:rPr>
          <w:rFonts w:ascii="宋体" w:cs="宋体"/>
          <w:sz w:val="28"/>
          <w:szCs w:val="28"/>
        </w:rPr>
      </w:pPr>
      <w:r>
        <w:rPr>
          <w:rFonts w:hint="eastAsia" w:ascii="宋体" w:hAnsi="宋体" w:cs="宋体"/>
          <w:sz w:val="28"/>
          <w:szCs w:val="28"/>
        </w:rPr>
        <w:t>实施节水灌溉将减少土渠受水流冲刷而引起的水土流失，降低了渠道的渗漏量，有利于农作物的生长。将持续改善区域生态环境，配合山、水、田、林、路配套建设，使农田、道路、渠道成为绿色屏障。节水灌溉工程的实施，促进农村产业结构的调整，加速退耕还林，减少土地资源破坏和水土流失，减少肥料、农药的流失，减轻对浅层地下水和地表水的污染。</w:t>
      </w:r>
    </w:p>
    <w:p>
      <w:pPr>
        <w:spacing w:line="540" w:lineRule="exact"/>
        <w:ind w:firstLine="560" w:firstLineChars="200"/>
        <w:rPr>
          <w:rFonts w:ascii="宋体" w:cs="宋体"/>
          <w:sz w:val="28"/>
          <w:szCs w:val="28"/>
        </w:rPr>
      </w:pPr>
      <w:r>
        <w:rPr>
          <w:rFonts w:hint="eastAsia" w:ascii="宋体" w:hAnsi="宋体" w:cs="宋体"/>
          <w:sz w:val="28"/>
          <w:szCs w:val="28"/>
        </w:rPr>
        <w:t>工业节水采取了优化产业结构和空间布局，控制高耗水企业，改进生产工艺、引进先进技术，实施水平衡测试等措施，有效地提高了水的重复利用率，减少了入河排污量，达到了“节水减排降污”的目的，有效保护了水功能区和水源地的安全，保护了下游河流的水质。</w:t>
      </w:r>
    </w:p>
    <w:p>
      <w:pPr>
        <w:spacing w:line="540" w:lineRule="exact"/>
        <w:ind w:firstLine="560" w:firstLineChars="200"/>
        <w:rPr>
          <w:rFonts w:ascii="宋体" w:cs="宋体"/>
          <w:sz w:val="28"/>
          <w:szCs w:val="28"/>
        </w:rPr>
      </w:pPr>
      <w:r>
        <w:rPr>
          <w:rFonts w:hint="eastAsia" w:ascii="宋体" w:hAnsi="宋体" w:cs="宋体"/>
          <w:sz w:val="28"/>
          <w:szCs w:val="28"/>
        </w:rPr>
        <w:t>城镇供水管网逐步改造，更换使用年代长久和低材质供水管网，有效地降低供水损耗，减轻了供水中重金属和有害物质的二次污染，保证了饮用水安全，提高城镇居民生活用水质量。</w:t>
      </w:r>
    </w:p>
    <w:p>
      <w:pPr>
        <w:spacing w:line="540" w:lineRule="exact"/>
        <w:ind w:firstLine="560" w:firstLineChars="200"/>
        <w:rPr>
          <w:rFonts w:ascii="宋体" w:cs="宋体"/>
          <w:sz w:val="28"/>
          <w:szCs w:val="28"/>
        </w:rPr>
      </w:pPr>
      <w:r>
        <w:rPr>
          <w:rFonts w:hint="eastAsia" w:ascii="宋体" w:hAnsi="宋体" w:cs="宋体"/>
          <w:sz w:val="28"/>
          <w:szCs w:val="28"/>
        </w:rPr>
        <w:t>规划实施后，可有效提高水资源利用效率，保障经济社会发展，改善生态环境。其效果体现在以下四个方面：一是有效控制区域水资源需求过度增长，遏制区域水资源过度开发；二是促进经济结构调整和产业优化升级；三是部分节水量可供经济社会用水，缓解供需矛盾；四是可有效减少污染物排放，部分节水量可供生态系统使用，改善生态环境。</w:t>
      </w:r>
    </w:p>
    <w:p>
      <w:pPr>
        <w:widowControl/>
        <w:jc w:val="left"/>
      </w:pPr>
      <w:r>
        <w:br w:type="page"/>
      </w:r>
    </w:p>
    <w:p>
      <w:pPr>
        <w:keepNext/>
        <w:keepLines/>
        <w:spacing w:before="340" w:after="330" w:line="576" w:lineRule="auto"/>
        <w:ind w:firstLine="723" w:firstLineChars="200"/>
        <w:jc w:val="center"/>
        <w:outlineLvl w:val="0"/>
        <w:rPr>
          <w:rFonts w:ascii="Times New Roman" w:hAnsi="Times New Roman"/>
          <w:b/>
          <w:bCs/>
          <w:kern w:val="44"/>
          <w:sz w:val="36"/>
          <w:szCs w:val="36"/>
        </w:rPr>
      </w:pPr>
      <w:bookmarkStart w:id="113" w:name="_Toc90482814"/>
      <w:r>
        <w:rPr>
          <w:rFonts w:ascii="Times New Roman" w:hAnsi="Times New Roman"/>
          <w:b/>
          <w:bCs/>
          <w:kern w:val="44"/>
          <w:sz w:val="36"/>
          <w:szCs w:val="36"/>
        </w:rPr>
        <w:t xml:space="preserve">9 </w:t>
      </w:r>
      <w:r>
        <w:rPr>
          <w:rFonts w:hint="eastAsia" w:ascii="Times New Roman" w:hAnsi="Times New Roman"/>
          <w:b/>
          <w:bCs/>
          <w:kern w:val="44"/>
          <w:sz w:val="36"/>
          <w:szCs w:val="36"/>
        </w:rPr>
        <w:t>环境影响评价</w:t>
      </w:r>
      <w:bookmarkEnd w:id="107"/>
      <w:bookmarkEnd w:id="113"/>
    </w:p>
    <w:p>
      <w:pPr>
        <w:keepNext/>
        <w:keepLines/>
        <w:spacing w:before="260" w:after="260" w:line="413" w:lineRule="auto"/>
        <w:ind w:firstLine="281" w:firstLineChars="100"/>
        <w:outlineLvl w:val="1"/>
        <w:rPr>
          <w:rFonts w:ascii="Times New Roman" w:hAnsi="Times New Roman"/>
          <w:b/>
          <w:bCs/>
          <w:kern w:val="44"/>
          <w:sz w:val="28"/>
          <w:szCs w:val="28"/>
        </w:rPr>
      </w:pPr>
      <w:bookmarkStart w:id="114" w:name="_Toc63757719"/>
      <w:bookmarkStart w:id="115" w:name="_Toc90482815"/>
      <w:r>
        <w:rPr>
          <w:rFonts w:ascii="Times New Roman" w:hAnsi="Times New Roman"/>
          <w:b/>
          <w:bCs/>
          <w:kern w:val="44"/>
          <w:sz w:val="28"/>
          <w:szCs w:val="28"/>
        </w:rPr>
        <w:t xml:space="preserve">9.1 </w:t>
      </w:r>
      <w:r>
        <w:rPr>
          <w:rFonts w:hint="eastAsia" w:ascii="Times New Roman" w:hAnsi="Times New Roman"/>
          <w:b/>
          <w:bCs/>
          <w:kern w:val="44"/>
          <w:sz w:val="28"/>
          <w:szCs w:val="28"/>
        </w:rPr>
        <w:t>有利影响</w:t>
      </w:r>
      <w:bookmarkEnd w:id="114"/>
      <w:bookmarkEnd w:id="115"/>
    </w:p>
    <w:p>
      <w:pPr>
        <w:spacing w:line="580" w:lineRule="exact"/>
        <w:ind w:firstLine="560" w:firstLineChars="200"/>
        <w:rPr>
          <w:rFonts w:ascii="Times New Roman" w:hAnsi="Times New Roman"/>
          <w:sz w:val="28"/>
        </w:rPr>
      </w:pPr>
      <w:r>
        <w:rPr>
          <w:rFonts w:hint="eastAsia" w:ascii="Times New Roman" w:hAnsi="Times New Roman"/>
          <w:sz w:val="28"/>
        </w:rPr>
        <w:t>建设节水型社会，是解决区水资源时空分布不均，资源性缺水和工程性缺水，防洪减灾体系不完善、农村供水保障水平低和农田水利建设滞后等问题最根本、最有效的战略举措，是促进经济社会可持续发展的必然选择。节水型社会的建立，可以从水资源可持续利用和生态环境保护的层面上促进经济结构和产业布局更加趋于科学合理，在水资源高效利用的同时有效地保护生态环境。通过节水型社会建设，建立全区的水资源循环利用体系，将经济发展用水对生态环境的影响降低到最小，主要依靠提高水资源利用效率促使经济增长方式的转变。</w:t>
      </w:r>
    </w:p>
    <w:p>
      <w:pPr>
        <w:spacing w:line="580" w:lineRule="exact"/>
        <w:ind w:firstLine="560" w:firstLineChars="200"/>
        <w:rPr>
          <w:rFonts w:ascii="Times New Roman" w:hAnsi="Times New Roman"/>
          <w:sz w:val="28"/>
        </w:rPr>
      </w:pPr>
      <w:r>
        <w:rPr>
          <w:rFonts w:hint="eastAsia" w:ascii="Times New Roman" w:hAnsi="Times New Roman"/>
          <w:sz w:val="28"/>
        </w:rPr>
        <w:t>（一）农业节水环境影响</w:t>
      </w:r>
    </w:p>
    <w:p>
      <w:pPr>
        <w:spacing w:line="580" w:lineRule="exact"/>
        <w:ind w:firstLine="560" w:firstLineChars="200"/>
        <w:rPr>
          <w:rFonts w:ascii="Times New Roman" w:hAnsi="Times New Roman"/>
          <w:sz w:val="28"/>
        </w:rPr>
      </w:pPr>
      <w:r>
        <w:rPr>
          <w:rFonts w:hint="eastAsia" w:ascii="Times New Roman" w:hAnsi="Times New Roman"/>
          <w:sz w:val="28"/>
        </w:rPr>
        <w:t>以节水为中心的灌区续建配套与节水改造、水肥一体项目、循环水养鱼等是农业节水的重要措施，可以有效控制地下水超采，优化农村生态环境、增加经济效应。一是在一定的水资源供给条件下，通过调整农作物种植结构、建设高效节灌灌面、采用滴灌、管灌等科学的农田灌溉技术，大大提高农田灌溉水有效利用系数，使农田灌溉水量有效减少，其节水量可退还生态用水，有效改善生态环境。二是灌溉水有效利用系数的提高，加之</w:t>
      </w:r>
      <w:r>
        <w:rPr>
          <w:rFonts w:ascii="Times New Roman" w:hAnsi="Times New Roman"/>
          <w:sz w:val="28"/>
        </w:rPr>
        <w:t>“</w:t>
      </w:r>
      <w:r>
        <w:rPr>
          <w:rFonts w:hint="eastAsia" w:ascii="Times New Roman" w:hAnsi="Times New Roman"/>
          <w:sz w:val="28"/>
        </w:rPr>
        <w:t>水肥一体</w:t>
      </w:r>
      <w:r>
        <w:rPr>
          <w:rFonts w:ascii="Times New Roman" w:hAnsi="Times New Roman"/>
          <w:sz w:val="28"/>
        </w:rPr>
        <w:t>”</w:t>
      </w:r>
      <w:r>
        <w:rPr>
          <w:rFonts w:hint="eastAsia" w:ascii="Times New Roman" w:hAnsi="Times New Roman"/>
          <w:sz w:val="28"/>
        </w:rPr>
        <w:t>技术的实施，可减少灌溉退水将农药、化肥带入河道或渗入地下含水层，从而有效地减轻面源污染和地下水污染。三是灌区和管渠结合，灌区灌溉用水量的减少，可减少地下水超采量，维持地下水合理水位，有利于涵养地下含水层，保证河道的最小生态流量。</w:t>
      </w:r>
    </w:p>
    <w:p>
      <w:pPr>
        <w:spacing w:line="580" w:lineRule="exact"/>
        <w:ind w:firstLine="560" w:firstLineChars="200"/>
        <w:rPr>
          <w:rFonts w:ascii="Times New Roman" w:hAnsi="Times New Roman"/>
          <w:sz w:val="28"/>
        </w:rPr>
      </w:pPr>
      <w:r>
        <w:rPr>
          <w:rFonts w:hint="eastAsia" w:ascii="Times New Roman" w:hAnsi="Times New Roman"/>
          <w:sz w:val="28"/>
        </w:rPr>
        <w:t>（二）城镇生活节水环境影响</w:t>
      </w:r>
    </w:p>
    <w:p>
      <w:pPr>
        <w:spacing w:line="580" w:lineRule="exact"/>
        <w:ind w:firstLine="560" w:firstLineChars="200"/>
        <w:rPr>
          <w:rFonts w:ascii="Times New Roman" w:hAnsi="Times New Roman"/>
          <w:sz w:val="28"/>
        </w:rPr>
      </w:pPr>
      <w:r>
        <w:rPr>
          <w:rFonts w:hint="eastAsia" w:ascii="Times New Roman" w:hAnsi="Times New Roman"/>
          <w:sz w:val="28"/>
        </w:rPr>
        <w:t>城镇生活节水的重要工程措施包括城镇供水管网的修建和改造、公共节水机构建设、节水器具的推广和洗车场循环用水改造等，一方面可降低公共供水管网漏损，节约用水，减少生活供水量，并且通过对使用年代长久和低材质供水管网的更新改造，有效地降低供水中重金属和有害物质的二次污染，提高城镇居民的生活用水质量；另一方面，生活耗水量的减少可直接减少污水产生量，减轻了污水处理的负担。同时也能够避免部分污水任意排放，在一定程度上也可减少对地表水和地下水的污染，有利于提高水环境质量。</w:t>
      </w:r>
    </w:p>
    <w:p>
      <w:pPr>
        <w:spacing w:line="580" w:lineRule="exact"/>
        <w:ind w:firstLine="560" w:firstLineChars="200"/>
        <w:rPr>
          <w:rFonts w:ascii="Times New Roman" w:hAnsi="Times New Roman"/>
          <w:sz w:val="28"/>
        </w:rPr>
      </w:pPr>
      <w:r>
        <w:rPr>
          <w:rFonts w:hint="eastAsia" w:ascii="Times New Roman" w:hAnsi="Times New Roman"/>
          <w:sz w:val="28"/>
        </w:rPr>
        <w:t>（三）工业节水环境影响</w:t>
      </w:r>
    </w:p>
    <w:p>
      <w:pPr>
        <w:spacing w:line="580" w:lineRule="exact"/>
        <w:ind w:firstLine="560" w:firstLineChars="200"/>
        <w:rPr>
          <w:rFonts w:ascii="Times New Roman" w:hAnsi="Times New Roman"/>
          <w:sz w:val="28"/>
        </w:rPr>
      </w:pPr>
      <w:r>
        <w:rPr>
          <w:rFonts w:hint="eastAsia" w:ascii="Times New Roman" w:hAnsi="Times New Roman"/>
          <w:sz w:val="28"/>
        </w:rPr>
        <w:t>工业节水的重点为已建工业园区和主要工业用水大户，淘汰落后的高耗水设备及工艺，进行产业升级（如矿产品加工由粗加工向精细加工转型），加大用水优化改造力度；对于规划新建工业园区，提前做好规划水资源论证工作，在园区用水总量控制的前提下进一步提升用水效率。实施工业节水重点工程项目，污水处理厂及配套管网的建设都将有效地减少污染物的排放，改善水环境质量。</w:t>
      </w:r>
    </w:p>
    <w:p>
      <w:pPr>
        <w:spacing w:line="580" w:lineRule="exact"/>
        <w:ind w:firstLine="560" w:firstLineChars="200"/>
        <w:rPr>
          <w:rFonts w:ascii="Times New Roman" w:hAnsi="Times New Roman"/>
          <w:sz w:val="28"/>
        </w:rPr>
      </w:pPr>
      <w:r>
        <w:rPr>
          <w:rFonts w:hint="eastAsia" w:ascii="Times New Roman" w:hAnsi="Times New Roman"/>
          <w:sz w:val="28"/>
        </w:rPr>
        <w:t>（四）非常规水源利用环境影响</w:t>
      </w:r>
    </w:p>
    <w:p>
      <w:pPr>
        <w:spacing w:line="580" w:lineRule="exact"/>
        <w:ind w:firstLine="560" w:firstLineChars="200"/>
        <w:rPr>
          <w:rFonts w:ascii="Times New Roman" w:hAnsi="Times New Roman"/>
          <w:sz w:val="28"/>
        </w:rPr>
      </w:pPr>
      <w:r>
        <w:rPr>
          <w:rFonts w:hint="eastAsia" w:ascii="Times New Roman" w:hAnsi="Times New Roman"/>
          <w:sz w:val="28"/>
        </w:rPr>
        <w:t>非常规水源利用的重点工程为工业园区和污水处理厂中水回用项目，城市雨水利用。建立集中式中水回用系统，合理规划覆盖建设城市雨水利用区域。一方面可有效地节约水资源，实现水资源的再生和循环利用，另一方面可以有效控制污染物排放，改善自然生态环境。</w:t>
      </w:r>
    </w:p>
    <w:p>
      <w:pPr>
        <w:keepNext/>
        <w:keepLines/>
        <w:spacing w:before="260" w:after="260" w:line="413" w:lineRule="auto"/>
        <w:ind w:firstLine="281" w:firstLineChars="100"/>
        <w:outlineLvl w:val="1"/>
        <w:rPr>
          <w:rFonts w:ascii="Times New Roman" w:hAnsi="Times New Roman"/>
          <w:b/>
          <w:bCs/>
          <w:kern w:val="44"/>
          <w:sz w:val="28"/>
          <w:szCs w:val="28"/>
        </w:rPr>
      </w:pPr>
      <w:bookmarkStart w:id="116" w:name="_Toc90482816"/>
      <w:bookmarkStart w:id="117" w:name="_Toc63757720"/>
      <w:r>
        <w:rPr>
          <w:rFonts w:ascii="Times New Roman" w:hAnsi="Times New Roman"/>
          <w:b/>
          <w:bCs/>
          <w:kern w:val="44"/>
          <w:sz w:val="28"/>
          <w:szCs w:val="28"/>
        </w:rPr>
        <w:t xml:space="preserve">9.2 </w:t>
      </w:r>
      <w:r>
        <w:rPr>
          <w:rFonts w:hint="eastAsia" w:ascii="Times New Roman" w:hAnsi="Times New Roman"/>
          <w:b/>
          <w:bCs/>
          <w:kern w:val="44"/>
          <w:sz w:val="28"/>
          <w:szCs w:val="28"/>
        </w:rPr>
        <w:t>不利影响</w:t>
      </w:r>
      <w:bookmarkEnd w:id="116"/>
      <w:bookmarkEnd w:id="117"/>
    </w:p>
    <w:p>
      <w:pPr>
        <w:ind w:firstLine="560" w:firstLineChars="200"/>
        <w:rPr>
          <w:rFonts w:ascii="Times New Roman" w:hAnsi="Times New Roman"/>
        </w:rPr>
      </w:pPr>
      <w:r>
        <w:rPr>
          <w:rFonts w:hint="eastAsia" w:ascii="Times New Roman" w:hAnsi="Times New Roman"/>
          <w:sz w:val="28"/>
        </w:rPr>
        <w:t>农业节水也可能给生态环境带来一些不利影响。渠道衬砌减少了沿途渗漏，使得沿渠的植物直接获取的水分减少，不利于植物自然生长；田间灌溉水量的减少也可能会引起土壤的物理生化特性发生一定的改变。农业节水工程措施的正面影响远远大于不利影响。</w:t>
      </w:r>
    </w:p>
    <w:p>
      <w:pPr>
        <w:spacing w:line="580" w:lineRule="exact"/>
        <w:ind w:firstLine="560" w:firstLineChars="200"/>
        <w:rPr>
          <w:rFonts w:ascii="Times New Roman" w:hAnsi="Times New Roman"/>
          <w:sz w:val="28"/>
        </w:rPr>
      </w:pPr>
      <w:r>
        <w:rPr>
          <w:rFonts w:hint="eastAsia" w:ascii="Times New Roman" w:hAnsi="Times New Roman"/>
          <w:sz w:val="28"/>
        </w:rPr>
        <w:t>实施城镇供水管网修建和改造，在施工过程中可能对生态环境带来一些不利影响。修建供水管道时对路面和绿化带造成损害，施工中可能产生噪音和尘土污染等环境影响。</w:t>
      </w:r>
    </w:p>
    <w:p>
      <w:pPr>
        <w:keepNext/>
        <w:keepLines/>
        <w:spacing w:before="260" w:after="260" w:line="413" w:lineRule="auto"/>
        <w:ind w:firstLine="281" w:firstLineChars="100"/>
        <w:outlineLvl w:val="1"/>
        <w:rPr>
          <w:rFonts w:ascii="Times New Roman" w:hAnsi="Times New Roman"/>
          <w:b/>
          <w:bCs/>
          <w:kern w:val="44"/>
          <w:sz w:val="28"/>
          <w:szCs w:val="28"/>
        </w:rPr>
      </w:pPr>
      <w:bookmarkStart w:id="118" w:name="_Toc63757721"/>
      <w:bookmarkStart w:id="119" w:name="_Toc90482817"/>
      <w:r>
        <w:rPr>
          <w:rFonts w:ascii="Times New Roman" w:hAnsi="Times New Roman"/>
          <w:b/>
          <w:bCs/>
          <w:kern w:val="44"/>
          <w:sz w:val="28"/>
          <w:szCs w:val="28"/>
        </w:rPr>
        <w:t xml:space="preserve">9.3 </w:t>
      </w:r>
      <w:r>
        <w:rPr>
          <w:rFonts w:hint="eastAsia" w:ascii="Times New Roman" w:hAnsi="Times New Roman"/>
          <w:b/>
          <w:bCs/>
          <w:kern w:val="44"/>
          <w:sz w:val="28"/>
          <w:szCs w:val="28"/>
        </w:rPr>
        <w:t>减免不利影响对策措施</w:t>
      </w:r>
      <w:bookmarkEnd w:id="118"/>
      <w:bookmarkEnd w:id="119"/>
    </w:p>
    <w:p>
      <w:pPr>
        <w:spacing w:line="580" w:lineRule="exact"/>
        <w:ind w:firstLine="560" w:firstLineChars="200"/>
        <w:rPr>
          <w:rFonts w:ascii="Times New Roman" w:hAnsi="Times New Roman"/>
          <w:sz w:val="28"/>
        </w:rPr>
      </w:pPr>
      <w:r>
        <w:rPr>
          <w:rFonts w:hint="eastAsia" w:ascii="Times New Roman" w:hAnsi="Times New Roman"/>
          <w:sz w:val="28"/>
        </w:rPr>
        <w:t>农业节水的不利影响可通过人工补给生态用水方式，保持灌区或生态的稳定，并在施工中实施水土保持措施修复和恢复植被，防止水土流失。</w:t>
      </w:r>
    </w:p>
    <w:p>
      <w:pPr>
        <w:spacing w:line="580" w:lineRule="exact"/>
        <w:ind w:firstLine="560" w:firstLineChars="200"/>
        <w:rPr>
          <w:rFonts w:ascii="Times New Roman" w:hAnsi="Times New Roman"/>
          <w:sz w:val="28"/>
        </w:rPr>
      </w:pPr>
      <w:r>
        <w:rPr>
          <w:rFonts w:hint="eastAsia" w:ascii="Times New Roman" w:hAnsi="Times New Roman"/>
          <w:sz w:val="28"/>
        </w:rPr>
        <w:t>针对节水工程施工中的环境问题，通过在施工过程中采取降噪除尘和及时恢复生态原貌等环保措施，降低和防止该工程实施过程中对大气、水、声环境和生态的影响和破坏。</w:t>
      </w:r>
    </w:p>
    <w:p>
      <w:pPr>
        <w:widowControl/>
        <w:jc w:val="left"/>
        <w:rPr>
          <w:rFonts w:ascii="Times New Roman" w:hAnsi="Times New Roman"/>
        </w:rPr>
      </w:pPr>
      <w:r>
        <w:rPr>
          <w:rFonts w:ascii="Times New Roman" w:hAnsi="Times New Roman"/>
        </w:rPr>
        <w:br w:type="page"/>
      </w:r>
    </w:p>
    <w:p>
      <w:pPr>
        <w:keepNext/>
        <w:keepLines/>
        <w:spacing w:before="340" w:after="330" w:line="576" w:lineRule="auto"/>
        <w:ind w:firstLine="723" w:firstLineChars="200"/>
        <w:jc w:val="center"/>
        <w:outlineLvl w:val="0"/>
        <w:rPr>
          <w:rFonts w:ascii="Times New Roman" w:hAnsi="Times New Roman"/>
          <w:b/>
          <w:bCs/>
          <w:kern w:val="44"/>
          <w:sz w:val="36"/>
          <w:szCs w:val="36"/>
        </w:rPr>
      </w:pPr>
      <w:bookmarkStart w:id="120" w:name="_Toc90482818"/>
      <w:r>
        <w:rPr>
          <w:rFonts w:ascii="Times New Roman" w:hAnsi="Times New Roman"/>
          <w:b/>
          <w:bCs/>
          <w:kern w:val="44"/>
          <w:sz w:val="36"/>
          <w:szCs w:val="36"/>
        </w:rPr>
        <w:t xml:space="preserve">10 </w:t>
      </w:r>
      <w:r>
        <w:rPr>
          <w:rFonts w:hint="eastAsia" w:ascii="Times New Roman" w:hAnsi="Times New Roman"/>
          <w:b/>
          <w:bCs/>
          <w:kern w:val="44"/>
          <w:sz w:val="36"/>
          <w:szCs w:val="36"/>
        </w:rPr>
        <w:t>保障措施</w:t>
      </w:r>
      <w:bookmarkEnd w:id="120"/>
    </w:p>
    <w:p>
      <w:pPr>
        <w:keepNext/>
        <w:keepLines/>
        <w:spacing w:before="260" w:after="260" w:line="413" w:lineRule="auto"/>
        <w:ind w:firstLine="281" w:firstLineChars="100"/>
        <w:outlineLvl w:val="1"/>
        <w:rPr>
          <w:rFonts w:ascii="Times New Roman" w:hAnsi="Times New Roman"/>
          <w:b/>
          <w:bCs/>
          <w:kern w:val="44"/>
          <w:sz w:val="28"/>
          <w:szCs w:val="28"/>
        </w:rPr>
      </w:pPr>
      <w:bookmarkStart w:id="121" w:name="_Toc90482819"/>
      <w:r>
        <w:rPr>
          <w:rFonts w:ascii="Times New Roman" w:hAnsi="Times New Roman"/>
          <w:b/>
          <w:bCs/>
          <w:kern w:val="44"/>
          <w:sz w:val="28"/>
          <w:szCs w:val="28"/>
        </w:rPr>
        <w:t xml:space="preserve">10.1 </w:t>
      </w:r>
      <w:r>
        <w:rPr>
          <w:rFonts w:hint="eastAsia" w:ascii="Times New Roman" w:hAnsi="Times New Roman"/>
          <w:b/>
          <w:bCs/>
          <w:kern w:val="44"/>
          <w:sz w:val="28"/>
          <w:szCs w:val="28"/>
        </w:rPr>
        <w:t>加强组织领导，压实节水责任</w:t>
      </w:r>
      <w:bookmarkEnd w:id="121"/>
    </w:p>
    <w:p>
      <w:pPr>
        <w:spacing w:line="580" w:lineRule="exact"/>
        <w:ind w:firstLine="560" w:firstLineChars="200"/>
        <w:rPr>
          <w:rFonts w:ascii="Times New Roman" w:hAnsi="Times New Roman"/>
          <w:sz w:val="28"/>
        </w:rPr>
      </w:pPr>
      <w:r>
        <w:rPr>
          <w:rFonts w:hint="eastAsia" w:ascii="Times New Roman" w:hAnsi="Times New Roman"/>
          <w:sz w:val="28"/>
        </w:rPr>
        <w:t>加强党和政府对节水工作的领导，充分发挥区级节约用水工作领导小组和节水管理机构的职能，统筹推动节水工作。建立健全部门协作机制，建立联席会议制度，协调解决节水工作中的重大问题。按照《重庆市节约用水管理办法（试行）》和《重庆市渝北区节水行动实施方案》的节水职能划分，压实区级各部门节水责任，形成政府统一领导、部门各司其职、各方协同配合的节水工作格局。</w:t>
      </w:r>
    </w:p>
    <w:p>
      <w:pPr>
        <w:keepNext/>
        <w:keepLines/>
        <w:spacing w:before="260" w:after="260" w:line="413" w:lineRule="auto"/>
        <w:ind w:firstLine="281" w:firstLineChars="100"/>
        <w:outlineLvl w:val="1"/>
        <w:rPr>
          <w:rFonts w:ascii="Times New Roman" w:hAnsi="Times New Roman"/>
          <w:b/>
          <w:bCs/>
          <w:kern w:val="44"/>
          <w:sz w:val="28"/>
          <w:szCs w:val="28"/>
        </w:rPr>
      </w:pPr>
      <w:bookmarkStart w:id="122" w:name="_Toc463624806"/>
      <w:bookmarkStart w:id="123" w:name="_Toc471146048"/>
      <w:bookmarkStart w:id="124" w:name="_Toc90482820"/>
      <w:r>
        <w:rPr>
          <w:rFonts w:ascii="Times New Roman" w:hAnsi="Times New Roman"/>
          <w:b/>
          <w:bCs/>
          <w:kern w:val="44"/>
          <w:sz w:val="28"/>
          <w:szCs w:val="28"/>
        </w:rPr>
        <w:t xml:space="preserve">10.2 </w:t>
      </w:r>
      <w:bookmarkEnd w:id="122"/>
      <w:r>
        <w:rPr>
          <w:rFonts w:hint="eastAsia" w:ascii="Times New Roman" w:hAnsi="Times New Roman"/>
          <w:b/>
          <w:bCs/>
          <w:kern w:val="44"/>
          <w:sz w:val="28"/>
          <w:szCs w:val="28"/>
        </w:rPr>
        <w:t>完善节水政策</w:t>
      </w:r>
      <w:bookmarkEnd w:id="123"/>
      <w:r>
        <w:rPr>
          <w:rFonts w:hint="eastAsia" w:ascii="Times New Roman" w:hAnsi="Times New Roman"/>
          <w:b/>
          <w:bCs/>
          <w:kern w:val="44"/>
          <w:sz w:val="28"/>
          <w:szCs w:val="28"/>
        </w:rPr>
        <w:t>，严格监督检查</w:t>
      </w:r>
      <w:bookmarkEnd w:id="124"/>
    </w:p>
    <w:p>
      <w:pPr>
        <w:spacing w:line="580" w:lineRule="exact"/>
        <w:ind w:firstLine="560" w:firstLineChars="200"/>
        <w:rPr>
          <w:rFonts w:ascii="Times New Roman" w:hAnsi="Times New Roman"/>
          <w:sz w:val="28"/>
        </w:rPr>
      </w:pPr>
      <w:r>
        <w:rPr>
          <w:rFonts w:hint="eastAsia"/>
          <w:sz w:val="28"/>
        </w:rPr>
        <w:t>在现有国家和市级节水有关政策法规的基础上，结合渝北区节水管理工作实际，制定出台有关鼓励和扶持节约用水的规范性文件，制定有利于节水事业和节水产业发展的优惠政策。</w:t>
      </w:r>
      <w:r>
        <w:rPr>
          <w:rFonts w:hint="eastAsia" w:ascii="Times New Roman" w:hAnsi="Times New Roman"/>
          <w:sz w:val="28"/>
        </w:rPr>
        <w:t>通过深化水价改革、水资源税改革和节水监督管理等方面的政策改革，不断完善节水政策和制度，为加快推进节水工作取得新成效提供有利的政策保障。同时严格执行《重庆市节约用水管理办法（试行）》和《重庆市取水许可和水资源费征收管理办法》等节水法规，强化对取水审批、计划用水等节水工作的监督检查，确保节水工作全面落到实处。</w:t>
      </w:r>
    </w:p>
    <w:p>
      <w:pPr>
        <w:keepNext/>
        <w:keepLines/>
        <w:spacing w:before="260" w:after="260" w:line="413" w:lineRule="auto"/>
        <w:ind w:firstLine="281" w:firstLineChars="100"/>
        <w:outlineLvl w:val="1"/>
        <w:rPr>
          <w:rFonts w:ascii="Times New Roman" w:hAnsi="Times New Roman"/>
          <w:b/>
          <w:bCs/>
          <w:kern w:val="44"/>
          <w:sz w:val="28"/>
          <w:szCs w:val="28"/>
        </w:rPr>
      </w:pPr>
      <w:bookmarkStart w:id="125" w:name="_Toc463624807"/>
      <w:bookmarkStart w:id="126" w:name="_Toc90482821"/>
      <w:bookmarkStart w:id="127" w:name="_Toc471146049"/>
      <w:r>
        <w:rPr>
          <w:rFonts w:ascii="Times New Roman" w:hAnsi="Times New Roman"/>
          <w:b/>
          <w:bCs/>
          <w:kern w:val="44"/>
          <w:sz w:val="28"/>
          <w:szCs w:val="28"/>
        </w:rPr>
        <w:t xml:space="preserve">10.3 </w:t>
      </w:r>
      <w:r>
        <w:rPr>
          <w:rFonts w:hint="eastAsia" w:ascii="Times New Roman" w:hAnsi="Times New Roman"/>
          <w:b/>
          <w:bCs/>
          <w:kern w:val="44"/>
          <w:sz w:val="28"/>
          <w:szCs w:val="28"/>
        </w:rPr>
        <w:t>提供资金保障，构建奖励机制</w:t>
      </w:r>
      <w:bookmarkEnd w:id="125"/>
      <w:bookmarkEnd w:id="126"/>
      <w:bookmarkEnd w:id="127"/>
    </w:p>
    <w:p>
      <w:pPr>
        <w:spacing w:line="580" w:lineRule="exact"/>
        <w:ind w:firstLine="560" w:firstLineChars="200"/>
        <w:rPr>
          <w:rFonts w:ascii="Times New Roman" w:hAnsi="Times New Roman"/>
          <w:sz w:val="28"/>
        </w:rPr>
      </w:pPr>
      <w:r>
        <w:rPr>
          <w:rFonts w:hint="eastAsia" w:ascii="Times New Roman" w:hAnsi="Times New Roman"/>
          <w:sz w:val="28"/>
        </w:rPr>
        <w:t>积极发挥财政职能作用，重点支持农业节水灌溉、水资源节约保护、城市供水管网漏损控制、节水宣传教育和培训等。完善助力节水产业发展的价格、投资等政策，落实节水税收优惠政策，充分发挥相关税收优惠政策对节水技术研发、企业节水、水资源保护和再利用等方面的支持作用。加大节水财政投入和节水专项资金补助力度，每年在区级节水专项资金中，为节水型公共机构、节水型宾馆等节水载体的创建和节水宣传给予资金补助。</w:t>
      </w:r>
    </w:p>
    <w:p>
      <w:pPr>
        <w:keepNext/>
        <w:keepLines/>
        <w:spacing w:before="260" w:after="260" w:line="413" w:lineRule="auto"/>
        <w:ind w:firstLine="281" w:firstLineChars="100"/>
        <w:outlineLvl w:val="1"/>
        <w:rPr>
          <w:rFonts w:ascii="Times New Roman" w:hAnsi="Times New Roman"/>
          <w:b/>
          <w:bCs/>
          <w:kern w:val="44"/>
          <w:sz w:val="28"/>
          <w:szCs w:val="28"/>
        </w:rPr>
      </w:pPr>
      <w:bookmarkStart w:id="128" w:name="_Toc90482822"/>
      <w:bookmarkStart w:id="129" w:name="_Toc471146050"/>
      <w:r>
        <w:rPr>
          <w:rFonts w:ascii="Times New Roman" w:hAnsi="Times New Roman"/>
          <w:b/>
          <w:bCs/>
          <w:kern w:val="44"/>
          <w:sz w:val="28"/>
          <w:szCs w:val="28"/>
        </w:rPr>
        <w:t xml:space="preserve">10.4 </w:t>
      </w:r>
      <w:r>
        <w:rPr>
          <w:rFonts w:hint="eastAsia" w:ascii="Times New Roman" w:hAnsi="Times New Roman"/>
          <w:b/>
          <w:bCs/>
          <w:kern w:val="44"/>
          <w:sz w:val="28"/>
          <w:szCs w:val="28"/>
        </w:rPr>
        <w:t>扩大教育宣传，普及全民节水</w:t>
      </w:r>
      <w:bookmarkEnd w:id="128"/>
    </w:p>
    <w:bookmarkEnd w:id="129"/>
    <w:p>
      <w:pPr>
        <w:spacing w:line="580" w:lineRule="exact"/>
        <w:ind w:firstLine="560" w:firstLineChars="200"/>
        <w:rPr>
          <w:rFonts w:ascii="Times New Roman" w:hAnsi="Times New Roman"/>
          <w:sz w:val="28"/>
        </w:rPr>
      </w:pPr>
      <w:r>
        <w:rPr>
          <w:rFonts w:hint="eastAsia" w:ascii="Times New Roman" w:hAnsi="Times New Roman"/>
          <w:sz w:val="28"/>
        </w:rPr>
        <w:t>一是充分利用广播、电视、报刊、网络、公共场所等新闻媒介与媒体，通过学校教育、专业培训、专题讲座、节水专栏、科普读物等多种形式，开展广泛的宣传教育活动，培育公众的节水意识，为节水型社会建设创造良好的社会氛围。二是各行业主管部门应充分利用“世界水日”、“中国水周”、“全国城市节水宣传周”、“节能宣传周”等重要节水宣传时期，结合行业内相关节水工作要求，开展具备行业特色的节水主题宣传活动，增强节水宣传对行业节水的针对性，提高宣传效果。三是充分利用区内丰富教育资源，持续在中小学深入开展“环境教育先进单位”、“环境教育优秀工作者”和“环保小卫士”评选等主题宣传活动。通过“学校中心</w:t>
      </w:r>
      <w:r>
        <w:rPr>
          <w:rFonts w:ascii="Times New Roman" w:hAnsi="Times New Roman"/>
          <w:sz w:val="28"/>
        </w:rPr>
        <w:t>—</w:t>
      </w:r>
      <w:r>
        <w:rPr>
          <w:rFonts w:hint="eastAsia" w:ascii="Times New Roman" w:hAnsi="Times New Roman"/>
          <w:sz w:val="28"/>
        </w:rPr>
        <w:t>辐射家庭</w:t>
      </w:r>
      <w:r>
        <w:rPr>
          <w:rFonts w:ascii="Times New Roman" w:hAnsi="Times New Roman"/>
          <w:sz w:val="28"/>
        </w:rPr>
        <w:t>—</w:t>
      </w:r>
      <w:r>
        <w:rPr>
          <w:rFonts w:hint="eastAsia" w:ascii="Times New Roman" w:hAnsi="Times New Roman"/>
          <w:sz w:val="28"/>
        </w:rPr>
        <w:t>全民参与”的宣传途径，使城市节水意识不断深入人心，调动全社会积极参与。</w:t>
      </w:r>
    </w:p>
    <w:p>
      <w:pPr>
        <w:keepNext/>
        <w:keepLines/>
        <w:spacing w:before="260" w:after="260" w:line="413" w:lineRule="auto"/>
        <w:ind w:firstLine="281" w:firstLineChars="100"/>
        <w:outlineLvl w:val="1"/>
        <w:rPr>
          <w:rFonts w:ascii="Times New Roman" w:hAnsi="Times New Roman"/>
          <w:b/>
          <w:bCs/>
          <w:kern w:val="44"/>
          <w:sz w:val="28"/>
          <w:szCs w:val="28"/>
        </w:rPr>
      </w:pPr>
      <w:bookmarkStart w:id="130" w:name="_Toc90482823"/>
      <w:bookmarkStart w:id="131" w:name="_Toc471146051"/>
      <w:bookmarkStart w:id="132" w:name="_Toc463624808"/>
      <w:r>
        <w:rPr>
          <w:rFonts w:ascii="Times New Roman" w:hAnsi="Times New Roman"/>
          <w:b/>
          <w:bCs/>
          <w:kern w:val="44"/>
          <w:sz w:val="28"/>
          <w:szCs w:val="28"/>
        </w:rPr>
        <w:t xml:space="preserve">10.5 </w:t>
      </w:r>
      <w:r>
        <w:rPr>
          <w:rFonts w:hint="eastAsia" w:ascii="Times New Roman" w:hAnsi="Times New Roman"/>
          <w:b/>
          <w:bCs/>
          <w:kern w:val="44"/>
          <w:sz w:val="28"/>
          <w:szCs w:val="28"/>
        </w:rPr>
        <w:t>推广节水技术，增强科技支撑</w:t>
      </w:r>
      <w:bookmarkEnd w:id="130"/>
      <w:bookmarkEnd w:id="131"/>
      <w:bookmarkEnd w:id="132"/>
    </w:p>
    <w:p>
      <w:pPr>
        <w:spacing w:line="580" w:lineRule="exact"/>
        <w:ind w:firstLine="560" w:firstLineChars="200"/>
        <w:rPr>
          <w:rFonts w:ascii="Times New Roman" w:hAnsi="Times New Roman"/>
          <w:sz w:val="28"/>
        </w:rPr>
      </w:pPr>
      <w:r>
        <w:rPr>
          <w:rFonts w:hint="eastAsia" w:ascii="Times New Roman" w:hAnsi="Times New Roman"/>
          <w:sz w:val="28"/>
        </w:rPr>
        <w:t>充分发挥科技的支撑引领作用，结合区内实际条件，增大节水技术在各领域的推广运用。积极推广高效节水灌溉、稻鱼综合种养模式、测土配方施肥等技术，提高农业用水效率，推动农业农村绿色发展。支持企业开展节水技术改造及再生水回用改造，推动节水工艺创新，在区内用水大户和高耗水企业推广先进的节水设施，促进工业节水减排。提升城市管网检漏技术，建立完善的分区计量系统（</w:t>
      </w:r>
      <w:r>
        <w:rPr>
          <w:rFonts w:ascii="Times New Roman" w:hAnsi="Times New Roman"/>
          <w:sz w:val="28"/>
        </w:rPr>
        <w:t>DMA</w:t>
      </w:r>
      <w:r>
        <w:rPr>
          <w:rFonts w:hint="eastAsia" w:ascii="Times New Roman" w:hAnsi="Times New Roman"/>
          <w:sz w:val="28"/>
        </w:rPr>
        <w:t>），有效降低供水管网漏损率。推广新技术在节水器具中的运用，持续完善城市再生水利用技术。通过互联网、大数据、地理信息系统等新技术，实现在农业气象预测、管网精确定点检漏、供水精准管理等领域的深度融合，全面提升区内节水管理能力。</w:t>
      </w:r>
    </w:p>
    <w:p>
      <w:pPr>
        <w:keepNext/>
        <w:keepLines/>
        <w:spacing w:before="260" w:after="260" w:line="413" w:lineRule="auto"/>
        <w:ind w:firstLine="281" w:firstLineChars="100"/>
        <w:outlineLvl w:val="1"/>
        <w:rPr>
          <w:rFonts w:ascii="Times New Roman" w:hAnsi="Times New Roman"/>
          <w:b/>
          <w:bCs/>
          <w:kern w:val="44"/>
          <w:sz w:val="28"/>
          <w:szCs w:val="28"/>
        </w:rPr>
      </w:pPr>
      <w:bookmarkStart w:id="133" w:name="_Toc90482824"/>
      <w:r>
        <w:rPr>
          <w:rFonts w:ascii="Times New Roman" w:hAnsi="Times New Roman"/>
          <w:b/>
          <w:bCs/>
          <w:kern w:val="44"/>
          <w:sz w:val="28"/>
          <w:szCs w:val="28"/>
        </w:rPr>
        <w:t xml:space="preserve">10.6 </w:t>
      </w:r>
      <w:r>
        <w:rPr>
          <w:rFonts w:hint="eastAsia" w:ascii="Times New Roman" w:hAnsi="Times New Roman"/>
          <w:b/>
          <w:bCs/>
          <w:kern w:val="44"/>
          <w:sz w:val="28"/>
          <w:szCs w:val="28"/>
        </w:rPr>
        <w:t>强化监督考核，建立督促机制</w:t>
      </w:r>
      <w:bookmarkEnd w:id="133"/>
    </w:p>
    <w:p>
      <w:pPr>
        <w:spacing w:line="580" w:lineRule="exact"/>
        <w:ind w:firstLine="560" w:firstLineChars="200"/>
        <w:rPr>
          <w:rFonts w:ascii="Times New Roman" w:hAnsi="Times New Roman"/>
          <w:sz w:val="28"/>
        </w:rPr>
        <w:sectPr>
          <w:type w:val="continuous"/>
          <w:pgSz w:w="11906" w:h="16838"/>
          <w:pgMar w:top="1440" w:right="1800" w:bottom="1440" w:left="1800" w:header="851" w:footer="992" w:gutter="0"/>
          <w:cols w:space="425" w:num="1"/>
          <w:docGrid w:type="lines" w:linePitch="312" w:charSpace="0"/>
        </w:sectPr>
      </w:pPr>
      <w:r>
        <w:rPr>
          <w:rFonts w:hint="eastAsia" w:ascii="Times New Roman" w:hAnsi="Times New Roman"/>
          <w:sz w:val="28"/>
        </w:rPr>
        <w:t>强化节水考核，将节水主要指标纳入经济社会发展综合评价体系，纳入最严格水资源管理制度考核和区县经济社会发展实绩考核。建立规划实施督促检查机制，加强规划目标指标和重点任务完成情况的跟踪督办，开展规划总结评估，客观反映规划实施情况，及时公开规划相关信息，自觉接受社会监督。</w:t>
      </w:r>
    </w:p>
    <w:p>
      <w:pPr>
        <w:keepNext/>
        <w:keepLines/>
        <w:widowControl/>
        <w:spacing w:after="4" w:line="266" w:lineRule="auto"/>
        <w:ind w:left="-10" w:hanging="5"/>
        <w:jc w:val="left"/>
        <w:outlineLvl w:val="0"/>
        <w:rPr>
          <w:rFonts w:ascii="微软雅黑" w:hAnsi="微软雅黑" w:eastAsia="微软雅黑" w:cs="微软雅黑"/>
          <w:sz w:val="32"/>
        </w:rPr>
      </w:pPr>
      <w:bookmarkStart w:id="134" w:name="_Toc90482825"/>
      <w:r>
        <w:rPr>
          <w:rFonts w:hint="eastAsia" w:ascii="微软雅黑" w:hAnsi="微软雅黑" w:eastAsia="微软雅黑" w:cs="微软雅黑"/>
          <w:sz w:val="32"/>
        </w:rPr>
        <w:t>附表</w:t>
      </w:r>
      <w:bookmarkEnd w:id="134"/>
    </w:p>
    <w:p>
      <w:pPr>
        <w:keepNext/>
        <w:keepLines/>
        <w:widowControl/>
        <w:spacing w:line="259" w:lineRule="auto"/>
        <w:ind w:left="10" w:right="9" w:hanging="10"/>
        <w:jc w:val="center"/>
        <w:outlineLvl w:val="2"/>
        <w:rPr>
          <w:rFonts w:ascii="微软雅黑" w:hAnsi="微软雅黑" w:eastAsia="微软雅黑" w:cs="微软雅黑"/>
          <w:sz w:val="32"/>
        </w:rPr>
      </w:pPr>
      <w:bookmarkStart w:id="135" w:name="_Toc90482826"/>
      <w:r>
        <w:rPr>
          <w:rFonts w:hint="eastAsia" w:ascii="微软雅黑" w:hAnsi="微软雅黑" w:eastAsia="微软雅黑" w:cs="微软雅黑"/>
          <w:sz w:val="32"/>
        </w:rPr>
        <w:t>附表</w:t>
      </w:r>
      <w:r>
        <w:rPr>
          <w:rFonts w:ascii="微软雅黑" w:hAnsi="微软雅黑" w:eastAsia="微软雅黑" w:cs="微软雅黑"/>
          <w:sz w:val="32"/>
        </w:rPr>
        <w:t xml:space="preserve"> 1</w:t>
      </w:r>
      <w:r>
        <w:rPr>
          <w:rFonts w:hint="eastAsia" w:ascii="微软雅黑" w:hAnsi="微软雅黑" w:eastAsia="微软雅黑" w:cs="微软雅黑"/>
          <w:sz w:val="32"/>
        </w:rPr>
        <w:t>渝北区“十四五”供水管网改造工程</w:t>
      </w:r>
      <w:bookmarkEnd w:id="135"/>
    </w:p>
    <w:tbl>
      <w:tblPr>
        <w:tblStyle w:val="21"/>
        <w:tblW w:w="14845" w:type="dxa"/>
        <w:tblInd w:w="-108" w:type="dxa"/>
        <w:tblLayout w:type="autofit"/>
        <w:tblCellMar>
          <w:top w:w="0" w:type="dxa"/>
          <w:left w:w="0" w:type="dxa"/>
          <w:bottom w:w="0" w:type="dxa"/>
          <w:right w:w="5" w:type="dxa"/>
        </w:tblCellMar>
      </w:tblPr>
      <w:tblGrid>
        <w:gridCol w:w="670"/>
        <w:gridCol w:w="1854"/>
        <w:gridCol w:w="4809"/>
        <w:gridCol w:w="1417"/>
        <w:gridCol w:w="1276"/>
        <w:gridCol w:w="1276"/>
        <w:gridCol w:w="803"/>
        <w:gridCol w:w="803"/>
        <w:gridCol w:w="803"/>
        <w:gridCol w:w="1134"/>
      </w:tblGrid>
      <w:tr>
        <w:trPr>
          <w:trHeight w:val="463" w:hRule="atLeast"/>
        </w:trPr>
        <w:tc>
          <w:tcPr>
            <w:tcW w:w="670" w:type="dxa"/>
            <w:vMerge w:val="restart"/>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202"/>
              <w:jc w:val="center"/>
              <w:rPr>
                <w:rFonts w:ascii="Times New Roman" w:hAnsi="Times New Roman" w:eastAsia="Times New Roman"/>
                <w:kern w:val="0"/>
                <w:sz w:val="32"/>
                <w:szCs w:val="20"/>
              </w:rPr>
            </w:pPr>
            <w:r>
              <w:rPr>
                <w:rFonts w:hint="eastAsia" w:ascii="Times New Roman" w:hAnsi="Times New Roman"/>
                <w:kern w:val="0"/>
                <w:sz w:val="20"/>
                <w:szCs w:val="20"/>
              </w:rPr>
              <w:t>序号</w:t>
            </w:r>
          </w:p>
        </w:tc>
        <w:tc>
          <w:tcPr>
            <w:tcW w:w="1854" w:type="dxa"/>
            <w:vMerge w:val="restart"/>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192"/>
              <w:jc w:val="center"/>
              <w:rPr>
                <w:rFonts w:ascii="Times New Roman" w:hAnsi="Times New Roman" w:eastAsia="Times New Roman"/>
                <w:kern w:val="0"/>
                <w:sz w:val="32"/>
                <w:szCs w:val="20"/>
              </w:rPr>
            </w:pPr>
            <w:r>
              <w:rPr>
                <w:rFonts w:hint="eastAsia" w:ascii="Times New Roman" w:hAnsi="Times New Roman"/>
                <w:kern w:val="0"/>
                <w:sz w:val="20"/>
                <w:szCs w:val="20"/>
              </w:rPr>
              <w:t>项目名称</w:t>
            </w:r>
          </w:p>
        </w:tc>
        <w:tc>
          <w:tcPr>
            <w:tcW w:w="4809" w:type="dxa"/>
            <w:vMerge w:val="restart"/>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262"/>
              <w:jc w:val="center"/>
              <w:rPr>
                <w:rFonts w:ascii="Times New Roman" w:hAnsi="Times New Roman" w:eastAsia="Times New Roman"/>
                <w:kern w:val="0"/>
                <w:sz w:val="32"/>
                <w:szCs w:val="20"/>
              </w:rPr>
            </w:pPr>
            <w:r>
              <w:rPr>
                <w:rFonts w:hint="eastAsia" w:ascii="Times New Roman" w:hAnsi="Times New Roman"/>
                <w:kern w:val="0"/>
                <w:sz w:val="20"/>
                <w:szCs w:val="20"/>
              </w:rPr>
              <w:t>主要建设内容</w:t>
            </w:r>
          </w:p>
        </w:tc>
        <w:tc>
          <w:tcPr>
            <w:tcW w:w="1417" w:type="dxa"/>
            <w:vMerge w:val="restart"/>
            <w:tcBorders>
              <w:top w:val="single" w:color="000000" w:sz="4" w:space="0"/>
              <w:left w:val="single" w:color="000000" w:sz="4" w:space="0"/>
              <w:bottom w:val="single" w:color="000000" w:sz="4" w:space="0"/>
              <w:right w:val="single" w:color="000000" w:sz="4" w:space="0"/>
            </w:tcBorders>
            <w:vAlign w:val="center"/>
          </w:tcPr>
          <w:p>
            <w:pPr>
              <w:widowControl/>
              <w:spacing w:line="259" w:lineRule="auto"/>
              <w:jc w:val="center"/>
              <w:rPr>
                <w:rFonts w:ascii="Times New Roman" w:hAnsi="Times New Roman" w:eastAsia="Times New Roman"/>
                <w:kern w:val="0"/>
                <w:sz w:val="32"/>
                <w:szCs w:val="20"/>
              </w:rPr>
            </w:pPr>
            <w:r>
              <w:rPr>
                <w:rFonts w:hint="eastAsia" w:ascii="Times New Roman" w:hAnsi="Times New Roman"/>
                <w:kern w:val="0"/>
                <w:sz w:val="20"/>
                <w:szCs w:val="20"/>
              </w:rPr>
              <w:t>建设时限</w:t>
            </w:r>
          </w:p>
        </w:tc>
        <w:tc>
          <w:tcPr>
            <w:tcW w:w="1276" w:type="dxa"/>
            <w:vMerge w:val="restart"/>
            <w:tcBorders>
              <w:top w:val="single" w:color="000000" w:sz="4" w:space="0"/>
              <w:left w:val="single" w:color="000000" w:sz="4" w:space="0"/>
              <w:bottom w:val="single" w:color="000000" w:sz="4" w:space="0"/>
              <w:right w:val="single" w:color="000000" w:sz="4" w:space="0"/>
            </w:tcBorders>
            <w:vAlign w:val="center"/>
          </w:tcPr>
          <w:p>
            <w:pPr>
              <w:widowControl/>
              <w:spacing w:line="259" w:lineRule="auto"/>
              <w:jc w:val="center"/>
              <w:rPr>
                <w:rFonts w:ascii="Times New Roman" w:hAnsi="Times New Roman" w:eastAsia="Times New Roman"/>
                <w:kern w:val="0"/>
                <w:sz w:val="32"/>
                <w:szCs w:val="20"/>
              </w:rPr>
            </w:pPr>
            <w:r>
              <w:rPr>
                <w:rFonts w:hint="eastAsia" w:ascii="Times New Roman" w:hAnsi="Times New Roman"/>
                <w:kern w:val="0"/>
                <w:sz w:val="20"/>
                <w:szCs w:val="20"/>
              </w:rPr>
              <w:t>负责部门</w:t>
            </w:r>
          </w:p>
        </w:tc>
        <w:tc>
          <w:tcPr>
            <w:tcW w:w="1276"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156"/>
              <w:jc w:val="center"/>
              <w:rPr>
                <w:rFonts w:ascii="Times New Roman" w:hAnsi="Times New Roman" w:eastAsia="Times New Roman"/>
                <w:kern w:val="0"/>
                <w:sz w:val="32"/>
                <w:szCs w:val="20"/>
              </w:rPr>
            </w:pPr>
            <w:r>
              <w:rPr>
                <w:rFonts w:hint="eastAsia" w:ascii="Times New Roman" w:hAnsi="Times New Roman"/>
                <w:kern w:val="0"/>
                <w:sz w:val="20"/>
                <w:szCs w:val="20"/>
              </w:rPr>
              <w:t>总投资</w:t>
            </w:r>
          </w:p>
        </w:tc>
        <w:tc>
          <w:tcPr>
            <w:tcW w:w="2409" w:type="dxa"/>
            <w:gridSpan w:val="3"/>
            <w:tcBorders>
              <w:top w:val="single" w:color="000000" w:sz="4" w:space="0"/>
              <w:left w:val="single" w:color="000000" w:sz="4" w:space="0"/>
              <w:bottom w:val="single" w:color="000000" w:sz="4" w:space="0"/>
              <w:right w:val="single" w:color="000000" w:sz="4" w:space="0"/>
            </w:tcBorders>
            <w:vAlign w:val="center"/>
          </w:tcPr>
          <w:p>
            <w:pPr>
              <w:widowControl/>
              <w:spacing w:after="160" w:line="259" w:lineRule="auto"/>
              <w:jc w:val="center"/>
              <w:rPr>
                <w:rFonts w:ascii="Times New Roman" w:hAnsi="Times New Roman" w:eastAsia="Times New Roman"/>
                <w:kern w:val="0"/>
                <w:sz w:val="32"/>
                <w:szCs w:val="20"/>
              </w:rPr>
            </w:pPr>
            <w:r>
              <w:rPr>
                <w:rFonts w:hint="eastAsia" w:ascii="Times New Roman" w:hAnsi="Times New Roman"/>
                <w:kern w:val="0"/>
                <w:sz w:val="20"/>
                <w:szCs w:val="20"/>
              </w:rPr>
              <w:t>投资渠道</w:t>
            </w:r>
          </w:p>
        </w:tc>
        <w:tc>
          <w:tcPr>
            <w:tcW w:w="1134" w:type="dxa"/>
            <w:vMerge w:val="restart"/>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149"/>
              <w:jc w:val="center"/>
              <w:rPr>
                <w:rFonts w:ascii="Times New Roman" w:hAnsi="Times New Roman" w:eastAsia="Times New Roman"/>
                <w:kern w:val="0"/>
                <w:sz w:val="32"/>
                <w:szCs w:val="20"/>
              </w:rPr>
            </w:pPr>
            <w:r>
              <w:rPr>
                <w:rFonts w:hint="eastAsia" w:ascii="Times New Roman" w:hAnsi="Times New Roman"/>
                <w:kern w:val="0"/>
                <w:sz w:val="20"/>
                <w:szCs w:val="20"/>
              </w:rPr>
              <w:t>备注</w:t>
            </w:r>
          </w:p>
        </w:tc>
      </w:tr>
      <w:tr>
        <w:tblPrEx>
          <w:tblCellMar>
            <w:top w:w="0" w:type="dxa"/>
            <w:left w:w="0" w:type="dxa"/>
            <w:bottom w:w="0" w:type="dxa"/>
            <w:right w:w="5" w:type="dxa"/>
          </w:tblCellMar>
        </w:tblPrEx>
        <w:trPr>
          <w:trHeight w:val="463" w:hRule="atLeast"/>
        </w:trPr>
        <w:tc>
          <w:tcPr>
            <w:tcW w:w="670" w:type="dxa"/>
            <w:vMerge w:val="continue"/>
            <w:tcBorders>
              <w:top w:val="nil"/>
              <w:left w:val="single" w:color="000000" w:sz="4" w:space="0"/>
              <w:bottom w:val="single" w:color="000000" w:sz="4" w:space="0"/>
              <w:right w:val="single" w:color="000000" w:sz="4" w:space="0"/>
            </w:tcBorders>
            <w:vAlign w:val="center"/>
          </w:tcPr>
          <w:p>
            <w:pPr>
              <w:widowControl/>
              <w:spacing w:after="160" w:line="259" w:lineRule="auto"/>
              <w:jc w:val="center"/>
              <w:rPr>
                <w:rFonts w:ascii="Times New Roman" w:hAnsi="Times New Roman" w:eastAsia="Times New Roman"/>
                <w:kern w:val="0"/>
                <w:sz w:val="32"/>
                <w:szCs w:val="20"/>
              </w:rPr>
            </w:pPr>
          </w:p>
        </w:tc>
        <w:tc>
          <w:tcPr>
            <w:tcW w:w="1854" w:type="dxa"/>
            <w:vMerge w:val="continue"/>
            <w:tcBorders>
              <w:top w:val="nil"/>
              <w:left w:val="single" w:color="000000" w:sz="4" w:space="0"/>
              <w:bottom w:val="single" w:color="000000" w:sz="4" w:space="0"/>
              <w:right w:val="single" w:color="000000" w:sz="4" w:space="0"/>
            </w:tcBorders>
            <w:vAlign w:val="center"/>
          </w:tcPr>
          <w:p>
            <w:pPr>
              <w:widowControl/>
              <w:spacing w:after="160" w:line="259" w:lineRule="auto"/>
              <w:jc w:val="center"/>
              <w:rPr>
                <w:rFonts w:ascii="Times New Roman" w:hAnsi="Times New Roman" w:eastAsia="Times New Roman"/>
                <w:kern w:val="0"/>
                <w:sz w:val="32"/>
                <w:szCs w:val="20"/>
              </w:rPr>
            </w:pPr>
          </w:p>
        </w:tc>
        <w:tc>
          <w:tcPr>
            <w:tcW w:w="4809" w:type="dxa"/>
            <w:vMerge w:val="continue"/>
            <w:tcBorders>
              <w:top w:val="nil"/>
              <w:left w:val="single" w:color="000000" w:sz="4" w:space="0"/>
              <w:bottom w:val="single" w:color="000000" w:sz="4" w:space="0"/>
              <w:right w:val="single" w:color="000000" w:sz="4" w:space="0"/>
            </w:tcBorders>
            <w:vAlign w:val="center"/>
          </w:tcPr>
          <w:p>
            <w:pPr>
              <w:widowControl/>
              <w:spacing w:after="160" w:line="259" w:lineRule="auto"/>
              <w:jc w:val="center"/>
              <w:rPr>
                <w:rFonts w:ascii="Times New Roman" w:hAnsi="Times New Roman" w:eastAsia="Times New Roman"/>
                <w:kern w:val="0"/>
                <w:sz w:val="32"/>
                <w:szCs w:val="20"/>
              </w:rPr>
            </w:pPr>
          </w:p>
        </w:tc>
        <w:tc>
          <w:tcPr>
            <w:tcW w:w="1417" w:type="dxa"/>
            <w:vMerge w:val="continue"/>
            <w:tcBorders>
              <w:top w:val="nil"/>
              <w:left w:val="single" w:color="000000" w:sz="4" w:space="0"/>
              <w:bottom w:val="single" w:color="000000" w:sz="4" w:space="0"/>
              <w:right w:val="single" w:color="000000" w:sz="4" w:space="0"/>
            </w:tcBorders>
            <w:vAlign w:val="center"/>
          </w:tcPr>
          <w:p>
            <w:pPr>
              <w:widowControl/>
              <w:spacing w:after="160" w:line="259" w:lineRule="auto"/>
              <w:jc w:val="center"/>
              <w:rPr>
                <w:rFonts w:ascii="Times New Roman" w:hAnsi="Times New Roman" w:eastAsia="Times New Roman"/>
                <w:kern w:val="0"/>
                <w:sz w:val="32"/>
                <w:szCs w:val="20"/>
              </w:rPr>
            </w:pPr>
          </w:p>
        </w:tc>
        <w:tc>
          <w:tcPr>
            <w:tcW w:w="1276" w:type="dxa"/>
            <w:vMerge w:val="continue"/>
            <w:tcBorders>
              <w:top w:val="nil"/>
              <w:left w:val="single" w:color="000000" w:sz="4" w:space="0"/>
              <w:bottom w:val="single" w:color="000000" w:sz="4" w:space="0"/>
              <w:right w:val="single" w:color="000000" w:sz="4" w:space="0"/>
            </w:tcBorders>
            <w:vAlign w:val="center"/>
          </w:tcPr>
          <w:p>
            <w:pPr>
              <w:widowControl/>
              <w:spacing w:after="160" w:line="259" w:lineRule="auto"/>
              <w:jc w:val="center"/>
              <w:rPr>
                <w:rFonts w:ascii="Times New Roman" w:hAnsi="Times New Roman" w:eastAsia="Times New Roman"/>
                <w:kern w:val="0"/>
                <w:sz w:val="32"/>
                <w:szCs w:val="20"/>
              </w:rPr>
            </w:pPr>
          </w:p>
        </w:tc>
        <w:tc>
          <w:tcPr>
            <w:tcW w:w="1276"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262"/>
              <w:jc w:val="center"/>
              <w:rPr>
                <w:rFonts w:ascii="Times New Roman" w:hAnsi="Times New Roman" w:eastAsia="Times New Roman"/>
                <w:kern w:val="0"/>
                <w:sz w:val="32"/>
                <w:szCs w:val="20"/>
              </w:rPr>
            </w:pPr>
            <w:r>
              <w:rPr>
                <w:rFonts w:hint="eastAsia" w:ascii="Times New Roman" w:hAnsi="Times New Roman"/>
                <w:kern w:val="0"/>
                <w:sz w:val="20"/>
                <w:szCs w:val="20"/>
              </w:rPr>
              <w:t>万元</w:t>
            </w:r>
          </w:p>
        </w:tc>
        <w:tc>
          <w:tcPr>
            <w:tcW w:w="803"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259"/>
              <w:jc w:val="left"/>
              <w:rPr>
                <w:rFonts w:ascii="Times New Roman" w:hAnsi="Times New Roman" w:eastAsia="Times New Roman"/>
                <w:kern w:val="0"/>
                <w:sz w:val="32"/>
                <w:szCs w:val="20"/>
              </w:rPr>
            </w:pPr>
            <w:r>
              <w:rPr>
                <w:rFonts w:hint="eastAsia" w:ascii="Times New Roman" w:hAnsi="Times New Roman"/>
                <w:kern w:val="0"/>
                <w:sz w:val="20"/>
                <w:szCs w:val="20"/>
              </w:rPr>
              <w:t>企业</w:t>
            </w:r>
          </w:p>
        </w:tc>
        <w:tc>
          <w:tcPr>
            <w:tcW w:w="803"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264"/>
              <w:jc w:val="left"/>
              <w:rPr>
                <w:rFonts w:ascii="Times New Roman" w:hAnsi="Times New Roman" w:eastAsia="Times New Roman"/>
                <w:kern w:val="0"/>
                <w:sz w:val="32"/>
                <w:szCs w:val="20"/>
              </w:rPr>
            </w:pPr>
            <w:r>
              <w:rPr>
                <w:rFonts w:hint="eastAsia" w:ascii="Times New Roman" w:hAnsi="Times New Roman"/>
                <w:kern w:val="0"/>
                <w:sz w:val="20"/>
                <w:szCs w:val="20"/>
              </w:rPr>
              <w:t>地方</w:t>
            </w:r>
          </w:p>
        </w:tc>
        <w:tc>
          <w:tcPr>
            <w:tcW w:w="803"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259"/>
              <w:jc w:val="left"/>
              <w:rPr>
                <w:rFonts w:ascii="Times New Roman" w:hAnsi="Times New Roman" w:eastAsia="Times New Roman"/>
                <w:kern w:val="0"/>
                <w:sz w:val="32"/>
                <w:szCs w:val="20"/>
              </w:rPr>
            </w:pPr>
            <w:r>
              <w:rPr>
                <w:rFonts w:hint="eastAsia" w:ascii="Times New Roman" w:hAnsi="Times New Roman"/>
                <w:kern w:val="0"/>
                <w:sz w:val="20"/>
                <w:szCs w:val="20"/>
              </w:rPr>
              <w:t>国家</w:t>
            </w:r>
          </w:p>
        </w:tc>
        <w:tc>
          <w:tcPr>
            <w:tcW w:w="1134" w:type="dxa"/>
            <w:vMerge w:val="continue"/>
            <w:tcBorders>
              <w:top w:val="nil"/>
              <w:left w:val="single" w:color="000000" w:sz="4" w:space="0"/>
              <w:bottom w:val="single" w:color="auto" w:sz="4" w:space="0"/>
              <w:right w:val="single" w:color="000000" w:sz="4" w:space="0"/>
            </w:tcBorders>
          </w:tcPr>
          <w:p>
            <w:pPr>
              <w:widowControl/>
              <w:spacing w:after="160" w:line="259" w:lineRule="auto"/>
              <w:jc w:val="left"/>
              <w:rPr>
                <w:rFonts w:ascii="Times New Roman" w:hAnsi="Times New Roman" w:eastAsia="Times New Roman"/>
                <w:kern w:val="0"/>
                <w:sz w:val="32"/>
                <w:szCs w:val="20"/>
              </w:rPr>
            </w:pPr>
          </w:p>
        </w:tc>
      </w:tr>
      <w:tr>
        <w:tblPrEx>
          <w:tblCellMar>
            <w:top w:w="0" w:type="dxa"/>
            <w:left w:w="0" w:type="dxa"/>
            <w:bottom w:w="0" w:type="dxa"/>
            <w:right w:w="5" w:type="dxa"/>
          </w:tblCellMar>
        </w:tblPrEx>
        <w:trPr>
          <w:trHeight w:val="466" w:hRule="atLeast"/>
        </w:trPr>
        <w:tc>
          <w:tcPr>
            <w:tcW w:w="670"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3"/>
              <w:jc w:val="center"/>
              <w:rPr>
                <w:rFonts w:ascii="Times New Roman" w:hAnsi="Times New Roman" w:eastAsia="Times New Roman"/>
                <w:kern w:val="0"/>
                <w:sz w:val="32"/>
                <w:szCs w:val="20"/>
              </w:rPr>
            </w:pPr>
            <w:r>
              <w:rPr>
                <w:rFonts w:ascii="Times New Roman" w:hAnsi="Times New Roman"/>
                <w:kern w:val="0"/>
                <w:sz w:val="20"/>
                <w:szCs w:val="20"/>
              </w:rPr>
              <w:t>1</w:t>
            </w:r>
          </w:p>
        </w:tc>
        <w:tc>
          <w:tcPr>
            <w:tcW w:w="1854" w:type="dxa"/>
            <w:tcBorders>
              <w:top w:val="single" w:color="000000" w:sz="4" w:space="0"/>
              <w:left w:val="single" w:color="000000" w:sz="4" w:space="0"/>
              <w:bottom w:val="single" w:color="000000" w:sz="4" w:space="0"/>
              <w:right w:val="single" w:color="000000" w:sz="4" w:space="0"/>
            </w:tcBorders>
            <w:vAlign w:val="center"/>
          </w:tcPr>
          <w:p>
            <w:pPr>
              <w:jc w:val="center"/>
              <w:rPr>
                <w:rFonts w:ascii="Times New Roman" w:hAnsi="Times New Roman"/>
                <w:kern w:val="0"/>
                <w:sz w:val="20"/>
                <w:szCs w:val="20"/>
              </w:rPr>
            </w:pPr>
            <w:r>
              <w:rPr>
                <w:rFonts w:hint="eastAsia" w:ascii="Times New Roman" w:hAnsi="Times New Roman"/>
                <w:kern w:val="0"/>
                <w:sz w:val="20"/>
                <w:szCs w:val="20"/>
              </w:rPr>
              <w:t>悦来水厂管网改造项目</w:t>
            </w:r>
          </w:p>
        </w:tc>
        <w:tc>
          <w:tcPr>
            <w:tcW w:w="4809" w:type="dxa"/>
            <w:tcBorders>
              <w:top w:val="single" w:color="000000" w:sz="4" w:space="0"/>
              <w:left w:val="single" w:color="000000" w:sz="4" w:space="0"/>
              <w:bottom w:val="single" w:color="000000" w:sz="4" w:space="0"/>
              <w:right w:val="single" w:color="000000" w:sz="4" w:space="0"/>
            </w:tcBorders>
            <w:vAlign w:val="center"/>
          </w:tcPr>
          <w:p>
            <w:pPr>
              <w:jc w:val="center"/>
              <w:rPr>
                <w:rFonts w:ascii="Times New Roman" w:hAnsi="Times New Roman"/>
                <w:kern w:val="0"/>
                <w:sz w:val="20"/>
                <w:szCs w:val="20"/>
              </w:rPr>
            </w:pPr>
            <w:r>
              <w:rPr>
                <w:rFonts w:ascii="Times New Roman" w:hAnsi="Times New Roman"/>
                <w:kern w:val="0"/>
                <w:sz w:val="20"/>
                <w:szCs w:val="20"/>
              </w:rPr>
              <w:t>-</w:t>
            </w:r>
          </w:p>
        </w:tc>
        <w:tc>
          <w:tcPr>
            <w:tcW w:w="1417" w:type="dxa"/>
            <w:tcBorders>
              <w:top w:val="single" w:color="000000" w:sz="4" w:space="0"/>
              <w:left w:val="single" w:color="000000" w:sz="4" w:space="0"/>
              <w:bottom w:val="single" w:color="000000" w:sz="4" w:space="0"/>
              <w:right w:val="single" w:color="000000" w:sz="4" w:space="0"/>
            </w:tcBorders>
            <w:vAlign w:val="center"/>
          </w:tcPr>
          <w:p>
            <w:pPr>
              <w:jc w:val="center"/>
              <w:rPr>
                <w:rFonts w:ascii="Times New Roman" w:hAnsi="Times New Roman"/>
                <w:kern w:val="0"/>
                <w:sz w:val="20"/>
                <w:szCs w:val="20"/>
              </w:rPr>
            </w:pPr>
            <w:r>
              <w:rPr>
                <w:rFonts w:ascii="Times New Roman" w:hAnsi="Times New Roman"/>
                <w:kern w:val="0"/>
                <w:sz w:val="20"/>
                <w:szCs w:val="20"/>
              </w:rPr>
              <w:t>2021-2025</w:t>
            </w:r>
            <w:r>
              <w:rPr>
                <w:rFonts w:hint="eastAsia" w:ascii="Times New Roman" w:hAnsi="Times New Roman"/>
                <w:kern w:val="0"/>
                <w:sz w:val="20"/>
                <w:szCs w:val="20"/>
              </w:rPr>
              <w:t>年</w:t>
            </w:r>
          </w:p>
        </w:tc>
        <w:tc>
          <w:tcPr>
            <w:tcW w:w="1276" w:type="dxa"/>
            <w:tcBorders>
              <w:top w:val="single" w:color="000000" w:sz="4" w:space="0"/>
              <w:left w:val="single" w:color="000000" w:sz="4" w:space="0"/>
              <w:bottom w:val="single" w:color="000000" w:sz="4" w:space="0"/>
              <w:right w:val="single" w:color="000000" w:sz="4" w:space="0"/>
            </w:tcBorders>
            <w:vAlign w:val="center"/>
          </w:tcPr>
          <w:p>
            <w:pPr>
              <w:jc w:val="center"/>
              <w:rPr>
                <w:rFonts w:ascii="Times New Roman" w:hAnsi="Times New Roman"/>
                <w:kern w:val="0"/>
                <w:sz w:val="20"/>
                <w:szCs w:val="20"/>
              </w:rPr>
            </w:pPr>
            <w:r>
              <w:rPr>
                <w:rFonts w:hint="eastAsia" w:ascii="Times New Roman" w:hAnsi="Times New Roman"/>
                <w:kern w:val="0"/>
                <w:sz w:val="20"/>
                <w:szCs w:val="20"/>
              </w:rPr>
              <w:t>区城市管理局</w:t>
            </w:r>
          </w:p>
        </w:tc>
        <w:tc>
          <w:tcPr>
            <w:tcW w:w="1276"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50"/>
              <w:jc w:val="center"/>
              <w:rPr>
                <w:rFonts w:ascii="Times New Roman" w:hAnsi="Times New Roman" w:eastAsia="Times New Roman"/>
                <w:kern w:val="0"/>
                <w:sz w:val="32"/>
                <w:szCs w:val="20"/>
              </w:rPr>
            </w:pPr>
            <w:r>
              <w:rPr>
                <w:rFonts w:ascii="Times New Roman" w:hAnsi="Times New Roman"/>
                <w:kern w:val="0"/>
                <w:sz w:val="20"/>
                <w:szCs w:val="20"/>
              </w:rPr>
              <w:t>692</w:t>
            </w:r>
          </w:p>
        </w:tc>
        <w:tc>
          <w:tcPr>
            <w:tcW w:w="803"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53"/>
              <w:jc w:val="center"/>
              <w:rPr>
                <w:rFonts w:ascii="Malgun Gothic Semilight" w:hAnsi="Malgun Gothic Semilight" w:eastAsia="Malgun Gothic Semilight" w:cs="Malgun Gothic Semilight"/>
                <w:sz w:val="24"/>
                <w:szCs w:val="24"/>
              </w:rPr>
            </w:pPr>
            <w:r>
              <w:rPr>
                <w:rFonts w:hint="eastAsia" w:ascii="Malgun Gothic Semilight" w:hAnsi="Malgun Gothic Semilight" w:eastAsia="Malgun Gothic Semilight" w:cs="Malgun Gothic Semilight"/>
                <w:sz w:val="24"/>
                <w:szCs w:val="24"/>
              </w:rPr>
              <w:t>√</w:t>
            </w:r>
          </w:p>
        </w:tc>
        <w:tc>
          <w:tcPr>
            <w:tcW w:w="803"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53"/>
              <w:jc w:val="center"/>
              <w:rPr>
                <w:rFonts w:ascii="Times New Roman" w:hAnsi="Times New Roman" w:eastAsia="Times New Roman"/>
                <w:kern w:val="0"/>
                <w:sz w:val="24"/>
                <w:szCs w:val="24"/>
              </w:rPr>
            </w:pPr>
          </w:p>
        </w:tc>
        <w:tc>
          <w:tcPr>
            <w:tcW w:w="803" w:type="dxa"/>
            <w:tcBorders>
              <w:top w:val="single" w:color="000000" w:sz="4" w:space="0"/>
              <w:left w:val="single" w:color="000000" w:sz="4" w:space="0"/>
              <w:bottom w:val="single" w:color="000000" w:sz="4" w:space="0"/>
              <w:right w:val="single" w:color="auto" w:sz="4" w:space="0"/>
            </w:tcBorders>
            <w:vAlign w:val="center"/>
          </w:tcPr>
          <w:p>
            <w:pPr>
              <w:widowControl/>
              <w:spacing w:line="259" w:lineRule="auto"/>
              <w:ind w:left="53"/>
              <w:jc w:val="center"/>
              <w:rPr>
                <w:rFonts w:ascii="Times New Roman" w:hAnsi="Times New Roman" w:eastAsia="Times New Roman"/>
                <w:kern w:val="0"/>
                <w:sz w:val="32"/>
                <w:szCs w:val="20"/>
              </w:rPr>
            </w:pPr>
          </w:p>
        </w:tc>
        <w:tc>
          <w:tcPr>
            <w:tcW w:w="1134" w:type="dxa"/>
            <w:vMerge w:val="restart"/>
            <w:tcBorders>
              <w:top w:val="single" w:color="auto" w:sz="4" w:space="0"/>
              <w:left w:val="single" w:color="auto" w:sz="4" w:space="0"/>
              <w:right w:val="single" w:color="auto" w:sz="4" w:space="0"/>
            </w:tcBorders>
            <w:vAlign w:val="center"/>
          </w:tcPr>
          <w:p>
            <w:pPr>
              <w:spacing w:line="259" w:lineRule="auto"/>
              <w:ind w:left="52"/>
              <w:jc w:val="left"/>
              <w:rPr>
                <w:rFonts w:ascii="Times New Roman" w:hAnsi="Times New Roman" w:eastAsia="Times New Roman"/>
                <w:kern w:val="0"/>
                <w:sz w:val="32"/>
                <w:szCs w:val="20"/>
              </w:rPr>
            </w:pPr>
            <w:r>
              <w:rPr>
                <w:rFonts w:hint="eastAsia" w:ascii="宋体" w:hAnsi="宋体" w:cs="宋体"/>
                <w:kern w:val="0"/>
                <w:sz w:val="20"/>
                <w:szCs w:val="20"/>
              </w:rPr>
              <w:t>已列入《渝北区城市节水专项规划》</w:t>
            </w:r>
          </w:p>
        </w:tc>
      </w:tr>
      <w:tr>
        <w:tblPrEx>
          <w:tblCellMar>
            <w:top w:w="0" w:type="dxa"/>
            <w:left w:w="0" w:type="dxa"/>
            <w:bottom w:w="0" w:type="dxa"/>
            <w:right w:w="5" w:type="dxa"/>
          </w:tblCellMar>
        </w:tblPrEx>
        <w:trPr>
          <w:trHeight w:val="463" w:hRule="atLeast"/>
        </w:trPr>
        <w:tc>
          <w:tcPr>
            <w:tcW w:w="670"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3"/>
              <w:jc w:val="center"/>
              <w:rPr>
                <w:rFonts w:ascii="Times New Roman" w:hAnsi="Times New Roman" w:eastAsia="Times New Roman"/>
                <w:kern w:val="0"/>
                <w:sz w:val="32"/>
                <w:szCs w:val="20"/>
              </w:rPr>
            </w:pPr>
            <w:r>
              <w:rPr>
                <w:rFonts w:ascii="Times New Roman" w:hAnsi="Times New Roman"/>
                <w:kern w:val="0"/>
                <w:sz w:val="20"/>
                <w:szCs w:val="20"/>
              </w:rPr>
              <w:t>2</w:t>
            </w:r>
          </w:p>
        </w:tc>
        <w:tc>
          <w:tcPr>
            <w:tcW w:w="1854" w:type="dxa"/>
            <w:tcBorders>
              <w:top w:val="single" w:color="000000" w:sz="4" w:space="0"/>
              <w:left w:val="single" w:color="000000" w:sz="4" w:space="0"/>
              <w:bottom w:val="single" w:color="000000" w:sz="4" w:space="0"/>
              <w:right w:val="single" w:color="000000" w:sz="4" w:space="0"/>
            </w:tcBorders>
            <w:vAlign w:val="center"/>
          </w:tcPr>
          <w:p>
            <w:pPr>
              <w:jc w:val="center"/>
              <w:rPr>
                <w:rFonts w:ascii="Times New Roman" w:hAnsi="Times New Roman"/>
                <w:kern w:val="0"/>
                <w:sz w:val="20"/>
                <w:szCs w:val="20"/>
              </w:rPr>
            </w:pPr>
            <w:r>
              <w:rPr>
                <w:rFonts w:hint="eastAsia" w:ascii="Times New Roman" w:hAnsi="Times New Roman"/>
                <w:kern w:val="0"/>
                <w:sz w:val="20"/>
                <w:szCs w:val="20"/>
              </w:rPr>
              <w:t>“一户一表”改造工程</w:t>
            </w:r>
          </w:p>
        </w:tc>
        <w:tc>
          <w:tcPr>
            <w:tcW w:w="4809" w:type="dxa"/>
            <w:tcBorders>
              <w:top w:val="single" w:color="000000" w:sz="4" w:space="0"/>
              <w:left w:val="single" w:color="000000" w:sz="4" w:space="0"/>
              <w:bottom w:val="single" w:color="000000" w:sz="4" w:space="0"/>
              <w:right w:val="single" w:color="000000" w:sz="4" w:space="0"/>
            </w:tcBorders>
            <w:vAlign w:val="center"/>
          </w:tcPr>
          <w:p>
            <w:pPr>
              <w:jc w:val="center"/>
              <w:rPr>
                <w:rFonts w:ascii="Times New Roman" w:hAnsi="Times New Roman"/>
                <w:kern w:val="0"/>
                <w:sz w:val="20"/>
                <w:szCs w:val="20"/>
              </w:rPr>
            </w:pPr>
            <w:r>
              <w:rPr>
                <w:rFonts w:hint="eastAsia" w:ascii="Times New Roman" w:hAnsi="Times New Roman"/>
                <w:kern w:val="0"/>
                <w:sz w:val="20"/>
                <w:szCs w:val="20"/>
              </w:rPr>
              <w:t>城市建成区</w:t>
            </w:r>
            <w:r>
              <w:rPr>
                <w:rFonts w:ascii="Times New Roman" w:hAnsi="Times New Roman"/>
                <w:kern w:val="0"/>
                <w:sz w:val="20"/>
                <w:szCs w:val="20"/>
              </w:rPr>
              <w:t>20</w:t>
            </w:r>
            <w:r>
              <w:rPr>
                <w:rFonts w:hint="eastAsia" w:ascii="Times New Roman" w:hAnsi="Times New Roman"/>
                <w:kern w:val="0"/>
                <w:sz w:val="20"/>
                <w:szCs w:val="20"/>
              </w:rPr>
              <w:t>年以上老旧小区改造</w:t>
            </w:r>
          </w:p>
        </w:tc>
        <w:tc>
          <w:tcPr>
            <w:tcW w:w="1417" w:type="dxa"/>
            <w:tcBorders>
              <w:top w:val="single" w:color="000000" w:sz="4" w:space="0"/>
              <w:left w:val="single" w:color="000000" w:sz="4" w:space="0"/>
              <w:bottom w:val="single" w:color="000000" w:sz="4" w:space="0"/>
              <w:right w:val="single" w:color="000000" w:sz="4" w:space="0"/>
            </w:tcBorders>
            <w:vAlign w:val="center"/>
          </w:tcPr>
          <w:p>
            <w:pPr>
              <w:jc w:val="center"/>
              <w:rPr>
                <w:rFonts w:ascii="Times New Roman" w:hAnsi="Times New Roman"/>
                <w:kern w:val="0"/>
                <w:sz w:val="20"/>
                <w:szCs w:val="20"/>
              </w:rPr>
            </w:pPr>
            <w:r>
              <w:rPr>
                <w:rFonts w:ascii="Times New Roman" w:hAnsi="Times New Roman"/>
                <w:kern w:val="0"/>
                <w:sz w:val="20"/>
                <w:szCs w:val="20"/>
              </w:rPr>
              <w:t>2021-2025</w:t>
            </w:r>
            <w:r>
              <w:rPr>
                <w:rFonts w:hint="eastAsia" w:ascii="Times New Roman" w:hAnsi="Times New Roman"/>
                <w:kern w:val="0"/>
                <w:sz w:val="20"/>
                <w:szCs w:val="20"/>
              </w:rPr>
              <w:t>年</w:t>
            </w:r>
          </w:p>
        </w:tc>
        <w:tc>
          <w:tcPr>
            <w:tcW w:w="1276" w:type="dxa"/>
            <w:tcBorders>
              <w:top w:val="single" w:color="000000" w:sz="4" w:space="0"/>
              <w:left w:val="single" w:color="000000" w:sz="4" w:space="0"/>
              <w:bottom w:val="single" w:color="000000" w:sz="4" w:space="0"/>
              <w:right w:val="single" w:color="000000" w:sz="4" w:space="0"/>
            </w:tcBorders>
            <w:vAlign w:val="center"/>
          </w:tcPr>
          <w:p>
            <w:pPr>
              <w:jc w:val="center"/>
              <w:rPr>
                <w:rFonts w:ascii="Times New Roman" w:hAnsi="Times New Roman"/>
                <w:kern w:val="0"/>
                <w:sz w:val="20"/>
                <w:szCs w:val="20"/>
              </w:rPr>
            </w:pPr>
            <w:r>
              <w:rPr>
                <w:rFonts w:hint="eastAsia" w:ascii="Times New Roman" w:hAnsi="Times New Roman"/>
                <w:kern w:val="0"/>
                <w:sz w:val="20"/>
                <w:szCs w:val="20"/>
              </w:rPr>
              <w:t>区城市管理局</w:t>
            </w:r>
          </w:p>
        </w:tc>
        <w:tc>
          <w:tcPr>
            <w:tcW w:w="1276"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50"/>
              <w:jc w:val="center"/>
              <w:rPr>
                <w:rFonts w:ascii="Times New Roman" w:hAnsi="Times New Roman" w:eastAsia="Times New Roman"/>
                <w:kern w:val="0"/>
                <w:sz w:val="32"/>
                <w:szCs w:val="20"/>
              </w:rPr>
            </w:pPr>
            <w:r>
              <w:rPr>
                <w:rFonts w:ascii="Times New Roman" w:hAnsi="Times New Roman"/>
                <w:kern w:val="0"/>
                <w:sz w:val="20"/>
                <w:szCs w:val="20"/>
              </w:rPr>
              <w:t>3000</w:t>
            </w:r>
          </w:p>
        </w:tc>
        <w:tc>
          <w:tcPr>
            <w:tcW w:w="803"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53"/>
              <w:jc w:val="center"/>
              <w:rPr>
                <w:rFonts w:ascii="Malgun Gothic Semilight" w:hAnsi="Malgun Gothic Semilight" w:eastAsia="Malgun Gothic Semilight" w:cs="Malgun Gothic Semilight"/>
                <w:sz w:val="24"/>
                <w:szCs w:val="24"/>
              </w:rPr>
            </w:pPr>
            <w:r>
              <w:rPr>
                <w:rFonts w:hint="eastAsia" w:ascii="Malgun Gothic Semilight" w:hAnsi="Malgun Gothic Semilight" w:eastAsia="Malgun Gothic Semilight" w:cs="Malgun Gothic Semilight"/>
                <w:sz w:val="24"/>
                <w:szCs w:val="24"/>
              </w:rPr>
              <w:t>√</w:t>
            </w:r>
          </w:p>
        </w:tc>
        <w:tc>
          <w:tcPr>
            <w:tcW w:w="803"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53"/>
              <w:jc w:val="center"/>
              <w:rPr>
                <w:rFonts w:ascii="Times New Roman" w:hAnsi="Times New Roman" w:eastAsia="Times New Roman"/>
                <w:kern w:val="0"/>
                <w:sz w:val="24"/>
                <w:szCs w:val="24"/>
              </w:rPr>
            </w:pPr>
          </w:p>
        </w:tc>
        <w:tc>
          <w:tcPr>
            <w:tcW w:w="803" w:type="dxa"/>
            <w:tcBorders>
              <w:top w:val="single" w:color="000000" w:sz="4" w:space="0"/>
              <w:left w:val="single" w:color="000000" w:sz="4" w:space="0"/>
              <w:bottom w:val="single" w:color="000000" w:sz="4" w:space="0"/>
              <w:right w:val="single" w:color="auto" w:sz="4" w:space="0"/>
            </w:tcBorders>
            <w:vAlign w:val="center"/>
          </w:tcPr>
          <w:p>
            <w:pPr>
              <w:widowControl/>
              <w:spacing w:line="259" w:lineRule="auto"/>
              <w:ind w:left="53"/>
              <w:jc w:val="center"/>
              <w:rPr>
                <w:rFonts w:ascii="Times New Roman" w:hAnsi="Times New Roman" w:eastAsia="Times New Roman"/>
                <w:kern w:val="0"/>
                <w:sz w:val="32"/>
                <w:szCs w:val="20"/>
              </w:rPr>
            </w:pPr>
          </w:p>
        </w:tc>
        <w:tc>
          <w:tcPr>
            <w:tcW w:w="1134" w:type="dxa"/>
            <w:vMerge w:val="continue"/>
            <w:tcBorders>
              <w:left w:val="single" w:color="auto" w:sz="4" w:space="0"/>
              <w:right w:val="single" w:color="auto" w:sz="4" w:space="0"/>
            </w:tcBorders>
            <w:vAlign w:val="center"/>
          </w:tcPr>
          <w:p>
            <w:pPr>
              <w:spacing w:line="259" w:lineRule="auto"/>
              <w:ind w:left="52"/>
              <w:jc w:val="center"/>
              <w:rPr>
                <w:rFonts w:ascii="Times New Roman" w:hAnsi="Times New Roman" w:eastAsia="Times New Roman"/>
                <w:kern w:val="0"/>
                <w:sz w:val="32"/>
                <w:szCs w:val="20"/>
              </w:rPr>
            </w:pPr>
          </w:p>
        </w:tc>
      </w:tr>
      <w:tr>
        <w:tblPrEx>
          <w:tblCellMar>
            <w:top w:w="0" w:type="dxa"/>
            <w:left w:w="0" w:type="dxa"/>
            <w:bottom w:w="0" w:type="dxa"/>
            <w:right w:w="5" w:type="dxa"/>
          </w:tblCellMar>
        </w:tblPrEx>
        <w:trPr>
          <w:trHeight w:val="466" w:hRule="atLeast"/>
        </w:trPr>
        <w:tc>
          <w:tcPr>
            <w:tcW w:w="670"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jc w:val="center"/>
              <w:rPr>
                <w:rFonts w:ascii="Times New Roman" w:hAnsi="Times New Roman" w:eastAsia="Times New Roman"/>
                <w:kern w:val="0"/>
                <w:sz w:val="32"/>
                <w:szCs w:val="20"/>
              </w:rPr>
            </w:pPr>
            <w:r>
              <w:rPr>
                <w:rFonts w:ascii="Times New Roman" w:hAnsi="Times New Roman"/>
                <w:kern w:val="0"/>
                <w:sz w:val="20"/>
                <w:szCs w:val="20"/>
              </w:rPr>
              <w:t>3</w:t>
            </w:r>
          </w:p>
        </w:tc>
        <w:tc>
          <w:tcPr>
            <w:tcW w:w="1854" w:type="dxa"/>
            <w:tcBorders>
              <w:top w:val="single" w:color="000000" w:sz="4" w:space="0"/>
              <w:left w:val="single" w:color="000000" w:sz="4" w:space="0"/>
              <w:bottom w:val="single" w:color="000000" w:sz="4" w:space="0"/>
              <w:right w:val="single" w:color="000000" w:sz="4" w:space="0"/>
            </w:tcBorders>
            <w:vAlign w:val="center"/>
          </w:tcPr>
          <w:p>
            <w:pPr>
              <w:jc w:val="center"/>
              <w:rPr>
                <w:rFonts w:ascii="Times New Roman" w:hAnsi="Times New Roman"/>
                <w:kern w:val="0"/>
                <w:sz w:val="20"/>
                <w:szCs w:val="20"/>
              </w:rPr>
            </w:pPr>
            <w:r>
              <w:rPr>
                <w:rFonts w:hint="eastAsia" w:ascii="Times New Roman" w:hAnsi="Times New Roman"/>
                <w:kern w:val="0"/>
                <w:sz w:val="20"/>
                <w:szCs w:val="20"/>
              </w:rPr>
              <w:t>中国摩东侧纵一路</w:t>
            </w:r>
            <w:r>
              <w:rPr>
                <w:rFonts w:ascii="Times New Roman" w:hAnsi="Times New Roman"/>
                <w:kern w:val="0"/>
                <w:sz w:val="20"/>
                <w:szCs w:val="20"/>
              </w:rPr>
              <w:t>DN500</w:t>
            </w:r>
            <w:r>
              <w:rPr>
                <w:rFonts w:hint="eastAsia" w:ascii="Times New Roman" w:hAnsi="Times New Roman"/>
                <w:kern w:val="0"/>
                <w:sz w:val="20"/>
                <w:szCs w:val="20"/>
              </w:rPr>
              <w:t>给水管工程</w:t>
            </w:r>
          </w:p>
        </w:tc>
        <w:tc>
          <w:tcPr>
            <w:tcW w:w="4809" w:type="dxa"/>
            <w:tcBorders>
              <w:top w:val="single" w:color="000000" w:sz="4" w:space="0"/>
              <w:left w:val="single" w:color="000000" w:sz="4" w:space="0"/>
              <w:bottom w:val="single" w:color="000000" w:sz="4" w:space="0"/>
              <w:right w:val="single" w:color="000000" w:sz="4" w:space="0"/>
            </w:tcBorders>
            <w:vAlign w:val="center"/>
          </w:tcPr>
          <w:p>
            <w:pPr>
              <w:jc w:val="center"/>
              <w:rPr>
                <w:rFonts w:ascii="Times New Roman" w:hAnsi="Times New Roman"/>
                <w:kern w:val="0"/>
                <w:sz w:val="20"/>
                <w:szCs w:val="20"/>
              </w:rPr>
            </w:pPr>
            <w:r>
              <w:rPr>
                <w:rFonts w:hint="eastAsia" w:ascii="Times New Roman" w:hAnsi="Times New Roman"/>
                <w:kern w:val="0"/>
                <w:sz w:val="20"/>
                <w:szCs w:val="20"/>
              </w:rPr>
              <w:t>单侧布置管网</w:t>
            </w:r>
            <w:r>
              <w:rPr>
                <w:rFonts w:ascii="Times New Roman" w:hAnsi="Times New Roman"/>
                <w:kern w:val="0"/>
                <w:sz w:val="20"/>
                <w:szCs w:val="20"/>
              </w:rPr>
              <w:t>0.9km</w:t>
            </w:r>
            <w:r>
              <w:rPr>
                <w:rFonts w:hint="eastAsia" w:ascii="Times New Roman" w:hAnsi="Times New Roman"/>
                <w:kern w:val="0"/>
                <w:sz w:val="20"/>
                <w:szCs w:val="20"/>
              </w:rPr>
              <w:t>，直径</w:t>
            </w:r>
            <w:r>
              <w:rPr>
                <w:rFonts w:ascii="Times New Roman" w:hAnsi="Times New Roman"/>
                <w:kern w:val="0"/>
                <w:sz w:val="20"/>
                <w:szCs w:val="20"/>
              </w:rPr>
              <w:t>D500</w:t>
            </w:r>
            <w:r>
              <w:rPr>
                <w:rFonts w:hint="eastAsia" w:ascii="Times New Roman" w:hAnsi="Times New Roman"/>
                <w:kern w:val="0"/>
                <w:sz w:val="20"/>
                <w:szCs w:val="20"/>
              </w:rPr>
              <w:t>，球墨铸铁管、钢管</w:t>
            </w:r>
          </w:p>
        </w:tc>
        <w:tc>
          <w:tcPr>
            <w:tcW w:w="1417" w:type="dxa"/>
            <w:tcBorders>
              <w:top w:val="single" w:color="000000" w:sz="4" w:space="0"/>
              <w:left w:val="single" w:color="000000" w:sz="4" w:space="0"/>
              <w:bottom w:val="single" w:color="000000" w:sz="4" w:space="0"/>
              <w:right w:val="single" w:color="000000" w:sz="4" w:space="0"/>
            </w:tcBorders>
            <w:vAlign w:val="center"/>
          </w:tcPr>
          <w:p>
            <w:pPr>
              <w:jc w:val="center"/>
              <w:rPr>
                <w:rFonts w:ascii="Times New Roman" w:hAnsi="Times New Roman"/>
                <w:kern w:val="0"/>
                <w:sz w:val="20"/>
                <w:szCs w:val="20"/>
              </w:rPr>
            </w:pPr>
            <w:r>
              <w:rPr>
                <w:rFonts w:ascii="Times New Roman" w:hAnsi="Times New Roman"/>
                <w:kern w:val="0"/>
                <w:sz w:val="20"/>
                <w:szCs w:val="20"/>
              </w:rPr>
              <w:t>2021</w:t>
            </w:r>
            <w:r>
              <w:rPr>
                <w:rFonts w:hint="eastAsia" w:ascii="Times New Roman" w:hAnsi="Times New Roman"/>
                <w:kern w:val="0"/>
                <w:sz w:val="20"/>
                <w:szCs w:val="20"/>
              </w:rPr>
              <w:t>年</w:t>
            </w:r>
          </w:p>
        </w:tc>
        <w:tc>
          <w:tcPr>
            <w:tcW w:w="1276" w:type="dxa"/>
            <w:tcBorders>
              <w:top w:val="single" w:color="000000" w:sz="4" w:space="0"/>
              <w:left w:val="single" w:color="000000" w:sz="4" w:space="0"/>
              <w:bottom w:val="single" w:color="000000" w:sz="4" w:space="0"/>
              <w:right w:val="single" w:color="000000" w:sz="4" w:space="0"/>
            </w:tcBorders>
            <w:vAlign w:val="center"/>
          </w:tcPr>
          <w:p>
            <w:pPr>
              <w:jc w:val="center"/>
              <w:rPr>
                <w:rFonts w:ascii="Times New Roman" w:hAnsi="Times New Roman"/>
                <w:kern w:val="0"/>
                <w:sz w:val="20"/>
                <w:szCs w:val="20"/>
              </w:rPr>
            </w:pPr>
            <w:r>
              <w:rPr>
                <w:rFonts w:hint="eastAsia" w:ascii="Times New Roman" w:hAnsi="Times New Roman"/>
                <w:kern w:val="0"/>
                <w:sz w:val="20"/>
                <w:szCs w:val="20"/>
              </w:rPr>
              <w:t>区城市管理局</w:t>
            </w:r>
          </w:p>
        </w:tc>
        <w:tc>
          <w:tcPr>
            <w:tcW w:w="1276"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50"/>
              <w:jc w:val="center"/>
              <w:rPr>
                <w:rFonts w:ascii="Times New Roman" w:hAnsi="Times New Roman" w:eastAsia="Times New Roman"/>
                <w:kern w:val="0"/>
                <w:sz w:val="32"/>
                <w:szCs w:val="20"/>
              </w:rPr>
            </w:pPr>
            <w:r>
              <w:rPr>
                <w:rFonts w:ascii="Times New Roman" w:hAnsi="Times New Roman"/>
                <w:kern w:val="0"/>
                <w:sz w:val="20"/>
                <w:szCs w:val="20"/>
              </w:rPr>
              <w:t>181</w:t>
            </w:r>
          </w:p>
        </w:tc>
        <w:tc>
          <w:tcPr>
            <w:tcW w:w="803"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53"/>
              <w:jc w:val="center"/>
              <w:rPr>
                <w:rFonts w:ascii="Malgun Gothic Semilight" w:hAnsi="Malgun Gothic Semilight" w:eastAsia="Malgun Gothic Semilight" w:cs="Malgun Gothic Semilight"/>
                <w:sz w:val="24"/>
                <w:szCs w:val="24"/>
              </w:rPr>
            </w:pPr>
            <w:r>
              <w:rPr>
                <w:rFonts w:hint="eastAsia" w:ascii="Malgun Gothic Semilight" w:hAnsi="Malgun Gothic Semilight" w:eastAsia="Malgun Gothic Semilight" w:cs="Malgun Gothic Semilight"/>
                <w:sz w:val="24"/>
                <w:szCs w:val="24"/>
              </w:rPr>
              <w:t>√</w:t>
            </w:r>
          </w:p>
        </w:tc>
        <w:tc>
          <w:tcPr>
            <w:tcW w:w="803"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53"/>
              <w:jc w:val="center"/>
              <w:rPr>
                <w:rFonts w:ascii="Times New Roman" w:hAnsi="Times New Roman" w:eastAsia="Times New Roman"/>
                <w:kern w:val="0"/>
                <w:sz w:val="24"/>
                <w:szCs w:val="24"/>
              </w:rPr>
            </w:pPr>
          </w:p>
        </w:tc>
        <w:tc>
          <w:tcPr>
            <w:tcW w:w="803" w:type="dxa"/>
            <w:tcBorders>
              <w:top w:val="single" w:color="000000" w:sz="4" w:space="0"/>
              <w:left w:val="single" w:color="000000" w:sz="4" w:space="0"/>
              <w:bottom w:val="single" w:color="000000" w:sz="4" w:space="0"/>
              <w:right w:val="single" w:color="auto" w:sz="4" w:space="0"/>
            </w:tcBorders>
            <w:vAlign w:val="center"/>
          </w:tcPr>
          <w:p>
            <w:pPr>
              <w:widowControl/>
              <w:spacing w:line="259" w:lineRule="auto"/>
              <w:ind w:left="53"/>
              <w:jc w:val="center"/>
              <w:rPr>
                <w:rFonts w:ascii="Times New Roman" w:hAnsi="Times New Roman" w:eastAsia="Times New Roman"/>
                <w:kern w:val="0"/>
                <w:sz w:val="32"/>
                <w:szCs w:val="20"/>
              </w:rPr>
            </w:pPr>
          </w:p>
        </w:tc>
        <w:tc>
          <w:tcPr>
            <w:tcW w:w="1134" w:type="dxa"/>
            <w:vMerge w:val="continue"/>
            <w:tcBorders>
              <w:left w:val="single" w:color="auto" w:sz="4" w:space="0"/>
              <w:right w:val="single" w:color="auto" w:sz="4" w:space="0"/>
            </w:tcBorders>
            <w:vAlign w:val="center"/>
          </w:tcPr>
          <w:p>
            <w:pPr>
              <w:spacing w:line="259" w:lineRule="auto"/>
              <w:ind w:left="52"/>
              <w:jc w:val="center"/>
              <w:rPr>
                <w:rFonts w:ascii="Times New Roman" w:hAnsi="Times New Roman" w:eastAsia="Times New Roman"/>
                <w:kern w:val="0"/>
                <w:sz w:val="32"/>
                <w:szCs w:val="20"/>
              </w:rPr>
            </w:pPr>
          </w:p>
        </w:tc>
      </w:tr>
      <w:tr>
        <w:tblPrEx>
          <w:tblCellMar>
            <w:top w:w="0" w:type="dxa"/>
            <w:left w:w="0" w:type="dxa"/>
            <w:bottom w:w="0" w:type="dxa"/>
            <w:right w:w="5" w:type="dxa"/>
          </w:tblCellMar>
        </w:tblPrEx>
        <w:trPr>
          <w:trHeight w:val="466" w:hRule="atLeast"/>
        </w:trPr>
        <w:tc>
          <w:tcPr>
            <w:tcW w:w="670"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jc w:val="center"/>
              <w:rPr>
                <w:rFonts w:ascii="Times New Roman" w:hAnsi="Times New Roman"/>
                <w:kern w:val="0"/>
                <w:sz w:val="20"/>
                <w:szCs w:val="20"/>
              </w:rPr>
            </w:pPr>
            <w:r>
              <w:rPr>
                <w:rFonts w:ascii="Times New Roman" w:hAnsi="Times New Roman"/>
                <w:kern w:val="0"/>
                <w:sz w:val="20"/>
                <w:szCs w:val="20"/>
              </w:rPr>
              <w:t>4</w:t>
            </w:r>
          </w:p>
        </w:tc>
        <w:tc>
          <w:tcPr>
            <w:tcW w:w="1854" w:type="dxa"/>
            <w:tcBorders>
              <w:top w:val="single" w:color="000000" w:sz="4" w:space="0"/>
              <w:left w:val="single" w:color="000000" w:sz="4" w:space="0"/>
              <w:bottom w:val="single" w:color="000000" w:sz="4" w:space="0"/>
              <w:right w:val="single" w:color="000000" w:sz="4" w:space="0"/>
            </w:tcBorders>
            <w:vAlign w:val="center"/>
          </w:tcPr>
          <w:p>
            <w:pPr>
              <w:jc w:val="center"/>
              <w:rPr>
                <w:rFonts w:ascii="Times New Roman" w:hAnsi="Times New Roman"/>
                <w:kern w:val="0"/>
                <w:sz w:val="20"/>
                <w:szCs w:val="20"/>
              </w:rPr>
            </w:pPr>
            <w:r>
              <w:rPr>
                <w:rFonts w:hint="eastAsia" w:ascii="Times New Roman" w:hAnsi="Times New Roman"/>
                <w:kern w:val="0"/>
                <w:sz w:val="20"/>
                <w:szCs w:val="20"/>
              </w:rPr>
              <w:t>宝山路延伸段</w:t>
            </w:r>
            <w:r>
              <w:rPr>
                <w:rFonts w:ascii="Times New Roman" w:hAnsi="Times New Roman"/>
                <w:kern w:val="0"/>
                <w:sz w:val="20"/>
                <w:szCs w:val="20"/>
              </w:rPr>
              <w:t xml:space="preserve"> K1+360-K2+340 </w:t>
            </w:r>
            <w:r>
              <w:rPr>
                <w:rFonts w:hint="eastAsia" w:ascii="Times New Roman" w:hAnsi="Times New Roman"/>
                <w:kern w:val="0"/>
                <w:sz w:val="20"/>
                <w:szCs w:val="20"/>
              </w:rPr>
              <w:t>段</w:t>
            </w:r>
            <w:r>
              <w:rPr>
                <w:rFonts w:ascii="Times New Roman" w:hAnsi="Times New Roman"/>
                <w:kern w:val="0"/>
                <w:sz w:val="20"/>
                <w:szCs w:val="20"/>
              </w:rPr>
              <w:t xml:space="preserve"> DN400 </w:t>
            </w:r>
            <w:r>
              <w:rPr>
                <w:rFonts w:hint="eastAsia" w:ascii="Times New Roman" w:hAnsi="Times New Roman"/>
                <w:kern w:val="0"/>
                <w:sz w:val="20"/>
                <w:szCs w:val="20"/>
              </w:rPr>
              <w:t>给水管道工程</w:t>
            </w:r>
          </w:p>
        </w:tc>
        <w:tc>
          <w:tcPr>
            <w:tcW w:w="4809" w:type="dxa"/>
            <w:tcBorders>
              <w:top w:val="single" w:color="000000" w:sz="4" w:space="0"/>
              <w:left w:val="single" w:color="000000" w:sz="4" w:space="0"/>
              <w:bottom w:val="single" w:color="000000" w:sz="4" w:space="0"/>
              <w:right w:val="single" w:color="000000" w:sz="4" w:space="0"/>
            </w:tcBorders>
            <w:vAlign w:val="center"/>
          </w:tcPr>
          <w:p>
            <w:pPr>
              <w:jc w:val="center"/>
              <w:rPr>
                <w:rFonts w:ascii="Times New Roman" w:hAnsi="Times New Roman"/>
                <w:kern w:val="0"/>
                <w:sz w:val="20"/>
                <w:szCs w:val="20"/>
              </w:rPr>
            </w:pPr>
            <w:r>
              <w:rPr>
                <w:rFonts w:hint="eastAsia" w:ascii="Times New Roman" w:hAnsi="Times New Roman"/>
                <w:kern w:val="0"/>
                <w:sz w:val="20"/>
                <w:szCs w:val="20"/>
              </w:rPr>
              <w:t>单侧布置管网</w:t>
            </w:r>
            <w:r>
              <w:rPr>
                <w:rFonts w:ascii="Times New Roman" w:hAnsi="Times New Roman"/>
                <w:kern w:val="0"/>
                <w:sz w:val="20"/>
                <w:szCs w:val="20"/>
              </w:rPr>
              <w:t>1.1km</w:t>
            </w:r>
            <w:r>
              <w:rPr>
                <w:rFonts w:hint="eastAsia" w:ascii="Times New Roman" w:hAnsi="Times New Roman"/>
                <w:kern w:val="0"/>
                <w:sz w:val="20"/>
                <w:szCs w:val="20"/>
              </w:rPr>
              <w:t>，管径</w:t>
            </w:r>
            <w:r>
              <w:rPr>
                <w:rFonts w:ascii="Times New Roman" w:hAnsi="Times New Roman"/>
                <w:kern w:val="0"/>
                <w:sz w:val="20"/>
                <w:szCs w:val="20"/>
              </w:rPr>
              <w:t>DN400</w:t>
            </w:r>
            <w:r>
              <w:rPr>
                <w:rFonts w:hint="eastAsia" w:ascii="Times New Roman" w:hAnsi="Times New Roman"/>
                <w:kern w:val="0"/>
                <w:sz w:val="20"/>
                <w:szCs w:val="20"/>
              </w:rPr>
              <w:t>，球墨铸铁管、钢管</w:t>
            </w:r>
          </w:p>
        </w:tc>
        <w:tc>
          <w:tcPr>
            <w:tcW w:w="1417" w:type="dxa"/>
            <w:tcBorders>
              <w:top w:val="single" w:color="000000" w:sz="4" w:space="0"/>
              <w:left w:val="single" w:color="000000" w:sz="4" w:space="0"/>
              <w:bottom w:val="single" w:color="000000" w:sz="4" w:space="0"/>
              <w:right w:val="single" w:color="000000" w:sz="4" w:space="0"/>
            </w:tcBorders>
            <w:vAlign w:val="center"/>
          </w:tcPr>
          <w:p>
            <w:pPr>
              <w:jc w:val="center"/>
              <w:rPr>
                <w:rFonts w:ascii="Times New Roman" w:hAnsi="Times New Roman"/>
                <w:kern w:val="0"/>
                <w:sz w:val="20"/>
                <w:szCs w:val="20"/>
              </w:rPr>
            </w:pPr>
            <w:r>
              <w:rPr>
                <w:rFonts w:ascii="Times New Roman" w:hAnsi="Times New Roman"/>
                <w:kern w:val="0"/>
                <w:sz w:val="20"/>
                <w:szCs w:val="20"/>
              </w:rPr>
              <w:t>2021</w:t>
            </w:r>
            <w:r>
              <w:rPr>
                <w:rFonts w:hint="eastAsia" w:ascii="Times New Roman" w:hAnsi="Times New Roman"/>
                <w:kern w:val="0"/>
                <w:sz w:val="20"/>
                <w:szCs w:val="20"/>
              </w:rPr>
              <w:t>年</w:t>
            </w:r>
          </w:p>
        </w:tc>
        <w:tc>
          <w:tcPr>
            <w:tcW w:w="1276" w:type="dxa"/>
            <w:tcBorders>
              <w:top w:val="single" w:color="000000" w:sz="4" w:space="0"/>
              <w:left w:val="single" w:color="000000" w:sz="4" w:space="0"/>
              <w:bottom w:val="single" w:color="000000" w:sz="4" w:space="0"/>
              <w:right w:val="single" w:color="000000" w:sz="4" w:space="0"/>
            </w:tcBorders>
            <w:vAlign w:val="center"/>
          </w:tcPr>
          <w:p>
            <w:pPr>
              <w:jc w:val="center"/>
              <w:rPr>
                <w:rFonts w:ascii="Times New Roman" w:hAnsi="Times New Roman"/>
                <w:kern w:val="0"/>
                <w:sz w:val="20"/>
                <w:szCs w:val="20"/>
              </w:rPr>
            </w:pPr>
            <w:r>
              <w:rPr>
                <w:rFonts w:hint="eastAsia" w:ascii="Times New Roman" w:hAnsi="Times New Roman"/>
                <w:kern w:val="0"/>
                <w:sz w:val="20"/>
                <w:szCs w:val="20"/>
              </w:rPr>
              <w:t>区城市管理局</w:t>
            </w:r>
          </w:p>
        </w:tc>
        <w:tc>
          <w:tcPr>
            <w:tcW w:w="1276" w:type="dxa"/>
            <w:tcBorders>
              <w:top w:val="single" w:color="000000" w:sz="4" w:space="0"/>
              <w:left w:val="single" w:color="000000" w:sz="4" w:space="0"/>
              <w:bottom w:val="single" w:color="000000" w:sz="4" w:space="0"/>
              <w:right w:val="single" w:color="000000" w:sz="4" w:space="0"/>
            </w:tcBorders>
            <w:vAlign w:val="center"/>
          </w:tcPr>
          <w:p>
            <w:pPr>
              <w:jc w:val="center"/>
              <w:rPr>
                <w:rFonts w:ascii="Times New Roman" w:hAnsi="Times New Roman"/>
                <w:kern w:val="0"/>
                <w:sz w:val="20"/>
                <w:szCs w:val="20"/>
              </w:rPr>
            </w:pPr>
            <w:r>
              <w:rPr>
                <w:rFonts w:ascii="Times New Roman" w:hAnsi="Times New Roman"/>
                <w:kern w:val="0"/>
                <w:sz w:val="20"/>
                <w:szCs w:val="20"/>
              </w:rPr>
              <w:t>132</w:t>
            </w:r>
          </w:p>
        </w:tc>
        <w:tc>
          <w:tcPr>
            <w:tcW w:w="803"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53"/>
              <w:jc w:val="center"/>
              <w:rPr>
                <w:rFonts w:ascii="Malgun Gothic Semilight" w:hAnsi="Malgun Gothic Semilight" w:eastAsia="Malgun Gothic Semilight" w:cs="Malgun Gothic Semilight"/>
                <w:sz w:val="24"/>
                <w:szCs w:val="24"/>
              </w:rPr>
            </w:pPr>
            <w:r>
              <w:rPr>
                <w:rFonts w:hint="eastAsia" w:ascii="Malgun Gothic Semilight" w:hAnsi="Malgun Gothic Semilight" w:eastAsia="Malgun Gothic Semilight" w:cs="Malgun Gothic Semilight"/>
                <w:sz w:val="24"/>
                <w:szCs w:val="24"/>
              </w:rPr>
              <w:t>√</w:t>
            </w:r>
          </w:p>
        </w:tc>
        <w:tc>
          <w:tcPr>
            <w:tcW w:w="803"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53"/>
              <w:jc w:val="center"/>
              <w:rPr>
                <w:rFonts w:ascii="Times New Roman" w:hAnsi="Times New Roman" w:eastAsia="Times New Roman"/>
                <w:kern w:val="0"/>
                <w:sz w:val="24"/>
                <w:szCs w:val="24"/>
              </w:rPr>
            </w:pPr>
          </w:p>
        </w:tc>
        <w:tc>
          <w:tcPr>
            <w:tcW w:w="803" w:type="dxa"/>
            <w:tcBorders>
              <w:top w:val="single" w:color="000000" w:sz="4" w:space="0"/>
              <w:left w:val="single" w:color="000000" w:sz="4" w:space="0"/>
              <w:bottom w:val="single" w:color="000000" w:sz="4" w:space="0"/>
              <w:right w:val="single" w:color="auto" w:sz="4" w:space="0"/>
            </w:tcBorders>
            <w:vAlign w:val="center"/>
          </w:tcPr>
          <w:p>
            <w:pPr>
              <w:widowControl/>
              <w:spacing w:line="259" w:lineRule="auto"/>
              <w:ind w:left="53"/>
              <w:jc w:val="center"/>
              <w:rPr>
                <w:rFonts w:ascii="Times New Roman" w:hAnsi="Times New Roman"/>
                <w:kern w:val="0"/>
                <w:sz w:val="20"/>
                <w:szCs w:val="20"/>
              </w:rPr>
            </w:pPr>
          </w:p>
        </w:tc>
        <w:tc>
          <w:tcPr>
            <w:tcW w:w="1134" w:type="dxa"/>
            <w:vMerge w:val="continue"/>
            <w:tcBorders>
              <w:left w:val="single" w:color="auto" w:sz="4" w:space="0"/>
              <w:right w:val="single" w:color="auto" w:sz="4" w:space="0"/>
            </w:tcBorders>
            <w:vAlign w:val="center"/>
          </w:tcPr>
          <w:p>
            <w:pPr>
              <w:spacing w:line="259" w:lineRule="auto"/>
              <w:ind w:left="52"/>
              <w:jc w:val="center"/>
              <w:rPr>
                <w:rFonts w:ascii="Times New Roman" w:hAnsi="Times New Roman"/>
                <w:kern w:val="0"/>
                <w:sz w:val="20"/>
                <w:szCs w:val="20"/>
              </w:rPr>
            </w:pPr>
          </w:p>
        </w:tc>
      </w:tr>
      <w:tr>
        <w:tblPrEx>
          <w:tblCellMar>
            <w:top w:w="0" w:type="dxa"/>
            <w:left w:w="0" w:type="dxa"/>
            <w:bottom w:w="0" w:type="dxa"/>
            <w:right w:w="5" w:type="dxa"/>
          </w:tblCellMar>
        </w:tblPrEx>
        <w:trPr>
          <w:trHeight w:val="466" w:hRule="atLeast"/>
        </w:trPr>
        <w:tc>
          <w:tcPr>
            <w:tcW w:w="670"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jc w:val="center"/>
              <w:rPr>
                <w:rFonts w:ascii="Times New Roman" w:hAnsi="Times New Roman"/>
                <w:kern w:val="0"/>
                <w:sz w:val="20"/>
                <w:szCs w:val="20"/>
              </w:rPr>
            </w:pPr>
            <w:r>
              <w:rPr>
                <w:rFonts w:ascii="Times New Roman" w:hAnsi="Times New Roman"/>
                <w:kern w:val="0"/>
                <w:sz w:val="20"/>
                <w:szCs w:val="20"/>
              </w:rPr>
              <w:t>5</w:t>
            </w:r>
          </w:p>
        </w:tc>
        <w:tc>
          <w:tcPr>
            <w:tcW w:w="1854" w:type="dxa"/>
            <w:tcBorders>
              <w:top w:val="single" w:color="000000" w:sz="4" w:space="0"/>
              <w:left w:val="single" w:color="000000" w:sz="4" w:space="0"/>
              <w:bottom w:val="single" w:color="000000" w:sz="4" w:space="0"/>
              <w:right w:val="single" w:color="000000" w:sz="4" w:space="0"/>
            </w:tcBorders>
            <w:vAlign w:val="center"/>
          </w:tcPr>
          <w:p>
            <w:pPr>
              <w:jc w:val="center"/>
              <w:rPr>
                <w:rFonts w:ascii="Times New Roman" w:hAnsi="Times New Roman"/>
                <w:kern w:val="0"/>
                <w:sz w:val="20"/>
                <w:szCs w:val="20"/>
              </w:rPr>
            </w:pPr>
            <w:r>
              <w:rPr>
                <w:rFonts w:hint="eastAsia" w:ascii="Times New Roman" w:hAnsi="Times New Roman"/>
                <w:kern w:val="0"/>
                <w:sz w:val="20"/>
                <w:szCs w:val="20"/>
              </w:rPr>
              <w:t>悦来水厂三期工程</w:t>
            </w:r>
          </w:p>
        </w:tc>
        <w:tc>
          <w:tcPr>
            <w:tcW w:w="4809" w:type="dxa"/>
            <w:tcBorders>
              <w:top w:val="single" w:color="000000" w:sz="4" w:space="0"/>
              <w:left w:val="single" w:color="000000" w:sz="4" w:space="0"/>
              <w:bottom w:val="single" w:color="000000" w:sz="4" w:space="0"/>
              <w:right w:val="single" w:color="000000" w:sz="4" w:space="0"/>
            </w:tcBorders>
            <w:vAlign w:val="center"/>
          </w:tcPr>
          <w:p>
            <w:pPr>
              <w:jc w:val="center"/>
              <w:rPr>
                <w:rFonts w:ascii="Times New Roman" w:hAnsi="Times New Roman"/>
                <w:kern w:val="0"/>
                <w:sz w:val="20"/>
                <w:szCs w:val="20"/>
              </w:rPr>
            </w:pPr>
            <w:r>
              <w:rPr>
                <w:rFonts w:hint="eastAsia" w:ascii="Times New Roman" w:hAnsi="Times New Roman"/>
                <w:kern w:val="0"/>
                <w:sz w:val="20"/>
                <w:szCs w:val="20"/>
              </w:rPr>
              <w:t>覆盖江北茶园水厂配套管网工程、六标段渝北区龙塔街道新溉大道力帆棠悦至兴盛大道梧桐郡</w:t>
            </w:r>
            <w:r>
              <w:rPr>
                <w:rFonts w:ascii="Times New Roman" w:hAnsi="Times New Roman"/>
                <w:kern w:val="0"/>
                <w:sz w:val="20"/>
                <w:szCs w:val="20"/>
              </w:rPr>
              <w:t xml:space="preserve">DN800 </w:t>
            </w:r>
            <w:r>
              <w:rPr>
                <w:rFonts w:hint="eastAsia" w:ascii="Times New Roman" w:hAnsi="Times New Roman"/>
                <w:kern w:val="0"/>
                <w:sz w:val="20"/>
                <w:szCs w:val="20"/>
              </w:rPr>
              <w:t>给水管道。单侧布置管网</w:t>
            </w:r>
            <w:r>
              <w:rPr>
                <w:rFonts w:ascii="Times New Roman" w:hAnsi="Times New Roman"/>
                <w:kern w:val="0"/>
                <w:sz w:val="20"/>
                <w:szCs w:val="20"/>
              </w:rPr>
              <w:t>1.3km</w:t>
            </w:r>
            <w:r>
              <w:rPr>
                <w:rFonts w:hint="eastAsia" w:ascii="Times New Roman" w:hAnsi="Times New Roman"/>
                <w:kern w:val="0"/>
                <w:sz w:val="20"/>
                <w:szCs w:val="20"/>
              </w:rPr>
              <w:t>，管径为</w:t>
            </w:r>
            <w:r>
              <w:rPr>
                <w:rFonts w:ascii="Times New Roman" w:hAnsi="Times New Roman"/>
                <w:kern w:val="0"/>
                <w:sz w:val="20"/>
                <w:szCs w:val="20"/>
              </w:rPr>
              <w:t xml:space="preserve"> DN800</w:t>
            </w:r>
            <w:r>
              <w:rPr>
                <w:rFonts w:hint="eastAsia" w:ascii="Times New Roman" w:hAnsi="Times New Roman"/>
                <w:kern w:val="0"/>
                <w:sz w:val="20"/>
                <w:szCs w:val="20"/>
              </w:rPr>
              <w:t>，钢管。</w:t>
            </w:r>
          </w:p>
        </w:tc>
        <w:tc>
          <w:tcPr>
            <w:tcW w:w="1417" w:type="dxa"/>
            <w:tcBorders>
              <w:top w:val="single" w:color="000000" w:sz="4" w:space="0"/>
              <w:left w:val="single" w:color="000000" w:sz="4" w:space="0"/>
              <w:bottom w:val="single" w:color="000000" w:sz="4" w:space="0"/>
              <w:right w:val="single" w:color="000000" w:sz="4" w:space="0"/>
            </w:tcBorders>
            <w:vAlign w:val="center"/>
          </w:tcPr>
          <w:p>
            <w:pPr>
              <w:jc w:val="center"/>
              <w:rPr>
                <w:rFonts w:ascii="Times New Roman" w:hAnsi="Times New Roman"/>
                <w:kern w:val="0"/>
                <w:sz w:val="20"/>
                <w:szCs w:val="20"/>
              </w:rPr>
            </w:pPr>
            <w:r>
              <w:rPr>
                <w:rFonts w:ascii="Times New Roman" w:hAnsi="Times New Roman"/>
                <w:kern w:val="0"/>
                <w:sz w:val="20"/>
                <w:szCs w:val="20"/>
              </w:rPr>
              <w:t>2021-2025</w:t>
            </w:r>
            <w:r>
              <w:rPr>
                <w:rFonts w:hint="eastAsia" w:ascii="Times New Roman" w:hAnsi="Times New Roman"/>
                <w:kern w:val="0"/>
                <w:sz w:val="20"/>
                <w:szCs w:val="20"/>
              </w:rPr>
              <w:t>年</w:t>
            </w:r>
          </w:p>
        </w:tc>
        <w:tc>
          <w:tcPr>
            <w:tcW w:w="1276" w:type="dxa"/>
            <w:tcBorders>
              <w:top w:val="single" w:color="000000" w:sz="4" w:space="0"/>
              <w:left w:val="single" w:color="000000" w:sz="4" w:space="0"/>
              <w:bottom w:val="single" w:color="000000" w:sz="4" w:space="0"/>
              <w:right w:val="single" w:color="000000" w:sz="4" w:space="0"/>
            </w:tcBorders>
            <w:vAlign w:val="center"/>
          </w:tcPr>
          <w:p>
            <w:pPr>
              <w:jc w:val="center"/>
              <w:rPr>
                <w:rFonts w:ascii="Times New Roman" w:hAnsi="Times New Roman"/>
                <w:kern w:val="0"/>
                <w:sz w:val="20"/>
                <w:szCs w:val="20"/>
              </w:rPr>
            </w:pPr>
            <w:r>
              <w:rPr>
                <w:rFonts w:hint="eastAsia" w:ascii="Times New Roman" w:hAnsi="Times New Roman"/>
                <w:kern w:val="0"/>
                <w:sz w:val="20"/>
                <w:szCs w:val="20"/>
              </w:rPr>
              <w:t>区城市管理局</w:t>
            </w:r>
          </w:p>
        </w:tc>
        <w:tc>
          <w:tcPr>
            <w:tcW w:w="1276" w:type="dxa"/>
            <w:tcBorders>
              <w:top w:val="single" w:color="000000" w:sz="4" w:space="0"/>
              <w:left w:val="single" w:color="000000" w:sz="4" w:space="0"/>
              <w:bottom w:val="single" w:color="000000" w:sz="4" w:space="0"/>
              <w:right w:val="single" w:color="000000" w:sz="4" w:space="0"/>
            </w:tcBorders>
            <w:vAlign w:val="center"/>
          </w:tcPr>
          <w:p>
            <w:pPr>
              <w:jc w:val="center"/>
              <w:rPr>
                <w:rFonts w:ascii="Times New Roman" w:hAnsi="Times New Roman"/>
                <w:kern w:val="0"/>
                <w:sz w:val="20"/>
                <w:szCs w:val="20"/>
              </w:rPr>
            </w:pPr>
            <w:r>
              <w:rPr>
                <w:rFonts w:ascii="Times New Roman" w:hAnsi="Times New Roman"/>
                <w:kern w:val="0"/>
                <w:sz w:val="20"/>
                <w:szCs w:val="20"/>
              </w:rPr>
              <w:t>390</w:t>
            </w:r>
          </w:p>
        </w:tc>
        <w:tc>
          <w:tcPr>
            <w:tcW w:w="803"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53"/>
              <w:jc w:val="center"/>
              <w:rPr>
                <w:rFonts w:ascii="Malgun Gothic Semilight" w:hAnsi="Malgun Gothic Semilight" w:eastAsia="Malgun Gothic Semilight" w:cs="Malgun Gothic Semilight"/>
                <w:sz w:val="24"/>
                <w:szCs w:val="24"/>
              </w:rPr>
            </w:pPr>
            <w:r>
              <w:rPr>
                <w:rFonts w:hint="eastAsia" w:ascii="Malgun Gothic Semilight" w:hAnsi="Malgun Gothic Semilight" w:eastAsia="Malgun Gothic Semilight" w:cs="Malgun Gothic Semilight"/>
                <w:sz w:val="24"/>
                <w:szCs w:val="24"/>
              </w:rPr>
              <w:t>√</w:t>
            </w:r>
          </w:p>
        </w:tc>
        <w:tc>
          <w:tcPr>
            <w:tcW w:w="803"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53"/>
              <w:jc w:val="center"/>
              <w:rPr>
                <w:rFonts w:ascii="Times New Roman" w:hAnsi="Times New Roman"/>
                <w:kern w:val="0"/>
                <w:sz w:val="24"/>
                <w:szCs w:val="24"/>
              </w:rPr>
            </w:pPr>
          </w:p>
        </w:tc>
        <w:tc>
          <w:tcPr>
            <w:tcW w:w="803" w:type="dxa"/>
            <w:tcBorders>
              <w:top w:val="single" w:color="000000" w:sz="4" w:space="0"/>
              <w:left w:val="single" w:color="000000" w:sz="4" w:space="0"/>
              <w:bottom w:val="single" w:color="000000" w:sz="4" w:space="0"/>
              <w:right w:val="single" w:color="auto" w:sz="4" w:space="0"/>
            </w:tcBorders>
            <w:vAlign w:val="center"/>
          </w:tcPr>
          <w:p>
            <w:pPr>
              <w:widowControl/>
              <w:spacing w:line="259" w:lineRule="auto"/>
              <w:ind w:left="53"/>
              <w:jc w:val="center"/>
              <w:rPr>
                <w:rFonts w:ascii="Times New Roman" w:hAnsi="Times New Roman"/>
                <w:kern w:val="0"/>
                <w:sz w:val="20"/>
                <w:szCs w:val="20"/>
              </w:rPr>
            </w:pPr>
          </w:p>
        </w:tc>
        <w:tc>
          <w:tcPr>
            <w:tcW w:w="1134" w:type="dxa"/>
            <w:vMerge w:val="continue"/>
            <w:tcBorders>
              <w:left w:val="single" w:color="auto" w:sz="4" w:space="0"/>
              <w:right w:val="single" w:color="auto" w:sz="4" w:space="0"/>
            </w:tcBorders>
            <w:vAlign w:val="center"/>
          </w:tcPr>
          <w:p>
            <w:pPr>
              <w:widowControl/>
              <w:spacing w:line="259" w:lineRule="auto"/>
              <w:ind w:left="52"/>
              <w:jc w:val="center"/>
              <w:rPr>
                <w:rFonts w:ascii="Times New Roman" w:hAnsi="Times New Roman"/>
                <w:kern w:val="0"/>
                <w:sz w:val="20"/>
                <w:szCs w:val="20"/>
              </w:rPr>
            </w:pPr>
          </w:p>
        </w:tc>
      </w:tr>
      <w:tr>
        <w:trPr>
          <w:trHeight w:val="466" w:hRule="atLeast"/>
        </w:trPr>
        <w:tc>
          <w:tcPr>
            <w:tcW w:w="670"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jc w:val="center"/>
              <w:rPr>
                <w:rFonts w:ascii="Times New Roman" w:hAnsi="Times New Roman"/>
                <w:kern w:val="0"/>
                <w:sz w:val="20"/>
                <w:szCs w:val="20"/>
              </w:rPr>
            </w:pPr>
            <w:r>
              <w:rPr>
                <w:rFonts w:ascii="Times New Roman" w:hAnsi="Times New Roman"/>
                <w:kern w:val="0"/>
                <w:sz w:val="20"/>
                <w:szCs w:val="20"/>
              </w:rPr>
              <w:t>6</w:t>
            </w:r>
          </w:p>
        </w:tc>
        <w:tc>
          <w:tcPr>
            <w:tcW w:w="1854" w:type="dxa"/>
            <w:tcBorders>
              <w:top w:val="single" w:color="000000" w:sz="4" w:space="0"/>
              <w:left w:val="single" w:color="000000" w:sz="4" w:space="0"/>
              <w:bottom w:val="single" w:color="000000" w:sz="4" w:space="0"/>
              <w:right w:val="single" w:color="000000" w:sz="4" w:space="0"/>
            </w:tcBorders>
            <w:vAlign w:val="center"/>
          </w:tcPr>
          <w:p>
            <w:pPr>
              <w:jc w:val="center"/>
              <w:rPr>
                <w:rFonts w:ascii="Times New Roman" w:hAnsi="Times New Roman"/>
                <w:kern w:val="0"/>
                <w:sz w:val="20"/>
                <w:szCs w:val="20"/>
              </w:rPr>
            </w:pPr>
            <w:r>
              <w:rPr>
                <w:rFonts w:hint="eastAsia" w:ascii="Times New Roman" w:hAnsi="Times New Roman"/>
                <w:kern w:val="0"/>
                <w:sz w:val="20"/>
                <w:szCs w:val="20"/>
              </w:rPr>
              <w:t>渝北两路片区交通缓堵应急道路</w:t>
            </w:r>
            <w:r>
              <w:rPr>
                <w:rFonts w:ascii="Times New Roman" w:hAnsi="Times New Roman"/>
                <w:kern w:val="0"/>
                <w:sz w:val="20"/>
                <w:szCs w:val="20"/>
              </w:rPr>
              <w:t xml:space="preserve"> DN1000 </w:t>
            </w:r>
            <w:r>
              <w:rPr>
                <w:rFonts w:hint="eastAsia" w:ascii="Times New Roman" w:hAnsi="Times New Roman"/>
                <w:kern w:val="0"/>
                <w:sz w:val="20"/>
                <w:szCs w:val="20"/>
              </w:rPr>
              <w:t>给水管道工程</w:t>
            </w:r>
          </w:p>
        </w:tc>
        <w:tc>
          <w:tcPr>
            <w:tcW w:w="4809" w:type="dxa"/>
            <w:tcBorders>
              <w:top w:val="single" w:color="000000" w:sz="4" w:space="0"/>
              <w:left w:val="single" w:color="000000" w:sz="4" w:space="0"/>
              <w:bottom w:val="single" w:color="000000" w:sz="4" w:space="0"/>
              <w:right w:val="single" w:color="000000" w:sz="4" w:space="0"/>
            </w:tcBorders>
            <w:vAlign w:val="center"/>
          </w:tcPr>
          <w:p>
            <w:pPr>
              <w:jc w:val="center"/>
              <w:rPr>
                <w:rFonts w:ascii="Times New Roman" w:hAnsi="Times New Roman"/>
                <w:kern w:val="0"/>
                <w:sz w:val="20"/>
                <w:szCs w:val="20"/>
              </w:rPr>
            </w:pPr>
            <w:r>
              <w:rPr>
                <w:rFonts w:hint="eastAsia" w:ascii="Times New Roman" w:hAnsi="Times New Roman"/>
                <w:kern w:val="0"/>
                <w:sz w:val="20"/>
                <w:szCs w:val="20"/>
              </w:rPr>
              <w:t>单侧布置管网</w:t>
            </w:r>
            <w:r>
              <w:rPr>
                <w:rFonts w:ascii="Times New Roman" w:hAnsi="Times New Roman"/>
                <w:kern w:val="0"/>
                <w:sz w:val="20"/>
                <w:szCs w:val="20"/>
              </w:rPr>
              <w:t>2.1km</w:t>
            </w:r>
            <w:r>
              <w:rPr>
                <w:rFonts w:hint="eastAsia" w:ascii="Times New Roman" w:hAnsi="Times New Roman"/>
                <w:kern w:val="0"/>
                <w:sz w:val="20"/>
                <w:szCs w:val="20"/>
              </w:rPr>
              <w:t>，管径为</w:t>
            </w:r>
            <w:r>
              <w:rPr>
                <w:rFonts w:ascii="Times New Roman" w:hAnsi="Times New Roman"/>
                <w:kern w:val="0"/>
                <w:sz w:val="20"/>
                <w:szCs w:val="20"/>
              </w:rPr>
              <w:t xml:space="preserve"> DN1000</w:t>
            </w:r>
            <w:r>
              <w:rPr>
                <w:rFonts w:hint="eastAsia" w:ascii="Times New Roman" w:hAnsi="Times New Roman"/>
                <w:kern w:val="0"/>
                <w:sz w:val="20"/>
                <w:szCs w:val="20"/>
              </w:rPr>
              <w:t>，钢管。</w:t>
            </w:r>
          </w:p>
        </w:tc>
        <w:tc>
          <w:tcPr>
            <w:tcW w:w="1417" w:type="dxa"/>
            <w:tcBorders>
              <w:top w:val="single" w:color="000000" w:sz="4" w:space="0"/>
              <w:left w:val="single" w:color="000000" w:sz="4" w:space="0"/>
              <w:bottom w:val="single" w:color="000000" w:sz="4" w:space="0"/>
              <w:right w:val="single" w:color="000000" w:sz="4" w:space="0"/>
            </w:tcBorders>
            <w:vAlign w:val="center"/>
          </w:tcPr>
          <w:p>
            <w:pPr>
              <w:jc w:val="center"/>
              <w:rPr>
                <w:rFonts w:ascii="Times New Roman" w:hAnsi="Times New Roman"/>
                <w:kern w:val="0"/>
                <w:sz w:val="20"/>
                <w:szCs w:val="20"/>
              </w:rPr>
            </w:pPr>
            <w:r>
              <w:rPr>
                <w:rFonts w:ascii="Times New Roman" w:hAnsi="Times New Roman"/>
                <w:kern w:val="0"/>
                <w:sz w:val="20"/>
                <w:szCs w:val="20"/>
              </w:rPr>
              <w:t>2021-2025</w:t>
            </w:r>
            <w:r>
              <w:rPr>
                <w:rFonts w:hint="eastAsia" w:ascii="Times New Roman" w:hAnsi="Times New Roman"/>
                <w:kern w:val="0"/>
                <w:sz w:val="20"/>
                <w:szCs w:val="20"/>
              </w:rPr>
              <w:t>年</w:t>
            </w:r>
          </w:p>
        </w:tc>
        <w:tc>
          <w:tcPr>
            <w:tcW w:w="1276" w:type="dxa"/>
            <w:tcBorders>
              <w:top w:val="single" w:color="000000" w:sz="4" w:space="0"/>
              <w:left w:val="single" w:color="000000" w:sz="4" w:space="0"/>
              <w:bottom w:val="single" w:color="000000" w:sz="4" w:space="0"/>
              <w:right w:val="single" w:color="000000" w:sz="4" w:space="0"/>
            </w:tcBorders>
            <w:vAlign w:val="center"/>
          </w:tcPr>
          <w:p>
            <w:pPr>
              <w:jc w:val="center"/>
              <w:rPr>
                <w:rFonts w:ascii="Times New Roman" w:hAnsi="Times New Roman"/>
                <w:kern w:val="0"/>
                <w:sz w:val="20"/>
                <w:szCs w:val="20"/>
              </w:rPr>
            </w:pPr>
            <w:r>
              <w:rPr>
                <w:rFonts w:hint="eastAsia" w:ascii="Times New Roman" w:hAnsi="Times New Roman"/>
                <w:kern w:val="0"/>
                <w:sz w:val="20"/>
                <w:szCs w:val="20"/>
              </w:rPr>
              <w:t>区城市管理局</w:t>
            </w:r>
          </w:p>
        </w:tc>
        <w:tc>
          <w:tcPr>
            <w:tcW w:w="1276" w:type="dxa"/>
            <w:tcBorders>
              <w:top w:val="single" w:color="000000" w:sz="4" w:space="0"/>
              <w:left w:val="single" w:color="000000" w:sz="4" w:space="0"/>
              <w:bottom w:val="single" w:color="000000" w:sz="4" w:space="0"/>
              <w:right w:val="single" w:color="000000" w:sz="4" w:space="0"/>
            </w:tcBorders>
            <w:vAlign w:val="center"/>
          </w:tcPr>
          <w:p>
            <w:pPr>
              <w:jc w:val="center"/>
              <w:rPr>
                <w:rFonts w:ascii="Times New Roman" w:hAnsi="Times New Roman"/>
                <w:kern w:val="0"/>
                <w:sz w:val="20"/>
                <w:szCs w:val="20"/>
              </w:rPr>
            </w:pPr>
            <w:r>
              <w:rPr>
                <w:rFonts w:ascii="Times New Roman" w:hAnsi="Times New Roman"/>
                <w:kern w:val="0"/>
                <w:sz w:val="20"/>
                <w:szCs w:val="20"/>
              </w:rPr>
              <w:t>640</w:t>
            </w:r>
          </w:p>
        </w:tc>
        <w:tc>
          <w:tcPr>
            <w:tcW w:w="803"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53"/>
              <w:jc w:val="center"/>
              <w:rPr>
                <w:rFonts w:ascii="Malgun Gothic Semilight" w:hAnsi="Malgun Gothic Semilight" w:eastAsia="Malgun Gothic Semilight" w:cs="Malgun Gothic Semilight"/>
                <w:sz w:val="24"/>
                <w:szCs w:val="24"/>
              </w:rPr>
            </w:pPr>
            <w:r>
              <w:rPr>
                <w:rFonts w:hint="eastAsia" w:ascii="Malgun Gothic Semilight" w:hAnsi="Malgun Gothic Semilight" w:eastAsia="Malgun Gothic Semilight" w:cs="Malgun Gothic Semilight"/>
                <w:sz w:val="24"/>
                <w:szCs w:val="24"/>
              </w:rPr>
              <w:t>√</w:t>
            </w:r>
          </w:p>
        </w:tc>
        <w:tc>
          <w:tcPr>
            <w:tcW w:w="803"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53"/>
              <w:jc w:val="center"/>
              <w:rPr>
                <w:rFonts w:ascii="Times New Roman" w:hAnsi="Times New Roman"/>
                <w:kern w:val="0"/>
                <w:sz w:val="24"/>
                <w:szCs w:val="24"/>
              </w:rPr>
            </w:pPr>
          </w:p>
        </w:tc>
        <w:tc>
          <w:tcPr>
            <w:tcW w:w="803" w:type="dxa"/>
            <w:tcBorders>
              <w:top w:val="single" w:color="000000" w:sz="4" w:space="0"/>
              <w:left w:val="single" w:color="000000" w:sz="4" w:space="0"/>
              <w:bottom w:val="single" w:color="000000" w:sz="4" w:space="0"/>
              <w:right w:val="single" w:color="auto" w:sz="4" w:space="0"/>
            </w:tcBorders>
            <w:vAlign w:val="center"/>
          </w:tcPr>
          <w:p>
            <w:pPr>
              <w:widowControl/>
              <w:spacing w:line="259" w:lineRule="auto"/>
              <w:ind w:left="53"/>
              <w:jc w:val="center"/>
              <w:rPr>
                <w:rFonts w:ascii="Times New Roman" w:hAnsi="Times New Roman"/>
                <w:kern w:val="0"/>
                <w:sz w:val="20"/>
                <w:szCs w:val="20"/>
              </w:rPr>
            </w:pPr>
          </w:p>
        </w:tc>
        <w:tc>
          <w:tcPr>
            <w:tcW w:w="1134" w:type="dxa"/>
            <w:vMerge w:val="continue"/>
            <w:tcBorders>
              <w:left w:val="single" w:color="auto" w:sz="4" w:space="0"/>
              <w:right w:val="single" w:color="auto" w:sz="4" w:space="0"/>
            </w:tcBorders>
            <w:vAlign w:val="center"/>
          </w:tcPr>
          <w:p>
            <w:pPr>
              <w:widowControl/>
              <w:spacing w:line="259" w:lineRule="auto"/>
              <w:ind w:left="52"/>
              <w:jc w:val="center"/>
              <w:rPr>
                <w:rFonts w:ascii="宋体" w:cs="宋体"/>
                <w:kern w:val="0"/>
                <w:sz w:val="20"/>
                <w:szCs w:val="20"/>
              </w:rPr>
            </w:pPr>
          </w:p>
        </w:tc>
      </w:tr>
      <w:tr>
        <w:tblPrEx>
          <w:tblCellMar>
            <w:top w:w="0" w:type="dxa"/>
            <w:left w:w="0" w:type="dxa"/>
            <w:bottom w:w="0" w:type="dxa"/>
            <w:right w:w="5" w:type="dxa"/>
          </w:tblCellMar>
        </w:tblPrEx>
        <w:trPr>
          <w:trHeight w:val="466" w:hRule="atLeast"/>
        </w:trPr>
        <w:tc>
          <w:tcPr>
            <w:tcW w:w="670"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jc w:val="center"/>
              <w:rPr>
                <w:rFonts w:ascii="Times New Roman" w:hAnsi="Times New Roman"/>
                <w:kern w:val="0"/>
                <w:sz w:val="20"/>
                <w:szCs w:val="20"/>
              </w:rPr>
            </w:pPr>
            <w:r>
              <w:rPr>
                <w:rFonts w:ascii="Times New Roman" w:hAnsi="Times New Roman"/>
                <w:kern w:val="0"/>
                <w:sz w:val="20"/>
                <w:szCs w:val="20"/>
              </w:rPr>
              <w:t>7</w:t>
            </w:r>
          </w:p>
        </w:tc>
        <w:tc>
          <w:tcPr>
            <w:tcW w:w="1854" w:type="dxa"/>
            <w:tcBorders>
              <w:top w:val="single" w:color="000000" w:sz="4" w:space="0"/>
              <w:left w:val="single" w:color="000000" w:sz="4" w:space="0"/>
              <w:bottom w:val="single" w:color="000000" w:sz="4" w:space="0"/>
              <w:right w:val="single" w:color="000000" w:sz="4" w:space="0"/>
            </w:tcBorders>
            <w:vAlign w:val="center"/>
          </w:tcPr>
          <w:p>
            <w:pPr>
              <w:jc w:val="center"/>
              <w:rPr>
                <w:rFonts w:ascii="Times New Roman" w:hAnsi="Times New Roman"/>
                <w:kern w:val="0"/>
                <w:sz w:val="20"/>
                <w:szCs w:val="20"/>
              </w:rPr>
            </w:pPr>
            <w:r>
              <w:rPr>
                <w:rFonts w:hint="eastAsia" w:ascii="Times New Roman" w:hAnsi="Times New Roman"/>
                <w:kern w:val="0"/>
                <w:sz w:val="20"/>
                <w:szCs w:val="20"/>
              </w:rPr>
              <w:t>都市丽人医院</w:t>
            </w:r>
            <w:r>
              <w:rPr>
                <w:rFonts w:ascii="Times New Roman" w:hAnsi="Times New Roman"/>
                <w:kern w:val="0"/>
                <w:sz w:val="20"/>
                <w:szCs w:val="20"/>
              </w:rPr>
              <w:t xml:space="preserve"> DN300</w:t>
            </w:r>
            <w:r>
              <w:rPr>
                <w:rFonts w:hint="eastAsia" w:ascii="Times New Roman" w:hAnsi="Times New Roman"/>
                <w:kern w:val="0"/>
                <w:sz w:val="20"/>
                <w:szCs w:val="20"/>
              </w:rPr>
              <w:t>，龙脊</w:t>
            </w:r>
          </w:p>
          <w:p>
            <w:pPr>
              <w:jc w:val="center"/>
              <w:rPr>
                <w:rFonts w:ascii="Times New Roman" w:hAnsi="Times New Roman"/>
                <w:kern w:val="0"/>
                <w:sz w:val="20"/>
                <w:szCs w:val="20"/>
              </w:rPr>
            </w:pPr>
            <w:r>
              <w:rPr>
                <w:rFonts w:hint="eastAsia" w:ascii="Times New Roman" w:hAnsi="Times New Roman"/>
                <w:kern w:val="0"/>
                <w:sz w:val="20"/>
                <w:szCs w:val="20"/>
              </w:rPr>
              <w:t>广场周边</w:t>
            </w:r>
            <w:r>
              <w:rPr>
                <w:rFonts w:ascii="Times New Roman" w:hAnsi="Times New Roman"/>
                <w:kern w:val="0"/>
                <w:sz w:val="20"/>
                <w:szCs w:val="20"/>
              </w:rPr>
              <w:t xml:space="preserve"> DN200</w:t>
            </w:r>
            <w:r>
              <w:rPr>
                <w:rFonts w:hint="eastAsia" w:ascii="Times New Roman" w:hAnsi="Times New Roman"/>
                <w:kern w:val="0"/>
                <w:sz w:val="20"/>
                <w:szCs w:val="20"/>
              </w:rPr>
              <w:t>、</w:t>
            </w:r>
            <w:r>
              <w:rPr>
                <w:rFonts w:ascii="Times New Roman" w:hAnsi="Times New Roman"/>
                <w:kern w:val="0"/>
                <w:sz w:val="20"/>
                <w:szCs w:val="20"/>
              </w:rPr>
              <w:t xml:space="preserve"> DN100 </w:t>
            </w:r>
            <w:r>
              <w:rPr>
                <w:rFonts w:hint="eastAsia" w:ascii="Times New Roman" w:hAnsi="Times New Roman"/>
                <w:kern w:val="0"/>
                <w:sz w:val="20"/>
                <w:szCs w:val="20"/>
              </w:rPr>
              <w:t>管道</w:t>
            </w:r>
          </w:p>
        </w:tc>
        <w:tc>
          <w:tcPr>
            <w:tcW w:w="4809" w:type="dxa"/>
            <w:tcBorders>
              <w:top w:val="single" w:color="000000" w:sz="4" w:space="0"/>
              <w:left w:val="single" w:color="000000" w:sz="4" w:space="0"/>
              <w:bottom w:val="single" w:color="000000" w:sz="4" w:space="0"/>
              <w:right w:val="single" w:color="000000" w:sz="4" w:space="0"/>
            </w:tcBorders>
            <w:vAlign w:val="center"/>
          </w:tcPr>
          <w:p>
            <w:pPr>
              <w:jc w:val="center"/>
              <w:rPr>
                <w:rFonts w:ascii="Times New Roman" w:hAnsi="Times New Roman"/>
                <w:kern w:val="0"/>
                <w:sz w:val="20"/>
                <w:szCs w:val="20"/>
              </w:rPr>
            </w:pPr>
            <w:r>
              <w:rPr>
                <w:rFonts w:hint="eastAsia" w:ascii="Times New Roman" w:hAnsi="Times New Roman"/>
                <w:kern w:val="0"/>
                <w:sz w:val="20"/>
                <w:szCs w:val="20"/>
              </w:rPr>
              <w:t>管网建设</w:t>
            </w:r>
            <w:r>
              <w:rPr>
                <w:rFonts w:ascii="Times New Roman" w:hAnsi="Times New Roman"/>
                <w:kern w:val="0"/>
                <w:sz w:val="20"/>
                <w:szCs w:val="20"/>
              </w:rPr>
              <w:t>3.96 km</w:t>
            </w:r>
          </w:p>
        </w:tc>
        <w:tc>
          <w:tcPr>
            <w:tcW w:w="1417" w:type="dxa"/>
            <w:tcBorders>
              <w:top w:val="single" w:color="000000" w:sz="4" w:space="0"/>
              <w:left w:val="single" w:color="000000" w:sz="4" w:space="0"/>
              <w:bottom w:val="single" w:color="000000" w:sz="4" w:space="0"/>
              <w:right w:val="single" w:color="000000" w:sz="4" w:space="0"/>
            </w:tcBorders>
            <w:vAlign w:val="center"/>
          </w:tcPr>
          <w:p>
            <w:pPr>
              <w:jc w:val="center"/>
              <w:rPr>
                <w:rFonts w:ascii="Times New Roman" w:hAnsi="Times New Roman"/>
                <w:kern w:val="0"/>
                <w:sz w:val="20"/>
                <w:szCs w:val="20"/>
              </w:rPr>
            </w:pPr>
            <w:r>
              <w:rPr>
                <w:rFonts w:ascii="Times New Roman" w:hAnsi="Times New Roman"/>
                <w:kern w:val="0"/>
                <w:sz w:val="20"/>
                <w:szCs w:val="20"/>
              </w:rPr>
              <w:t>2021</w:t>
            </w:r>
            <w:r>
              <w:rPr>
                <w:rFonts w:hint="eastAsia" w:ascii="Times New Roman" w:hAnsi="Times New Roman"/>
                <w:kern w:val="0"/>
                <w:sz w:val="20"/>
                <w:szCs w:val="20"/>
              </w:rPr>
              <w:t>年</w:t>
            </w:r>
          </w:p>
        </w:tc>
        <w:tc>
          <w:tcPr>
            <w:tcW w:w="1276" w:type="dxa"/>
            <w:tcBorders>
              <w:top w:val="single" w:color="000000" w:sz="4" w:space="0"/>
              <w:left w:val="single" w:color="000000" w:sz="4" w:space="0"/>
              <w:bottom w:val="single" w:color="000000" w:sz="4" w:space="0"/>
              <w:right w:val="single" w:color="000000" w:sz="4" w:space="0"/>
            </w:tcBorders>
            <w:vAlign w:val="center"/>
          </w:tcPr>
          <w:p>
            <w:pPr>
              <w:jc w:val="center"/>
              <w:rPr>
                <w:rFonts w:ascii="Times New Roman" w:hAnsi="Times New Roman"/>
                <w:kern w:val="0"/>
                <w:sz w:val="20"/>
                <w:szCs w:val="20"/>
              </w:rPr>
            </w:pPr>
            <w:r>
              <w:rPr>
                <w:rFonts w:hint="eastAsia" w:ascii="Times New Roman" w:hAnsi="Times New Roman"/>
                <w:kern w:val="0"/>
                <w:sz w:val="20"/>
                <w:szCs w:val="20"/>
              </w:rPr>
              <w:t>区城市管理局</w:t>
            </w:r>
          </w:p>
        </w:tc>
        <w:tc>
          <w:tcPr>
            <w:tcW w:w="1276" w:type="dxa"/>
            <w:tcBorders>
              <w:top w:val="single" w:color="000000" w:sz="4" w:space="0"/>
              <w:left w:val="single" w:color="000000" w:sz="4" w:space="0"/>
              <w:bottom w:val="single" w:color="000000" w:sz="4" w:space="0"/>
              <w:right w:val="single" w:color="000000" w:sz="4" w:space="0"/>
            </w:tcBorders>
            <w:vAlign w:val="center"/>
          </w:tcPr>
          <w:p>
            <w:pPr>
              <w:jc w:val="center"/>
              <w:rPr>
                <w:rFonts w:ascii="Times New Roman" w:hAnsi="Times New Roman"/>
                <w:kern w:val="0"/>
                <w:sz w:val="20"/>
                <w:szCs w:val="20"/>
              </w:rPr>
            </w:pPr>
            <w:r>
              <w:rPr>
                <w:rFonts w:ascii="Times New Roman" w:hAnsi="Times New Roman"/>
                <w:kern w:val="0"/>
                <w:sz w:val="20"/>
                <w:szCs w:val="20"/>
              </w:rPr>
              <w:t>1188</w:t>
            </w:r>
          </w:p>
        </w:tc>
        <w:tc>
          <w:tcPr>
            <w:tcW w:w="803"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53"/>
              <w:jc w:val="center"/>
              <w:rPr>
                <w:rFonts w:ascii="Malgun Gothic Semilight" w:hAnsi="Malgun Gothic Semilight" w:eastAsia="Malgun Gothic Semilight" w:cs="Malgun Gothic Semilight"/>
                <w:sz w:val="24"/>
                <w:szCs w:val="24"/>
              </w:rPr>
            </w:pPr>
            <w:r>
              <w:rPr>
                <w:rFonts w:hint="eastAsia" w:ascii="Malgun Gothic Semilight" w:hAnsi="Malgun Gothic Semilight" w:eastAsia="Malgun Gothic Semilight" w:cs="Malgun Gothic Semilight"/>
                <w:sz w:val="24"/>
                <w:szCs w:val="24"/>
              </w:rPr>
              <w:t>√</w:t>
            </w:r>
          </w:p>
        </w:tc>
        <w:tc>
          <w:tcPr>
            <w:tcW w:w="803"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53"/>
              <w:jc w:val="center"/>
              <w:rPr>
                <w:rFonts w:ascii="Times New Roman" w:hAnsi="Times New Roman"/>
                <w:kern w:val="0"/>
                <w:sz w:val="24"/>
                <w:szCs w:val="24"/>
              </w:rPr>
            </w:pPr>
          </w:p>
        </w:tc>
        <w:tc>
          <w:tcPr>
            <w:tcW w:w="803" w:type="dxa"/>
            <w:tcBorders>
              <w:top w:val="single" w:color="000000" w:sz="4" w:space="0"/>
              <w:left w:val="single" w:color="000000" w:sz="4" w:space="0"/>
              <w:bottom w:val="single" w:color="000000" w:sz="4" w:space="0"/>
              <w:right w:val="single" w:color="auto" w:sz="4" w:space="0"/>
            </w:tcBorders>
            <w:vAlign w:val="center"/>
          </w:tcPr>
          <w:p>
            <w:pPr>
              <w:widowControl/>
              <w:spacing w:line="259" w:lineRule="auto"/>
              <w:ind w:left="53"/>
              <w:jc w:val="center"/>
              <w:rPr>
                <w:rFonts w:ascii="Times New Roman" w:hAnsi="Times New Roman"/>
                <w:kern w:val="0"/>
                <w:sz w:val="20"/>
                <w:szCs w:val="20"/>
              </w:rPr>
            </w:pPr>
          </w:p>
        </w:tc>
        <w:tc>
          <w:tcPr>
            <w:tcW w:w="1134" w:type="dxa"/>
            <w:vMerge w:val="continue"/>
            <w:tcBorders>
              <w:left w:val="single" w:color="auto" w:sz="4" w:space="0"/>
              <w:bottom w:val="single" w:color="auto" w:sz="4" w:space="0"/>
              <w:right w:val="single" w:color="auto" w:sz="4" w:space="0"/>
            </w:tcBorders>
            <w:vAlign w:val="center"/>
          </w:tcPr>
          <w:p>
            <w:pPr>
              <w:widowControl/>
              <w:spacing w:line="259" w:lineRule="auto"/>
              <w:ind w:left="52"/>
              <w:jc w:val="center"/>
              <w:rPr>
                <w:rFonts w:ascii="宋体" w:cs="宋体"/>
                <w:kern w:val="0"/>
                <w:sz w:val="20"/>
                <w:szCs w:val="20"/>
              </w:rPr>
            </w:pPr>
          </w:p>
        </w:tc>
      </w:tr>
      <w:tr>
        <w:tblPrEx>
          <w:tblCellMar>
            <w:top w:w="0" w:type="dxa"/>
            <w:left w:w="0" w:type="dxa"/>
            <w:bottom w:w="0" w:type="dxa"/>
            <w:right w:w="5" w:type="dxa"/>
          </w:tblCellMar>
        </w:tblPrEx>
        <w:trPr>
          <w:trHeight w:val="466" w:hRule="atLeast"/>
        </w:trPr>
        <w:tc>
          <w:tcPr>
            <w:tcW w:w="670"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202"/>
              <w:jc w:val="center"/>
              <w:rPr>
                <w:rFonts w:ascii="Times New Roman" w:hAnsi="Times New Roman"/>
                <w:kern w:val="0"/>
                <w:sz w:val="20"/>
                <w:szCs w:val="20"/>
              </w:rPr>
            </w:pPr>
            <w:r>
              <w:rPr>
                <w:rFonts w:ascii="Times New Roman" w:hAnsi="Times New Roman"/>
                <w:kern w:val="0"/>
                <w:sz w:val="20"/>
                <w:szCs w:val="20"/>
              </w:rPr>
              <w:t>8</w:t>
            </w:r>
          </w:p>
        </w:tc>
        <w:tc>
          <w:tcPr>
            <w:tcW w:w="1854" w:type="dxa"/>
            <w:tcBorders>
              <w:top w:val="single" w:color="000000" w:sz="4" w:space="0"/>
              <w:left w:val="single" w:color="000000" w:sz="4" w:space="0"/>
              <w:bottom w:val="single" w:color="000000" w:sz="4" w:space="0"/>
              <w:right w:val="single" w:color="000000" w:sz="4" w:space="0"/>
            </w:tcBorders>
            <w:vAlign w:val="center"/>
          </w:tcPr>
          <w:p>
            <w:pPr>
              <w:jc w:val="center"/>
              <w:rPr>
                <w:rFonts w:ascii="Times New Roman" w:hAnsi="Times New Roman"/>
                <w:kern w:val="0"/>
                <w:sz w:val="20"/>
                <w:szCs w:val="20"/>
              </w:rPr>
            </w:pPr>
            <w:r>
              <w:rPr>
                <w:rFonts w:hint="eastAsia" w:ascii="Times New Roman" w:hAnsi="Times New Roman"/>
                <w:kern w:val="0"/>
                <w:sz w:val="20"/>
                <w:szCs w:val="20"/>
              </w:rPr>
              <w:t>龙华大道片区</w:t>
            </w:r>
          </w:p>
        </w:tc>
        <w:tc>
          <w:tcPr>
            <w:tcW w:w="4809" w:type="dxa"/>
            <w:tcBorders>
              <w:top w:val="single" w:color="000000" w:sz="4" w:space="0"/>
              <w:left w:val="single" w:color="000000" w:sz="4" w:space="0"/>
              <w:bottom w:val="single" w:color="000000" w:sz="4" w:space="0"/>
              <w:right w:val="single" w:color="000000" w:sz="4" w:space="0"/>
            </w:tcBorders>
            <w:vAlign w:val="center"/>
          </w:tcPr>
          <w:p>
            <w:pPr>
              <w:jc w:val="center"/>
              <w:rPr>
                <w:rFonts w:ascii="Times New Roman" w:hAnsi="Times New Roman"/>
                <w:kern w:val="0"/>
                <w:sz w:val="20"/>
                <w:szCs w:val="20"/>
              </w:rPr>
            </w:pPr>
            <w:r>
              <w:rPr>
                <w:rFonts w:hint="eastAsia" w:ascii="Times New Roman" w:hAnsi="Times New Roman"/>
                <w:kern w:val="0"/>
                <w:sz w:val="20"/>
                <w:szCs w:val="20"/>
              </w:rPr>
              <w:t>管网建设</w:t>
            </w:r>
            <w:r>
              <w:rPr>
                <w:rFonts w:ascii="Times New Roman" w:hAnsi="Times New Roman"/>
                <w:kern w:val="0"/>
                <w:sz w:val="20"/>
                <w:szCs w:val="20"/>
              </w:rPr>
              <w:t>1.61 km</w:t>
            </w:r>
          </w:p>
        </w:tc>
        <w:tc>
          <w:tcPr>
            <w:tcW w:w="1417" w:type="dxa"/>
            <w:tcBorders>
              <w:top w:val="single" w:color="000000" w:sz="4" w:space="0"/>
              <w:left w:val="single" w:color="000000" w:sz="4" w:space="0"/>
              <w:bottom w:val="single" w:color="000000" w:sz="4" w:space="0"/>
              <w:right w:val="single" w:color="000000" w:sz="4" w:space="0"/>
            </w:tcBorders>
            <w:vAlign w:val="center"/>
          </w:tcPr>
          <w:p>
            <w:pPr>
              <w:jc w:val="center"/>
              <w:rPr>
                <w:rFonts w:ascii="Times New Roman" w:hAnsi="Times New Roman"/>
                <w:kern w:val="0"/>
                <w:sz w:val="20"/>
                <w:szCs w:val="20"/>
              </w:rPr>
            </w:pPr>
            <w:r>
              <w:rPr>
                <w:rFonts w:ascii="Times New Roman" w:hAnsi="Times New Roman"/>
                <w:kern w:val="0"/>
                <w:sz w:val="20"/>
                <w:szCs w:val="20"/>
              </w:rPr>
              <w:t>2021</w:t>
            </w:r>
            <w:r>
              <w:rPr>
                <w:rFonts w:hint="eastAsia" w:ascii="Times New Roman" w:hAnsi="Times New Roman"/>
                <w:kern w:val="0"/>
                <w:sz w:val="20"/>
                <w:szCs w:val="20"/>
              </w:rPr>
              <w:t>年</w:t>
            </w:r>
          </w:p>
        </w:tc>
        <w:tc>
          <w:tcPr>
            <w:tcW w:w="1276" w:type="dxa"/>
            <w:tcBorders>
              <w:top w:val="single" w:color="000000" w:sz="4" w:space="0"/>
              <w:left w:val="single" w:color="000000" w:sz="4" w:space="0"/>
              <w:bottom w:val="single" w:color="000000" w:sz="4" w:space="0"/>
              <w:right w:val="single" w:color="000000" w:sz="4" w:space="0"/>
            </w:tcBorders>
            <w:vAlign w:val="center"/>
          </w:tcPr>
          <w:p>
            <w:pPr>
              <w:jc w:val="center"/>
              <w:rPr>
                <w:rFonts w:ascii="Times New Roman" w:hAnsi="Times New Roman"/>
                <w:kern w:val="0"/>
                <w:sz w:val="20"/>
                <w:szCs w:val="20"/>
              </w:rPr>
            </w:pPr>
            <w:r>
              <w:rPr>
                <w:rFonts w:hint="eastAsia" w:ascii="Times New Roman" w:hAnsi="Times New Roman"/>
                <w:kern w:val="0"/>
                <w:sz w:val="20"/>
                <w:szCs w:val="20"/>
              </w:rPr>
              <w:t>区城市管理局</w:t>
            </w:r>
          </w:p>
        </w:tc>
        <w:tc>
          <w:tcPr>
            <w:tcW w:w="1276" w:type="dxa"/>
            <w:tcBorders>
              <w:top w:val="single" w:color="000000" w:sz="4" w:space="0"/>
              <w:left w:val="single" w:color="000000" w:sz="4" w:space="0"/>
              <w:bottom w:val="single" w:color="000000" w:sz="4" w:space="0"/>
              <w:right w:val="single" w:color="000000" w:sz="4" w:space="0"/>
            </w:tcBorders>
            <w:vAlign w:val="center"/>
          </w:tcPr>
          <w:p>
            <w:pPr>
              <w:jc w:val="center"/>
              <w:rPr>
                <w:rFonts w:ascii="Times New Roman" w:hAnsi="Times New Roman"/>
                <w:kern w:val="0"/>
                <w:sz w:val="20"/>
                <w:szCs w:val="20"/>
              </w:rPr>
            </w:pPr>
            <w:r>
              <w:rPr>
                <w:rFonts w:ascii="Times New Roman" w:hAnsi="Times New Roman"/>
                <w:kern w:val="0"/>
                <w:sz w:val="20"/>
                <w:szCs w:val="20"/>
              </w:rPr>
              <w:t>483</w:t>
            </w:r>
          </w:p>
        </w:tc>
        <w:tc>
          <w:tcPr>
            <w:tcW w:w="803"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53"/>
              <w:jc w:val="center"/>
              <w:rPr>
                <w:rFonts w:ascii="Malgun Gothic Semilight" w:hAnsi="Malgun Gothic Semilight" w:eastAsia="Malgun Gothic Semilight" w:cs="Malgun Gothic Semilight"/>
                <w:sz w:val="24"/>
                <w:szCs w:val="24"/>
              </w:rPr>
            </w:pPr>
            <w:r>
              <w:rPr>
                <w:rFonts w:hint="eastAsia" w:ascii="Malgun Gothic Semilight" w:hAnsi="Malgun Gothic Semilight" w:eastAsia="Malgun Gothic Semilight" w:cs="Malgun Gothic Semilight"/>
                <w:sz w:val="24"/>
                <w:szCs w:val="24"/>
              </w:rPr>
              <w:t>√</w:t>
            </w:r>
          </w:p>
        </w:tc>
        <w:tc>
          <w:tcPr>
            <w:tcW w:w="803"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53"/>
              <w:jc w:val="center"/>
              <w:rPr>
                <w:rFonts w:ascii="Times New Roman" w:hAnsi="Times New Roman"/>
                <w:kern w:val="0"/>
                <w:sz w:val="24"/>
                <w:szCs w:val="24"/>
              </w:rPr>
            </w:pPr>
          </w:p>
        </w:tc>
        <w:tc>
          <w:tcPr>
            <w:tcW w:w="803" w:type="dxa"/>
            <w:tcBorders>
              <w:top w:val="single" w:color="000000" w:sz="4" w:space="0"/>
              <w:left w:val="single" w:color="000000" w:sz="4" w:space="0"/>
              <w:bottom w:val="single" w:color="000000" w:sz="4" w:space="0"/>
              <w:right w:val="single" w:color="auto" w:sz="4" w:space="0"/>
            </w:tcBorders>
            <w:vAlign w:val="center"/>
          </w:tcPr>
          <w:p>
            <w:pPr>
              <w:widowControl/>
              <w:spacing w:line="259" w:lineRule="auto"/>
              <w:ind w:left="53"/>
              <w:jc w:val="center"/>
              <w:rPr>
                <w:rFonts w:ascii="Times New Roman" w:hAnsi="Times New Roman"/>
                <w:kern w:val="0"/>
                <w:sz w:val="20"/>
                <w:szCs w:val="20"/>
              </w:rPr>
            </w:pPr>
          </w:p>
        </w:tc>
        <w:tc>
          <w:tcPr>
            <w:tcW w:w="1134" w:type="dxa"/>
            <w:vMerge w:val="restart"/>
            <w:tcBorders>
              <w:top w:val="single" w:color="auto" w:sz="4" w:space="0"/>
              <w:left w:val="single" w:color="auto" w:sz="4" w:space="0"/>
              <w:right w:val="single" w:color="auto" w:sz="4" w:space="0"/>
            </w:tcBorders>
            <w:vAlign w:val="center"/>
          </w:tcPr>
          <w:p>
            <w:pPr>
              <w:widowControl/>
              <w:spacing w:line="259" w:lineRule="auto"/>
              <w:ind w:left="52"/>
              <w:jc w:val="center"/>
              <w:rPr>
                <w:rFonts w:ascii="宋体" w:cs="宋体"/>
                <w:kern w:val="0"/>
                <w:sz w:val="20"/>
                <w:szCs w:val="20"/>
              </w:rPr>
            </w:pPr>
            <w:r>
              <w:rPr>
                <w:rFonts w:hint="eastAsia" w:ascii="宋体" w:hAnsi="宋体" w:cs="宋体"/>
                <w:kern w:val="0"/>
                <w:sz w:val="20"/>
                <w:szCs w:val="20"/>
              </w:rPr>
              <w:t>已列入《渝北区城市节水专项规划》</w:t>
            </w:r>
          </w:p>
        </w:tc>
      </w:tr>
      <w:tr>
        <w:tblPrEx>
          <w:tblCellMar>
            <w:top w:w="0" w:type="dxa"/>
            <w:left w:w="0" w:type="dxa"/>
            <w:bottom w:w="0" w:type="dxa"/>
            <w:right w:w="5" w:type="dxa"/>
          </w:tblCellMar>
        </w:tblPrEx>
        <w:trPr>
          <w:trHeight w:val="466" w:hRule="atLeast"/>
        </w:trPr>
        <w:tc>
          <w:tcPr>
            <w:tcW w:w="670"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202"/>
              <w:jc w:val="center"/>
              <w:rPr>
                <w:rFonts w:ascii="Times New Roman" w:hAnsi="Times New Roman"/>
                <w:kern w:val="0"/>
                <w:sz w:val="20"/>
                <w:szCs w:val="20"/>
              </w:rPr>
            </w:pPr>
            <w:r>
              <w:rPr>
                <w:rFonts w:ascii="Times New Roman" w:hAnsi="Times New Roman"/>
                <w:kern w:val="0"/>
                <w:sz w:val="20"/>
                <w:szCs w:val="20"/>
              </w:rPr>
              <w:t>9</w:t>
            </w:r>
          </w:p>
        </w:tc>
        <w:tc>
          <w:tcPr>
            <w:tcW w:w="1854" w:type="dxa"/>
            <w:tcBorders>
              <w:top w:val="single" w:color="000000" w:sz="4" w:space="0"/>
              <w:left w:val="single" w:color="000000" w:sz="4" w:space="0"/>
              <w:bottom w:val="single" w:color="000000" w:sz="4" w:space="0"/>
              <w:right w:val="single" w:color="000000" w:sz="4" w:space="0"/>
            </w:tcBorders>
            <w:vAlign w:val="center"/>
          </w:tcPr>
          <w:p>
            <w:pPr>
              <w:jc w:val="center"/>
              <w:rPr>
                <w:rFonts w:ascii="Times New Roman" w:hAnsi="Times New Roman"/>
                <w:kern w:val="0"/>
                <w:sz w:val="20"/>
                <w:szCs w:val="20"/>
              </w:rPr>
            </w:pPr>
            <w:r>
              <w:rPr>
                <w:rFonts w:hint="eastAsia" w:ascii="Times New Roman" w:hAnsi="Times New Roman"/>
                <w:kern w:val="0"/>
                <w:sz w:val="20"/>
                <w:szCs w:val="20"/>
              </w:rPr>
              <w:t>龙湖西苑片区</w:t>
            </w:r>
          </w:p>
        </w:tc>
        <w:tc>
          <w:tcPr>
            <w:tcW w:w="4809" w:type="dxa"/>
            <w:tcBorders>
              <w:top w:val="single" w:color="000000" w:sz="4" w:space="0"/>
              <w:left w:val="single" w:color="000000" w:sz="4" w:space="0"/>
              <w:bottom w:val="single" w:color="000000" w:sz="4" w:space="0"/>
              <w:right w:val="single" w:color="000000" w:sz="4" w:space="0"/>
            </w:tcBorders>
            <w:vAlign w:val="center"/>
          </w:tcPr>
          <w:p>
            <w:pPr>
              <w:jc w:val="center"/>
              <w:rPr>
                <w:rFonts w:ascii="Times New Roman" w:hAnsi="Times New Roman"/>
                <w:kern w:val="0"/>
                <w:sz w:val="20"/>
                <w:szCs w:val="20"/>
              </w:rPr>
            </w:pPr>
            <w:r>
              <w:rPr>
                <w:rFonts w:hint="eastAsia" w:ascii="Times New Roman" w:hAnsi="Times New Roman"/>
                <w:kern w:val="0"/>
                <w:sz w:val="20"/>
                <w:szCs w:val="20"/>
              </w:rPr>
              <w:t>管网建设</w:t>
            </w:r>
            <w:r>
              <w:rPr>
                <w:rFonts w:ascii="Times New Roman" w:hAnsi="Times New Roman"/>
                <w:kern w:val="0"/>
                <w:sz w:val="20"/>
                <w:szCs w:val="20"/>
              </w:rPr>
              <w:t>2.55 km</w:t>
            </w:r>
          </w:p>
        </w:tc>
        <w:tc>
          <w:tcPr>
            <w:tcW w:w="1417" w:type="dxa"/>
            <w:tcBorders>
              <w:top w:val="single" w:color="000000" w:sz="4" w:space="0"/>
              <w:left w:val="single" w:color="000000" w:sz="4" w:space="0"/>
              <w:bottom w:val="single" w:color="000000" w:sz="4" w:space="0"/>
              <w:right w:val="single" w:color="000000" w:sz="4" w:space="0"/>
            </w:tcBorders>
            <w:vAlign w:val="center"/>
          </w:tcPr>
          <w:p>
            <w:pPr>
              <w:jc w:val="center"/>
              <w:rPr>
                <w:rFonts w:ascii="Times New Roman" w:hAnsi="Times New Roman"/>
                <w:kern w:val="0"/>
                <w:sz w:val="20"/>
                <w:szCs w:val="20"/>
              </w:rPr>
            </w:pPr>
            <w:r>
              <w:rPr>
                <w:rFonts w:ascii="Times New Roman" w:hAnsi="Times New Roman"/>
                <w:kern w:val="0"/>
                <w:sz w:val="20"/>
                <w:szCs w:val="20"/>
              </w:rPr>
              <w:t>2021</w:t>
            </w:r>
            <w:r>
              <w:rPr>
                <w:rFonts w:hint="eastAsia" w:ascii="Times New Roman" w:hAnsi="Times New Roman"/>
                <w:kern w:val="0"/>
                <w:sz w:val="20"/>
                <w:szCs w:val="20"/>
              </w:rPr>
              <w:t>年</w:t>
            </w:r>
          </w:p>
        </w:tc>
        <w:tc>
          <w:tcPr>
            <w:tcW w:w="1276" w:type="dxa"/>
            <w:tcBorders>
              <w:top w:val="single" w:color="000000" w:sz="4" w:space="0"/>
              <w:left w:val="single" w:color="000000" w:sz="4" w:space="0"/>
              <w:bottom w:val="single" w:color="000000" w:sz="4" w:space="0"/>
              <w:right w:val="single" w:color="000000" w:sz="4" w:space="0"/>
            </w:tcBorders>
            <w:vAlign w:val="center"/>
          </w:tcPr>
          <w:p>
            <w:pPr>
              <w:jc w:val="center"/>
              <w:rPr>
                <w:rFonts w:ascii="Times New Roman" w:hAnsi="Times New Roman"/>
                <w:kern w:val="0"/>
                <w:sz w:val="20"/>
                <w:szCs w:val="20"/>
              </w:rPr>
            </w:pPr>
            <w:r>
              <w:rPr>
                <w:rFonts w:hint="eastAsia" w:ascii="Times New Roman" w:hAnsi="Times New Roman"/>
                <w:kern w:val="0"/>
                <w:sz w:val="20"/>
                <w:szCs w:val="20"/>
              </w:rPr>
              <w:t>区城市管理局</w:t>
            </w:r>
          </w:p>
        </w:tc>
        <w:tc>
          <w:tcPr>
            <w:tcW w:w="1276" w:type="dxa"/>
            <w:tcBorders>
              <w:top w:val="single" w:color="000000" w:sz="4" w:space="0"/>
              <w:left w:val="single" w:color="000000" w:sz="4" w:space="0"/>
              <w:bottom w:val="single" w:color="000000" w:sz="4" w:space="0"/>
              <w:right w:val="single" w:color="000000" w:sz="4" w:space="0"/>
            </w:tcBorders>
            <w:vAlign w:val="center"/>
          </w:tcPr>
          <w:p>
            <w:pPr>
              <w:jc w:val="center"/>
              <w:rPr>
                <w:rFonts w:ascii="Times New Roman" w:hAnsi="Times New Roman"/>
                <w:kern w:val="0"/>
                <w:sz w:val="20"/>
                <w:szCs w:val="20"/>
              </w:rPr>
            </w:pPr>
            <w:r>
              <w:rPr>
                <w:rFonts w:ascii="Times New Roman" w:hAnsi="Times New Roman"/>
                <w:kern w:val="0"/>
                <w:sz w:val="20"/>
                <w:szCs w:val="20"/>
              </w:rPr>
              <w:t>765</w:t>
            </w:r>
          </w:p>
        </w:tc>
        <w:tc>
          <w:tcPr>
            <w:tcW w:w="803"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53"/>
              <w:jc w:val="center"/>
              <w:rPr>
                <w:rFonts w:ascii="Malgun Gothic Semilight" w:hAnsi="Malgun Gothic Semilight" w:eastAsia="Malgun Gothic Semilight" w:cs="Malgun Gothic Semilight"/>
                <w:sz w:val="24"/>
                <w:szCs w:val="24"/>
              </w:rPr>
            </w:pPr>
            <w:r>
              <w:rPr>
                <w:rFonts w:hint="eastAsia" w:ascii="Malgun Gothic Semilight" w:hAnsi="Malgun Gothic Semilight" w:eastAsia="Malgun Gothic Semilight" w:cs="Malgun Gothic Semilight"/>
                <w:sz w:val="24"/>
                <w:szCs w:val="24"/>
              </w:rPr>
              <w:t>√</w:t>
            </w:r>
          </w:p>
        </w:tc>
        <w:tc>
          <w:tcPr>
            <w:tcW w:w="803"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53"/>
              <w:jc w:val="center"/>
              <w:rPr>
                <w:rFonts w:ascii="Times New Roman" w:hAnsi="Times New Roman"/>
                <w:kern w:val="0"/>
                <w:sz w:val="24"/>
                <w:szCs w:val="24"/>
              </w:rPr>
            </w:pPr>
          </w:p>
        </w:tc>
        <w:tc>
          <w:tcPr>
            <w:tcW w:w="803" w:type="dxa"/>
            <w:tcBorders>
              <w:top w:val="single" w:color="000000" w:sz="4" w:space="0"/>
              <w:left w:val="single" w:color="000000" w:sz="4" w:space="0"/>
              <w:bottom w:val="single" w:color="000000" w:sz="4" w:space="0"/>
              <w:right w:val="single" w:color="auto" w:sz="4" w:space="0"/>
            </w:tcBorders>
            <w:vAlign w:val="center"/>
          </w:tcPr>
          <w:p>
            <w:pPr>
              <w:widowControl/>
              <w:spacing w:line="259" w:lineRule="auto"/>
              <w:ind w:left="53"/>
              <w:jc w:val="center"/>
              <w:rPr>
                <w:rFonts w:ascii="Times New Roman" w:hAnsi="Times New Roman"/>
                <w:kern w:val="0"/>
                <w:sz w:val="20"/>
                <w:szCs w:val="20"/>
              </w:rPr>
            </w:pPr>
          </w:p>
        </w:tc>
        <w:tc>
          <w:tcPr>
            <w:tcW w:w="1134" w:type="dxa"/>
            <w:vMerge w:val="continue"/>
            <w:tcBorders>
              <w:left w:val="single" w:color="auto" w:sz="4" w:space="0"/>
              <w:right w:val="single" w:color="auto" w:sz="4" w:space="0"/>
            </w:tcBorders>
            <w:vAlign w:val="center"/>
          </w:tcPr>
          <w:p>
            <w:pPr>
              <w:widowControl/>
              <w:spacing w:line="259" w:lineRule="auto"/>
              <w:ind w:left="52"/>
              <w:jc w:val="center"/>
              <w:rPr>
                <w:rFonts w:ascii="宋体" w:cs="宋体"/>
                <w:kern w:val="0"/>
                <w:sz w:val="20"/>
                <w:szCs w:val="20"/>
              </w:rPr>
            </w:pPr>
          </w:p>
        </w:tc>
      </w:tr>
      <w:tr>
        <w:tblPrEx>
          <w:tblCellMar>
            <w:top w:w="0" w:type="dxa"/>
            <w:left w:w="0" w:type="dxa"/>
            <w:bottom w:w="0" w:type="dxa"/>
            <w:right w:w="5" w:type="dxa"/>
          </w:tblCellMar>
        </w:tblPrEx>
        <w:trPr>
          <w:trHeight w:val="466" w:hRule="atLeast"/>
        </w:trPr>
        <w:tc>
          <w:tcPr>
            <w:tcW w:w="670"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202"/>
              <w:jc w:val="center"/>
              <w:rPr>
                <w:rFonts w:ascii="Times New Roman" w:hAnsi="Times New Roman"/>
                <w:kern w:val="0"/>
                <w:sz w:val="20"/>
                <w:szCs w:val="20"/>
              </w:rPr>
            </w:pPr>
            <w:r>
              <w:rPr>
                <w:rFonts w:ascii="Times New Roman" w:hAnsi="Times New Roman"/>
                <w:kern w:val="0"/>
                <w:sz w:val="20"/>
                <w:szCs w:val="20"/>
              </w:rPr>
              <w:t>10</w:t>
            </w:r>
          </w:p>
        </w:tc>
        <w:tc>
          <w:tcPr>
            <w:tcW w:w="1854" w:type="dxa"/>
            <w:tcBorders>
              <w:top w:val="single" w:color="000000" w:sz="4" w:space="0"/>
              <w:left w:val="single" w:color="000000" w:sz="4" w:space="0"/>
              <w:bottom w:val="single" w:color="000000" w:sz="4" w:space="0"/>
              <w:right w:val="single" w:color="000000" w:sz="4" w:space="0"/>
            </w:tcBorders>
            <w:vAlign w:val="center"/>
          </w:tcPr>
          <w:p>
            <w:pPr>
              <w:jc w:val="center"/>
              <w:rPr>
                <w:rFonts w:ascii="Times New Roman" w:hAnsi="Times New Roman"/>
                <w:kern w:val="0"/>
                <w:sz w:val="20"/>
                <w:szCs w:val="20"/>
              </w:rPr>
            </w:pPr>
            <w:r>
              <w:rPr>
                <w:rFonts w:hint="eastAsia" w:ascii="Times New Roman" w:hAnsi="Times New Roman"/>
                <w:kern w:val="0"/>
                <w:sz w:val="20"/>
                <w:szCs w:val="20"/>
              </w:rPr>
              <w:t>北湖路路口至桃园芳居</w:t>
            </w:r>
          </w:p>
        </w:tc>
        <w:tc>
          <w:tcPr>
            <w:tcW w:w="4809" w:type="dxa"/>
            <w:tcBorders>
              <w:top w:val="single" w:color="000000" w:sz="4" w:space="0"/>
              <w:left w:val="single" w:color="000000" w:sz="4" w:space="0"/>
              <w:bottom w:val="single" w:color="000000" w:sz="4" w:space="0"/>
              <w:right w:val="single" w:color="000000" w:sz="4" w:space="0"/>
            </w:tcBorders>
            <w:vAlign w:val="center"/>
          </w:tcPr>
          <w:p>
            <w:pPr>
              <w:jc w:val="center"/>
              <w:rPr>
                <w:rFonts w:ascii="Times New Roman" w:hAnsi="Times New Roman"/>
                <w:kern w:val="0"/>
                <w:sz w:val="20"/>
                <w:szCs w:val="20"/>
              </w:rPr>
            </w:pPr>
            <w:r>
              <w:rPr>
                <w:rFonts w:hint="eastAsia" w:ascii="Times New Roman" w:hAnsi="Times New Roman"/>
                <w:kern w:val="0"/>
                <w:sz w:val="20"/>
                <w:szCs w:val="20"/>
              </w:rPr>
              <w:t>管网建设</w:t>
            </w:r>
            <w:r>
              <w:rPr>
                <w:rFonts w:ascii="Times New Roman" w:hAnsi="Times New Roman"/>
                <w:kern w:val="0"/>
                <w:sz w:val="20"/>
                <w:szCs w:val="20"/>
              </w:rPr>
              <w:t>0.15 km</w:t>
            </w:r>
          </w:p>
        </w:tc>
        <w:tc>
          <w:tcPr>
            <w:tcW w:w="1417" w:type="dxa"/>
            <w:tcBorders>
              <w:top w:val="single" w:color="000000" w:sz="4" w:space="0"/>
              <w:left w:val="single" w:color="000000" w:sz="4" w:space="0"/>
              <w:bottom w:val="single" w:color="000000" w:sz="4" w:space="0"/>
              <w:right w:val="single" w:color="000000" w:sz="4" w:space="0"/>
            </w:tcBorders>
          </w:tcPr>
          <w:p>
            <w:pPr>
              <w:jc w:val="center"/>
              <w:rPr>
                <w:rFonts w:ascii="Times New Roman" w:hAnsi="Times New Roman"/>
                <w:kern w:val="0"/>
                <w:sz w:val="20"/>
                <w:szCs w:val="20"/>
              </w:rPr>
            </w:pPr>
            <w:r>
              <w:rPr>
                <w:rFonts w:ascii="Times New Roman" w:hAnsi="Times New Roman"/>
                <w:kern w:val="0"/>
                <w:sz w:val="20"/>
                <w:szCs w:val="20"/>
              </w:rPr>
              <w:t>2021</w:t>
            </w:r>
            <w:r>
              <w:rPr>
                <w:rFonts w:hint="eastAsia" w:ascii="Times New Roman" w:hAnsi="Times New Roman"/>
                <w:kern w:val="0"/>
                <w:sz w:val="20"/>
                <w:szCs w:val="20"/>
              </w:rPr>
              <w:t>年</w:t>
            </w:r>
          </w:p>
        </w:tc>
        <w:tc>
          <w:tcPr>
            <w:tcW w:w="1276" w:type="dxa"/>
            <w:tcBorders>
              <w:top w:val="single" w:color="000000" w:sz="4" w:space="0"/>
              <w:left w:val="single" w:color="000000" w:sz="4" w:space="0"/>
              <w:bottom w:val="single" w:color="000000" w:sz="4" w:space="0"/>
              <w:right w:val="single" w:color="000000" w:sz="4" w:space="0"/>
            </w:tcBorders>
            <w:vAlign w:val="center"/>
          </w:tcPr>
          <w:p>
            <w:pPr>
              <w:jc w:val="center"/>
              <w:rPr>
                <w:rFonts w:ascii="Times New Roman" w:hAnsi="Times New Roman"/>
                <w:kern w:val="0"/>
                <w:sz w:val="20"/>
                <w:szCs w:val="20"/>
              </w:rPr>
            </w:pPr>
            <w:r>
              <w:rPr>
                <w:rFonts w:hint="eastAsia" w:ascii="Times New Roman" w:hAnsi="Times New Roman"/>
                <w:kern w:val="0"/>
                <w:sz w:val="20"/>
                <w:szCs w:val="20"/>
              </w:rPr>
              <w:t>区城市管理局</w:t>
            </w:r>
          </w:p>
        </w:tc>
        <w:tc>
          <w:tcPr>
            <w:tcW w:w="1276" w:type="dxa"/>
            <w:tcBorders>
              <w:top w:val="single" w:color="000000" w:sz="4" w:space="0"/>
              <w:left w:val="single" w:color="000000" w:sz="4" w:space="0"/>
              <w:bottom w:val="single" w:color="000000" w:sz="4" w:space="0"/>
              <w:right w:val="single" w:color="000000" w:sz="4" w:space="0"/>
            </w:tcBorders>
            <w:vAlign w:val="center"/>
          </w:tcPr>
          <w:p>
            <w:pPr>
              <w:jc w:val="center"/>
              <w:rPr>
                <w:rFonts w:ascii="Times New Roman" w:hAnsi="Times New Roman"/>
                <w:kern w:val="0"/>
                <w:sz w:val="20"/>
                <w:szCs w:val="20"/>
              </w:rPr>
            </w:pPr>
            <w:r>
              <w:rPr>
                <w:rFonts w:ascii="Times New Roman" w:hAnsi="Times New Roman"/>
                <w:kern w:val="0"/>
                <w:sz w:val="20"/>
                <w:szCs w:val="20"/>
              </w:rPr>
              <w:t>45</w:t>
            </w:r>
          </w:p>
        </w:tc>
        <w:tc>
          <w:tcPr>
            <w:tcW w:w="803"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53"/>
              <w:jc w:val="center"/>
              <w:rPr>
                <w:rFonts w:ascii="Malgun Gothic Semilight" w:hAnsi="Malgun Gothic Semilight" w:eastAsia="Malgun Gothic Semilight" w:cs="Malgun Gothic Semilight"/>
                <w:sz w:val="24"/>
                <w:szCs w:val="24"/>
              </w:rPr>
            </w:pPr>
            <w:r>
              <w:rPr>
                <w:rFonts w:hint="eastAsia" w:ascii="Malgun Gothic Semilight" w:hAnsi="Malgun Gothic Semilight" w:eastAsia="Malgun Gothic Semilight" w:cs="Malgun Gothic Semilight"/>
                <w:sz w:val="24"/>
                <w:szCs w:val="24"/>
              </w:rPr>
              <w:t>√</w:t>
            </w:r>
          </w:p>
        </w:tc>
        <w:tc>
          <w:tcPr>
            <w:tcW w:w="803"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53"/>
              <w:jc w:val="center"/>
              <w:rPr>
                <w:rFonts w:ascii="Times New Roman" w:hAnsi="Times New Roman"/>
                <w:kern w:val="0"/>
                <w:sz w:val="24"/>
                <w:szCs w:val="24"/>
              </w:rPr>
            </w:pPr>
          </w:p>
        </w:tc>
        <w:tc>
          <w:tcPr>
            <w:tcW w:w="803" w:type="dxa"/>
            <w:tcBorders>
              <w:top w:val="single" w:color="000000" w:sz="4" w:space="0"/>
              <w:left w:val="single" w:color="000000" w:sz="4" w:space="0"/>
              <w:bottom w:val="single" w:color="000000" w:sz="4" w:space="0"/>
              <w:right w:val="single" w:color="auto" w:sz="4" w:space="0"/>
            </w:tcBorders>
            <w:vAlign w:val="center"/>
          </w:tcPr>
          <w:p>
            <w:pPr>
              <w:widowControl/>
              <w:spacing w:line="259" w:lineRule="auto"/>
              <w:ind w:left="53"/>
              <w:jc w:val="center"/>
              <w:rPr>
                <w:rFonts w:ascii="Times New Roman" w:hAnsi="Times New Roman"/>
                <w:kern w:val="0"/>
                <w:sz w:val="20"/>
                <w:szCs w:val="20"/>
              </w:rPr>
            </w:pPr>
          </w:p>
        </w:tc>
        <w:tc>
          <w:tcPr>
            <w:tcW w:w="1134" w:type="dxa"/>
            <w:vMerge w:val="continue"/>
            <w:tcBorders>
              <w:left w:val="single" w:color="auto" w:sz="4" w:space="0"/>
              <w:right w:val="single" w:color="auto" w:sz="4" w:space="0"/>
            </w:tcBorders>
            <w:vAlign w:val="center"/>
          </w:tcPr>
          <w:p>
            <w:pPr>
              <w:widowControl/>
              <w:spacing w:line="259" w:lineRule="auto"/>
              <w:ind w:left="52"/>
              <w:jc w:val="center"/>
              <w:rPr>
                <w:rFonts w:ascii="宋体" w:cs="宋体"/>
                <w:kern w:val="0"/>
                <w:sz w:val="20"/>
                <w:szCs w:val="20"/>
              </w:rPr>
            </w:pPr>
          </w:p>
        </w:tc>
      </w:tr>
      <w:tr>
        <w:tblPrEx>
          <w:tblCellMar>
            <w:top w:w="0" w:type="dxa"/>
            <w:left w:w="0" w:type="dxa"/>
            <w:bottom w:w="0" w:type="dxa"/>
            <w:right w:w="5" w:type="dxa"/>
          </w:tblCellMar>
        </w:tblPrEx>
        <w:trPr>
          <w:trHeight w:val="466" w:hRule="atLeast"/>
        </w:trPr>
        <w:tc>
          <w:tcPr>
            <w:tcW w:w="670"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202"/>
              <w:jc w:val="center"/>
              <w:rPr>
                <w:rFonts w:ascii="Times New Roman" w:hAnsi="Times New Roman"/>
                <w:kern w:val="0"/>
                <w:sz w:val="20"/>
                <w:szCs w:val="20"/>
              </w:rPr>
            </w:pPr>
            <w:r>
              <w:rPr>
                <w:rFonts w:ascii="Times New Roman" w:hAnsi="Times New Roman"/>
                <w:kern w:val="0"/>
                <w:sz w:val="20"/>
                <w:szCs w:val="20"/>
              </w:rPr>
              <w:t>11</w:t>
            </w:r>
          </w:p>
        </w:tc>
        <w:tc>
          <w:tcPr>
            <w:tcW w:w="1854" w:type="dxa"/>
            <w:tcBorders>
              <w:top w:val="single" w:color="000000" w:sz="4" w:space="0"/>
              <w:left w:val="single" w:color="000000" w:sz="4" w:space="0"/>
              <w:bottom w:val="single" w:color="000000" w:sz="4" w:space="0"/>
              <w:right w:val="single" w:color="000000" w:sz="4" w:space="0"/>
            </w:tcBorders>
            <w:vAlign w:val="center"/>
          </w:tcPr>
          <w:p>
            <w:pPr>
              <w:jc w:val="center"/>
              <w:rPr>
                <w:rFonts w:ascii="Times New Roman" w:hAnsi="Times New Roman"/>
                <w:kern w:val="0"/>
                <w:sz w:val="20"/>
                <w:szCs w:val="20"/>
              </w:rPr>
            </w:pPr>
            <w:r>
              <w:rPr>
                <w:rFonts w:hint="eastAsia" w:ascii="Times New Roman" w:hAnsi="Times New Roman"/>
                <w:kern w:val="0"/>
                <w:sz w:val="20"/>
                <w:szCs w:val="20"/>
              </w:rPr>
              <w:t>五星路中段所有零星干管片区</w:t>
            </w:r>
          </w:p>
        </w:tc>
        <w:tc>
          <w:tcPr>
            <w:tcW w:w="4809" w:type="dxa"/>
            <w:tcBorders>
              <w:top w:val="single" w:color="000000" w:sz="4" w:space="0"/>
              <w:left w:val="single" w:color="000000" w:sz="4" w:space="0"/>
              <w:bottom w:val="single" w:color="000000" w:sz="4" w:space="0"/>
              <w:right w:val="single" w:color="000000" w:sz="4" w:space="0"/>
            </w:tcBorders>
            <w:vAlign w:val="center"/>
          </w:tcPr>
          <w:p>
            <w:pPr>
              <w:jc w:val="center"/>
              <w:rPr>
                <w:rFonts w:ascii="Times New Roman" w:hAnsi="Times New Roman"/>
                <w:kern w:val="0"/>
                <w:sz w:val="20"/>
                <w:szCs w:val="20"/>
              </w:rPr>
            </w:pPr>
            <w:r>
              <w:rPr>
                <w:rFonts w:hint="eastAsia" w:ascii="Times New Roman" w:hAnsi="Times New Roman"/>
                <w:kern w:val="0"/>
                <w:sz w:val="20"/>
                <w:szCs w:val="20"/>
              </w:rPr>
              <w:t>管网建设</w:t>
            </w:r>
            <w:r>
              <w:rPr>
                <w:rFonts w:ascii="Times New Roman" w:hAnsi="Times New Roman"/>
                <w:kern w:val="0"/>
                <w:sz w:val="20"/>
                <w:szCs w:val="20"/>
              </w:rPr>
              <w:t>0.14 km</w:t>
            </w:r>
          </w:p>
        </w:tc>
        <w:tc>
          <w:tcPr>
            <w:tcW w:w="1417" w:type="dxa"/>
            <w:tcBorders>
              <w:top w:val="single" w:color="000000" w:sz="4" w:space="0"/>
              <w:left w:val="single" w:color="000000" w:sz="4" w:space="0"/>
              <w:bottom w:val="single" w:color="000000" w:sz="4" w:space="0"/>
              <w:right w:val="single" w:color="000000" w:sz="4" w:space="0"/>
            </w:tcBorders>
          </w:tcPr>
          <w:p>
            <w:pPr>
              <w:jc w:val="center"/>
              <w:rPr>
                <w:rFonts w:ascii="Times New Roman" w:hAnsi="Times New Roman"/>
                <w:kern w:val="0"/>
                <w:sz w:val="20"/>
                <w:szCs w:val="20"/>
              </w:rPr>
            </w:pPr>
            <w:r>
              <w:rPr>
                <w:rFonts w:ascii="Times New Roman" w:hAnsi="Times New Roman"/>
                <w:kern w:val="0"/>
                <w:sz w:val="20"/>
                <w:szCs w:val="20"/>
              </w:rPr>
              <w:t>2021</w:t>
            </w:r>
            <w:r>
              <w:rPr>
                <w:rFonts w:hint="eastAsia" w:ascii="Times New Roman" w:hAnsi="Times New Roman"/>
                <w:kern w:val="0"/>
                <w:sz w:val="20"/>
                <w:szCs w:val="20"/>
              </w:rPr>
              <w:t>年</w:t>
            </w:r>
          </w:p>
        </w:tc>
        <w:tc>
          <w:tcPr>
            <w:tcW w:w="1276" w:type="dxa"/>
            <w:tcBorders>
              <w:top w:val="single" w:color="000000" w:sz="4" w:space="0"/>
              <w:left w:val="single" w:color="000000" w:sz="4" w:space="0"/>
              <w:bottom w:val="single" w:color="000000" w:sz="4" w:space="0"/>
              <w:right w:val="single" w:color="000000" w:sz="4" w:space="0"/>
            </w:tcBorders>
            <w:vAlign w:val="center"/>
          </w:tcPr>
          <w:p>
            <w:pPr>
              <w:jc w:val="center"/>
              <w:rPr>
                <w:rFonts w:ascii="Times New Roman" w:hAnsi="Times New Roman"/>
                <w:kern w:val="0"/>
                <w:sz w:val="20"/>
                <w:szCs w:val="20"/>
              </w:rPr>
            </w:pPr>
            <w:r>
              <w:rPr>
                <w:rFonts w:hint="eastAsia" w:ascii="Times New Roman" w:hAnsi="Times New Roman"/>
                <w:kern w:val="0"/>
                <w:sz w:val="20"/>
                <w:szCs w:val="20"/>
              </w:rPr>
              <w:t>区城市管理局</w:t>
            </w:r>
          </w:p>
        </w:tc>
        <w:tc>
          <w:tcPr>
            <w:tcW w:w="1276" w:type="dxa"/>
            <w:tcBorders>
              <w:top w:val="single" w:color="000000" w:sz="4" w:space="0"/>
              <w:left w:val="single" w:color="000000" w:sz="4" w:space="0"/>
              <w:bottom w:val="single" w:color="000000" w:sz="4" w:space="0"/>
              <w:right w:val="single" w:color="000000" w:sz="4" w:space="0"/>
            </w:tcBorders>
            <w:vAlign w:val="center"/>
          </w:tcPr>
          <w:p>
            <w:pPr>
              <w:jc w:val="center"/>
              <w:rPr>
                <w:rFonts w:ascii="Times New Roman" w:hAnsi="Times New Roman"/>
                <w:kern w:val="0"/>
                <w:sz w:val="20"/>
                <w:szCs w:val="20"/>
              </w:rPr>
            </w:pPr>
            <w:r>
              <w:rPr>
                <w:rFonts w:ascii="Times New Roman" w:hAnsi="Times New Roman"/>
                <w:kern w:val="0"/>
                <w:sz w:val="20"/>
                <w:szCs w:val="20"/>
              </w:rPr>
              <w:t>42</w:t>
            </w:r>
          </w:p>
        </w:tc>
        <w:tc>
          <w:tcPr>
            <w:tcW w:w="803"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53"/>
              <w:jc w:val="center"/>
              <w:rPr>
                <w:rFonts w:ascii="Malgun Gothic Semilight" w:hAnsi="Malgun Gothic Semilight" w:eastAsia="Malgun Gothic Semilight" w:cs="Malgun Gothic Semilight"/>
                <w:sz w:val="24"/>
                <w:szCs w:val="24"/>
              </w:rPr>
            </w:pPr>
            <w:r>
              <w:rPr>
                <w:rFonts w:hint="eastAsia" w:ascii="Malgun Gothic Semilight" w:hAnsi="Malgun Gothic Semilight" w:eastAsia="Malgun Gothic Semilight" w:cs="Malgun Gothic Semilight"/>
                <w:sz w:val="24"/>
                <w:szCs w:val="24"/>
              </w:rPr>
              <w:t>√</w:t>
            </w:r>
          </w:p>
        </w:tc>
        <w:tc>
          <w:tcPr>
            <w:tcW w:w="803"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53"/>
              <w:jc w:val="center"/>
              <w:rPr>
                <w:rFonts w:ascii="Times New Roman" w:hAnsi="Times New Roman"/>
                <w:kern w:val="0"/>
                <w:sz w:val="24"/>
                <w:szCs w:val="24"/>
              </w:rPr>
            </w:pPr>
          </w:p>
        </w:tc>
        <w:tc>
          <w:tcPr>
            <w:tcW w:w="803" w:type="dxa"/>
            <w:tcBorders>
              <w:top w:val="single" w:color="000000" w:sz="4" w:space="0"/>
              <w:left w:val="single" w:color="000000" w:sz="4" w:space="0"/>
              <w:bottom w:val="single" w:color="000000" w:sz="4" w:space="0"/>
              <w:right w:val="single" w:color="auto" w:sz="4" w:space="0"/>
            </w:tcBorders>
            <w:vAlign w:val="center"/>
          </w:tcPr>
          <w:p>
            <w:pPr>
              <w:widowControl/>
              <w:spacing w:line="259" w:lineRule="auto"/>
              <w:ind w:left="53"/>
              <w:jc w:val="center"/>
              <w:rPr>
                <w:rFonts w:ascii="Times New Roman" w:hAnsi="Times New Roman"/>
                <w:kern w:val="0"/>
                <w:sz w:val="20"/>
                <w:szCs w:val="20"/>
              </w:rPr>
            </w:pPr>
          </w:p>
        </w:tc>
        <w:tc>
          <w:tcPr>
            <w:tcW w:w="1134" w:type="dxa"/>
            <w:vMerge w:val="continue"/>
            <w:tcBorders>
              <w:left w:val="single" w:color="auto" w:sz="4" w:space="0"/>
              <w:right w:val="single" w:color="auto" w:sz="4" w:space="0"/>
            </w:tcBorders>
            <w:vAlign w:val="center"/>
          </w:tcPr>
          <w:p>
            <w:pPr>
              <w:widowControl/>
              <w:spacing w:line="259" w:lineRule="auto"/>
              <w:ind w:left="52"/>
              <w:jc w:val="center"/>
              <w:rPr>
                <w:rFonts w:ascii="宋体" w:cs="宋体"/>
                <w:kern w:val="0"/>
                <w:sz w:val="20"/>
                <w:szCs w:val="20"/>
              </w:rPr>
            </w:pPr>
          </w:p>
        </w:tc>
      </w:tr>
      <w:tr>
        <w:tblPrEx>
          <w:tblCellMar>
            <w:top w:w="0" w:type="dxa"/>
            <w:left w:w="0" w:type="dxa"/>
            <w:bottom w:w="0" w:type="dxa"/>
            <w:right w:w="5" w:type="dxa"/>
          </w:tblCellMar>
        </w:tblPrEx>
        <w:trPr>
          <w:trHeight w:val="466" w:hRule="atLeast"/>
        </w:trPr>
        <w:tc>
          <w:tcPr>
            <w:tcW w:w="670"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202"/>
              <w:jc w:val="center"/>
              <w:rPr>
                <w:rFonts w:ascii="Times New Roman" w:hAnsi="Times New Roman"/>
                <w:kern w:val="0"/>
                <w:sz w:val="20"/>
                <w:szCs w:val="20"/>
              </w:rPr>
            </w:pPr>
            <w:r>
              <w:rPr>
                <w:rFonts w:ascii="Times New Roman" w:hAnsi="Times New Roman"/>
                <w:kern w:val="0"/>
                <w:sz w:val="20"/>
                <w:szCs w:val="20"/>
              </w:rPr>
              <w:t>12</w:t>
            </w:r>
          </w:p>
        </w:tc>
        <w:tc>
          <w:tcPr>
            <w:tcW w:w="1854" w:type="dxa"/>
            <w:tcBorders>
              <w:top w:val="single" w:color="000000" w:sz="4" w:space="0"/>
              <w:left w:val="single" w:color="000000" w:sz="4" w:space="0"/>
              <w:bottom w:val="single" w:color="000000" w:sz="4" w:space="0"/>
              <w:right w:val="single" w:color="000000" w:sz="4" w:space="0"/>
            </w:tcBorders>
            <w:vAlign w:val="center"/>
          </w:tcPr>
          <w:p>
            <w:pPr>
              <w:jc w:val="center"/>
              <w:rPr>
                <w:rFonts w:ascii="Times New Roman" w:hAnsi="Times New Roman"/>
                <w:kern w:val="0"/>
                <w:sz w:val="20"/>
                <w:szCs w:val="20"/>
              </w:rPr>
            </w:pPr>
            <w:r>
              <w:rPr>
                <w:rFonts w:hint="eastAsia" w:ascii="Times New Roman" w:hAnsi="Times New Roman"/>
                <w:kern w:val="0"/>
                <w:sz w:val="20"/>
                <w:szCs w:val="20"/>
              </w:rPr>
              <w:t>汉渝路二巷片区</w:t>
            </w:r>
          </w:p>
        </w:tc>
        <w:tc>
          <w:tcPr>
            <w:tcW w:w="4809" w:type="dxa"/>
            <w:tcBorders>
              <w:top w:val="single" w:color="000000" w:sz="4" w:space="0"/>
              <w:left w:val="single" w:color="000000" w:sz="4" w:space="0"/>
              <w:bottom w:val="single" w:color="000000" w:sz="4" w:space="0"/>
              <w:right w:val="single" w:color="000000" w:sz="4" w:space="0"/>
            </w:tcBorders>
            <w:vAlign w:val="center"/>
          </w:tcPr>
          <w:p>
            <w:pPr>
              <w:jc w:val="center"/>
              <w:rPr>
                <w:rFonts w:ascii="Times New Roman" w:hAnsi="Times New Roman"/>
                <w:kern w:val="0"/>
                <w:sz w:val="20"/>
                <w:szCs w:val="20"/>
              </w:rPr>
            </w:pPr>
            <w:r>
              <w:rPr>
                <w:rFonts w:hint="eastAsia" w:ascii="Times New Roman" w:hAnsi="Times New Roman"/>
                <w:kern w:val="0"/>
                <w:sz w:val="20"/>
                <w:szCs w:val="20"/>
              </w:rPr>
              <w:t>管网建设</w:t>
            </w:r>
            <w:r>
              <w:rPr>
                <w:rFonts w:ascii="Times New Roman" w:hAnsi="Times New Roman"/>
                <w:kern w:val="0"/>
                <w:sz w:val="20"/>
                <w:szCs w:val="20"/>
              </w:rPr>
              <w:t>0.43 km</w:t>
            </w:r>
          </w:p>
        </w:tc>
        <w:tc>
          <w:tcPr>
            <w:tcW w:w="1417" w:type="dxa"/>
            <w:tcBorders>
              <w:top w:val="single" w:color="000000" w:sz="4" w:space="0"/>
              <w:left w:val="single" w:color="000000" w:sz="4" w:space="0"/>
              <w:bottom w:val="single" w:color="000000" w:sz="4" w:space="0"/>
              <w:right w:val="single" w:color="000000" w:sz="4" w:space="0"/>
            </w:tcBorders>
          </w:tcPr>
          <w:p>
            <w:pPr>
              <w:jc w:val="center"/>
              <w:rPr>
                <w:rFonts w:ascii="Times New Roman" w:hAnsi="Times New Roman"/>
                <w:kern w:val="0"/>
                <w:sz w:val="20"/>
                <w:szCs w:val="20"/>
              </w:rPr>
            </w:pPr>
            <w:r>
              <w:rPr>
                <w:rFonts w:ascii="Times New Roman" w:hAnsi="Times New Roman"/>
                <w:kern w:val="0"/>
                <w:sz w:val="20"/>
                <w:szCs w:val="20"/>
              </w:rPr>
              <w:t>2022</w:t>
            </w:r>
            <w:r>
              <w:rPr>
                <w:rFonts w:hint="eastAsia" w:ascii="Times New Roman" w:hAnsi="Times New Roman"/>
                <w:kern w:val="0"/>
                <w:sz w:val="20"/>
                <w:szCs w:val="20"/>
              </w:rPr>
              <w:t>年</w:t>
            </w:r>
          </w:p>
        </w:tc>
        <w:tc>
          <w:tcPr>
            <w:tcW w:w="1276" w:type="dxa"/>
            <w:tcBorders>
              <w:top w:val="single" w:color="000000" w:sz="4" w:space="0"/>
              <w:left w:val="single" w:color="000000" w:sz="4" w:space="0"/>
              <w:bottom w:val="single" w:color="000000" w:sz="4" w:space="0"/>
              <w:right w:val="single" w:color="000000" w:sz="4" w:space="0"/>
            </w:tcBorders>
            <w:vAlign w:val="center"/>
          </w:tcPr>
          <w:p>
            <w:pPr>
              <w:jc w:val="center"/>
              <w:rPr>
                <w:rFonts w:ascii="Times New Roman" w:hAnsi="Times New Roman"/>
                <w:kern w:val="0"/>
                <w:sz w:val="20"/>
                <w:szCs w:val="20"/>
              </w:rPr>
            </w:pPr>
            <w:r>
              <w:rPr>
                <w:rFonts w:hint="eastAsia" w:ascii="Times New Roman" w:hAnsi="Times New Roman"/>
                <w:kern w:val="0"/>
                <w:sz w:val="20"/>
                <w:szCs w:val="20"/>
              </w:rPr>
              <w:t>区城市管理局</w:t>
            </w:r>
          </w:p>
        </w:tc>
        <w:tc>
          <w:tcPr>
            <w:tcW w:w="1276" w:type="dxa"/>
            <w:tcBorders>
              <w:top w:val="single" w:color="000000" w:sz="4" w:space="0"/>
              <w:left w:val="single" w:color="000000" w:sz="4" w:space="0"/>
              <w:bottom w:val="single" w:color="000000" w:sz="4" w:space="0"/>
              <w:right w:val="single" w:color="000000" w:sz="4" w:space="0"/>
            </w:tcBorders>
            <w:vAlign w:val="center"/>
          </w:tcPr>
          <w:p>
            <w:pPr>
              <w:jc w:val="center"/>
              <w:rPr>
                <w:rFonts w:ascii="Times New Roman" w:hAnsi="Times New Roman"/>
                <w:kern w:val="0"/>
                <w:sz w:val="20"/>
                <w:szCs w:val="20"/>
              </w:rPr>
            </w:pPr>
            <w:r>
              <w:rPr>
                <w:rFonts w:ascii="Times New Roman" w:hAnsi="Times New Roman"/>
                <w:kern w:val="0"/>
                <w:sz w:val="20"/>
                <w:szCs w:val="20"/>
              </w:rPr>
              <w:t>129</w:t>
            </w:r>
          </w:p>
        </w:tc>
        <w:tc>
          <w:tcPr>
            <w:tcW w:w="803"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53"/>
              <w:jc w:val="center"/>
              <w:rPr>
                <w:rFonts w:ascii="Malgun Gothic Semilight" w:hAnsi="Malgun Gothic Semilight" w:eastAsia="Malgun Gothic Semilight" w:cs="Malgun Gothic Semilight"/>
                <w:sz w:val="24"/>
                <w:szCs w:val="24"/>
              </w:rPr>
            </w:pPr>
            <w:r>
              <w:rPr>
                <w:rFonts w:hint="eastAsia" w:ascii="Malgun Gothic Semilight" w:hAnsi="Malgun Gothic Semilight" w:eastAsia="Malgun Gothic Semilight" w:cs="Malgun Gothic Semilight"/>
                <w:sz w:val="24"/>
                <w:szCs w:val="24"/>
              </w:rPr>
              <w:t>√</w:t>
            </w:r>
          </w:p>
        </w:tc>
        <w:tc>
          <w:tcPr>
            <w:tcW w:w="803"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53"/>
              <w:jc w:val="center"/>
              <w:rPr>
                <w:rFonts w:ascii="Times New Roman" w:hAnsi="Times New Roman"/>
                <w:kern w:val="0"/>
                <w:sz w:val="24"/>
                <w:szCs w:val="24"/>
              </w:rPr>
            </w:pPr>
          </w:p>
        </w:tc>
        <w:tc>
          <w:tcPr>
            <w:tcW w:w="803" w:type="dxa"/>
            <w:tcBorders>
              <w:top w:val="single" w:color="000000" w:sz="4" w:space="0"/>
              <w:left w:val="single" w:color="000000" w:sz="4" w:space="0"/>
              <w:bottom w:val="single" w:color="000000" w:sz="4" w:space="0"/>
              <w:right w:val="single" w:color="auto" w:sz="4" w:space="0"/>
            </w:tcBorders>
            <w:vAlign w:val="center"/>
          </w:tcPr>
          <w:p>
            <w:pPr>
              <w:widowControl/>
              <w:spacing w:line="259" w:lineRule="auto"/>
              <w:ind w:left="53"/>
              <w:jc w:val="center"/>
              <w:rPr>
                <w:rFonts w:ascii="Times New Roman" w:hAnsi="Times New Roman"/>
                <w:kern w:val="0"/>
                <w:sz w:val="20"/>
                <w:szCs w:val="20"/>
              </w:rPr>
            </w:pPr>
          </w:p>
        </w:tc>
        <w:tc>
          <w:tcPr>
            <w:tcW w:w="1134" w:type="dxa"/>
            <w:vMerge w:val="continue"/>
            <w:tcBorders>
              <w:left w:val="single" w:color="auto" w:sz="4" w:space="0"/>
              <w:right w:val="single" w:color="auto" w:sz="4" w:space="0"/>
            </w:tcBorders>
            <w:vAlign w:val="center"/>
          </w:tcPr>
          <w:p>
            <w:pPr>
              <w:widowControl/>
              <w:spacing w:line="259" w:lineRule="auto"/>
              <w:ind w:left="52"/>
              <w:jc w:val="center"/>
              <w:rPr>
                <w:rFonts w:ascii="宋体" w:cs="宋体"/>
                <w:kern w:val="0"/>
                <w:sz w:val="20"/>
                <w:szCs w:val="20"/>
              </w:rPr>
            </w:pPr>
          </w:p>
        </w:tc>
      </w:tr>
      <w:tr>
        <w:tblPrEx>
          <w:tblCellMar>
            <w:top w:w="0" w:type="dxa"/>
            <w:left w:w="0" w:type="dxa"/>
            <w:bottom w:w="0" w:type="dxa"/>
            <w:right w:w="5" w:type="dxa"/>
          </w:tblCellMar>
        </w:tblPrEx>
        <w:trPr>
          <w:trHeight w:val="466" w:hRule="atLeast"/>
        </w:trPr>
        <w:tc>
          <w:tcPr>
            <w:tcW w:w="670"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202"/>
              <w:jc w:val="center"/>
              <w:rPr>
                <w:rFonts w:ascii="Times New Roman" w:hAnsi="Times New Roman"/>
                <w:kern w:val="0"/>
                <w:sz w:val="20"/>
                <w:szCs w:val="20"/>
              </w:rPr>
            </w:pPr>
            <w:r>
              <w:rPr>
                <w:rFonts w:ascii="Times New Roman" w:hAnsi="Times New Roman"/>
                <w:kern w:val="0"/>
                <w:sz w:val="20"/>
                <w:szCs w:val="20"/>
              </w:rPr>
              <w:t>13</w:t>
            </w:r>
          </w:p>
        </w:tc>
        <w:tc>
          <w:tcPr>
            <w:tcW w:w="1854" w:type="dxa"/>
            <w:tcBorders>
              <w:top w:val="single" w:color="000000" w:sz="4" w:space="0"/>
              <w:left w:val="single" w:color="000000" w:sz="4" w:space="0"/>
              <w:bottom w:val="single" w:color="000000" w:sz="4" w:space="0"/>
              <w:right w:val="single" w:color="000000" w:sz="4" w:space="0"/>
            </w:tcBorders>
            <w:vAlign w:val="center"/>
          </w:tcPr>
          <w:p>
            <w:pPr>
              <w:jc w:val="center"/>
              <w:rPr>
                <w:rFonts w:ascii="Times New Roman" w:hAnsi="Times New Roman"/>
                <w:kern w:val="0"/>
                <w:sz w:val="20"/>
                <w:szCs w:val="20"/>
              </w:rPr>
            </w:pPr>
            <w:r>
              <w:rPr>
                <w:rFonts w:hint="eastAsia" w:ascii="Times New Roman" w:hAnsi="Times New Roman"/>
                <w:kern w:val="0"/>
                <w:sz w:val="20"/>
                <w:szCs w:val="20"/>
              </w:rPr>
              <w:t>职教中心对面佳和苑片区</w:t>
            </w:r>
          </w:p>
        </w:tc>
        <w:tc>
          <w:tcPr>
            <w:tcW w:w="4809" w:type="dxa"/>
            <w:tcBorders>
              <w:top w:val="single" w:color="000000" w:sz="4" w:space="0"/>
              <w:left w:val="single" w:color="000000" w:sz="4" w:space="0"/>
              <w:bottom w:val="single" w:color="000000" w:sz="4" w:space="0"/>
              <w:right w:val="single" w:color="000000" w:sz="4" w:space="0"/>
            </w:tcBorders>
            <w:vAlign w:val="center"/>
          </w:tcPr>
          <w:p>
            <w:pPr>
              <w:jc w:val="center"/>
              <w:rPr>
                <w:rFonts w:ascii="Times New Roman" w:hAnsi="Times New Roman"/>
                <w:kern w:val="0"/>
                <w:sz w:val="20"/>
                <w:szCs w:val="20"/>
              </w:rPr>
            </w:pPr>
            <w:r>
              <w:rPr>
                <w:rFonts w:hint="eastAsia" w:ascii="Times New Roman" w:hAnsi="Times New Roman"/>
                <w:kern w:val="0"/>
                <w:sz w:val="20"/>
                <w:szCs w:val="20"/>
              </w:rPr>
              <w:t>管网建设</w:t>
            </w:r>
            <w:r>
              <w:rPr>
                <w:rFonts w:ascii="Times New Roman" w:hAnsi="Times New Roman"/>
                <w:kern w:val="0"/>
                <w:sz w:val="20"/>
                <w:szCs w:val="20"/>
              </w:rPr>
              <w:t>0.47 km</w:t>
            </w:r>
          </w:p>
        </w:tc>
        <w:tc>
          <w:tcPr>
            <w:tcW w:w="1417" w:type="dxa"/>
            <w:tcBorders>
              <w:top w:val="single" w:color="000000" w:sz="4" w:space="0"/>
              <w:left w:val="single" w:color="000000" w:sz="4" w:space="0"/>
              <w:bottom w:val="single" w:color="000000" w:sz="4" w:space="0"/>
              <w:right w:val="single" w:color="000000" w:sz="4" w:space="0"/>
            </w:tcBorders>
          </w:tcPr>
          <w:p>
            <w:pPr>
              <w:jc w:val="center"/>
              <w:rPr>
                <w:rFonts w:ascii="Times New Roman" w:hAnsi="Times New Roman"/>
                <w:kern w:val="0"/>
                <w:sz w:val="20"/>
                <w:szCs w:val="20"/>
              </w:rPr>
            </w:pPr>
            <w:r>
              <w:rPr>
                <w:rFonts w:ascii="Times New Roman" w:hAnsi="Times New Roman"/>
                <w:kern w:val="0"/>
                <w:sz w:val="20"/>
                <w:szCs w:val="20"/>
              </w:rPr>
              <w:t>2022</w:t>
            </w:r>
            <w:r>
              <w:rPr>
                <w:rFonts w:hint="eastAsia" w:ascii="Times New Roman" w:hAnsi="Times New Roman"/>
                <w:kern w:val="0"/>
                <w:sz w:val="20"/>
                <w:szCs w:val="20"/>
              </w:rPr>
              <w:t>年</w:t>
            </w:r>
          </w:p>
        </w:tc>
        <w:tc>
          <w:tcPr>
            <w:tcW w:w="1276" w:type="dxa"/>
            <w:tcBorders>
              <w:top w:val="single" w:color="000000" w:sz="4" w:space="0"/>
              <w:left w:val="single" w:color="000000" w:sz="4" w:space="0"/>
              <w:bottom w:val="single" w:color="000000" w:sz="4" w:space="0"/>
              <w:right w:val="single" w:color="000000" w:sz="4" w:space="0"/>
            </w:tcBorders>
            <w:vAlign w:val="center"/>
          </w:tcPr>
          <w:p>
            <w:pPr>
              <w:jc w:val="center"/>
              <w:rPr>
                <w:rFonts w:ascii="Times New Roman" w:hAnsi="Times New Roman"/>
                <w:kern w:val="0"/>
                <w:sz w:val="20"/>
                <w:szCs w:val="20"/>
              </w:rPr>
            </w:pPr>
            <w:r>
              <w:rPr>
                <w:rFonts w:hint="eastAsia" w:ascii="Times New Roman" w:hAnsi="Times New Roman"/>
                <w:kern w:val="0"/>
                <w:sz w:val="20"/>
                <w:szCs w:val="20"/>
              </w:rPr>
              <w:t>区城市管理局</w:t>
            </w:r>
          </w:p>
        </w:tc>
        <w:tc>
          <w:tcPr>
            <w:tcW w:w="1276" w:type="dxa"/>
            <w:tcBorders>
              <w:top w:val="single" w:color="000000" w:sz="4" w:space="0"/>
              <w:left w:val="single" w:color="000000" w:sz="4" w:space="0"/>
              <w:bottom w:val="single" w:color="000000" w:sz="4" w:space="0"/>
              <w:right w:val="single" w:color="000000" w:sz="4" w:space="0"/>
            </w:tcBorders>
            <w:vAlign w:val="center"/>
          </w:tcPr>
          <w:p>
            <w:pPr>
              <w:jc w:val="center"/>
              <w:rPr>
                <w:rFonts w:ascii="Times New Roman" w:hAnsi="Times New Roman"/>
                <w:kern w:val="0"/>
                <w:sz w:val="20"/>
                <w:szCs w:val="20"/>
              </w:rPr>
            </w:pPr>
            <w:r>
              <w:rPr>
                <w:rFonts w:ascii="Times New Roman" w:hAnsi="Times New Roman"/>
                <w:kern w:val="0"/>
                <w:sz w:val="20"/>
                <w:szCs w:val="20"/>
              </w:rPr>
              <w:t>141</w:t>
            </w:r>
          </w:p>
        </w:tc>
        <w:tc>
          <w:tcPr>
            <w:tcW w:w="803"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53"/>
              <w:jc w:val="center"/>
              <w:rPr>
                <w:rFonts w:ascii="Malgun Gothic Semilight" w:hAnsi="Malgun Gothic Semilight" w:eastAsia="Malgun Gothic Semilight" w:cs="Malgun Gothic Semilight"/>
                <w:sz w:val="24"/>
                <w:szCs w:val="24"/>
              </w:rPr>
            </w:pPr>
            <w:r>
              <w:rPr>
                <w:rFonts w:hint="eastAsia" w:ascii="Malgun Gothic Semilight" w:hAnsi="Malgun Gothic Semilight" w:eastAsia="Malgun Gothic Semilight" w:cs="Malgun Gothic Semilight"/>
                <w:sz w:val="24"/>
                <w:szCs w:val="24"/>
              </w:rPr>
              <w:t>√</w:t>
            </w:r>
          </w:p>
        </w:tc>
        <w:tc>
          <w:tcPr>
            <w:tcW w:w="803"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53"/>
              <w:jc w:val="center"/>
              <w:rPr>
                <w:rFonts w:ascii="Times New Roman" w:hAnsi="Times New Roman"/>
                <w:kern w:val="0"/>
                <w:sz w:val="24"/>
                <w:szCs w:val="24"/>
              </w:rPr>
            </w:pPr>
          </w:p>
        </w:tc>
        <w:tc>
          <w:tcPr>
            <w:tcW w:w="803" w:type="dxa"/>
            <w:tcBorders>
              <w:top w:val="single" w:color="000000" w:sz="4" w:space="0"/>
              <w:left w:val="single" w:color="000000" w:sz="4" w:space="0"/>
              <w:bottom w:val="single" w:color="000000" w:sz="4" w:space="0"/>
              <w:right w:val="single" w:color="auto" w:sz="4" w:space="0"/>
            </w:tcBorders>
            <w:vAlign w:val="center"/>
          </w:tcPr>
          <w:p>
            <w:pPr>
              <w:widowControl/>
              <w:spacing w:line="259" w:lineRule="auto"/>
              <w:ind w:left="53"/>
              <w:jc w:val="center"/>
              <w:rPr>
                <w:rFonts w:ascii="Times New Roman" w:hAnsi="Times New Roman"/>
                <w:kern w:val="0"/>
                <w:sz w:val="20"/>
                <w:szCs w:val="20"/>
              </w:rPr>
            </w:pPr>
          </w:p>
        </w:tc>
        <w:tc>
          <w:tcPr>
            <w:tcW w:w="1134" w:type="dxa"/>
            <w:vMerge w:val="continue"/>
            <w:tcBorders>
              <w:left w:val="single" w:color="auto" w:sz="4" w:space="0"/>
              <w:right w:val="single" w:color="auto" w:sz="4" w:space="0"/>
            </w:tcBorders>
            <w:vAlign w:val="center"/>
          </w:tcPr>
          <w:p>
            <w:pPr>
              <w:widowControl/>
              <w:spacing w:line="259" w:lineRule="auto"/>
              <w:ind w:left="52"/>
              <w:jc w:val="center"/>
              <w:rPr>
                <w:rFonts w:ascii="宋体" w:cs="宋体"/>
                <w:kern w:val="0"/>
                <w:sz w:val="20"/>
                <w:szCs w:val="20"/>
              </w:rPr>
            </w:pPr>
          </w:p>
        </w:tc>
      </w:tr>
      <w:tr>
        <w:tblPrEx>
          <w:tblCellMar>
            <w:top w:w="0" w:type="dxa"/>
            <w:left w:w="0" w:type="dxa"/>
            <w:bottom w:w="0" w:type="dxa"/>
            <w:right w:w="5" w:type="dxa"/>
          </w:tblCellMar>
        </w:tblPrEx>
        <w:trPr>
          <w:trHeight w:val="466" w:hRule="atLeast"/>
        </w:trPr>
        <w:tc>
          <w:tcPr>
            <w:tcW w:w="670"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202"/>
              <w:jc w:val="center"/>
              <w:rPr>
                <w:rFonts w:ascii="Times New Roman" w:hAnsi="Times New Roman"/>
                <w:kern w:val="0"/>
                <w:sz w:val="20"/>
                <w:szCs w:val="20"/>
              </w:rPr>
            </w:pPr>
            <w:r>
              <w:rPr>
                <w:rFonts w:ascii="Times New Roman" w:hAnsi="Times New Roman"/>
                <w:kern w:val="0"/>
                <w:sz w:val="20"/>
                <w:szCs w:val="20"/>
              </w:rPr>
              <w:t>14</w:t>
            </w:r>
          </w:p>
        </w:tc>
        <w:tc>
          <w:tcPr>
            <w:tcW w:w="1854" w:type="dxa"/>
            <w:tcBorders>
              <w:top w:val="single" w:color="000000" w:sz="4" w:space="0"/>
              <w:left w:val="single" w:color="000000" w:sz="4" w:space="0"/>
              <w:bottom w:val="single" w:color="000000" w:sz="4" w:space="0"/>
              <w:right w:val="single" w:color="000000" w:sz="4" w:space="0"/>
            </w:tcBorders>
            <w:vAlign w:val="center"/>
          </w:tcPr>
          <w:p>
            <w:pPr>
              <w:jc w:val="center"/>
              <w:rPr>
                <w:rFonts w:ascii="Times New Roman" w:hAnsi="Times New Roman"/>
                <w:kern w:val="0"/>
                <w:sz w:val="20"/>
                <w:szCs w:val="20"/>
              </w:rPr>
            </w:pPr>
            <w:r>
              <w:rPr>
                <w:rFonts w:hint="eastAsia" w:ascii="Times New Roman" w:hAnsi="Times New Roman"/>
                <w:kern w:val="0"/>
                <w:sz w:val="20"/>
                <w:szCs w:val="20"/>
              </w:rPr>
              <w:t>一碗水后街片区</w:t>
            </w:r>
          </w:p>
        </w:tc>
        <w:tc>
          <w:tcPr>
            <w:tcW w:w="4809" w:type="dxa"/>
            <w:tcBorders>
              <w:top w:val="single" w:color="000000" w:sz="4" w:space="0"/>
              <w:left w:val="single" w:color="000000" w:sz="4" w:space="0"/>
              <w:bottom w:val="single" w:color="000000" w:sz="4" w:space="0"/>
              <w:right w:val="single" w:color="000000" w:sz="4" w:space="0"/>
            </w:tcBorders>
            <w:vAlign w:val="center"/>
          </w:tcPr>
          <w:p>
            <w:pPr>
              <w:jc w:val="center"/>
              <w:rPr>
                <w:rFonts w:ascii="Times New Roman" w:hAnsi="Times New Roman"/>
                <w:kern w:val="0"/>
                <w:sz w:val="20"/>
                <w:szCs w:val="20"/>
              </w:rPr>
            </w:pPr>
            <w:r>
              <w:rPr>
                <w:rFonts w:hint="eastAsia" w:ascii="Times New Roman" w:hAnsi="Times New Roman"/>
                <w:kern w:val="0"/>
                <w:sz w:val="20"/>
                <w:szCs w:val="20"/>
              </w:rPr>
              <w:t>管网建设</w:t>
            </w:r>
            <w:r>
              <w:rPr>
                <w:rFonts w:ascii="Times New Roman" w:hAnsi="Times New Roman"/>
                <w:kern w:val="0"/>
                <w:sz w:val="20"/>
                <w:szCs w:val="20"/>
              </w:rPr>
              <w:t>0.58 km</w:t>
            </w:r>
          </w:p>
        </w:tc>
        <w:tc>
          <w:tcPr>
            <w:tcW w:w="1417" w:type="dxa"/>
            <w:tcBorders>
              <w:top w:val="single" w:color="000000" w:sz="4" w:space="0"/>
              <w:left w:val="single" w:color="000000" w:sz="4" w:space="0"/>
              <w:bottom w:val="single" w:color="000000" w:sz="4" w:space="0"/>
              <w:right w:val="single" w:color="000000" w:sz="4" w:space="0"/>
            </w:tcBorders>
          </w:tcPr>
          <w:p>
            <w:pPr>
              <w:jc w:val="center"/>
              <w:rPr>
                <w:rFonts w:ascii="Times New Roman" w:hAnsi="Times New Roman"/>
                <w:kern w:val="0"/>
                <w:sz w:val="20"/>
                <w:szCs w:val="20"/>
              </w:rPr>
            </w:pPr>
            <w:r>
              <w:rPr>
                <w:rFonts w:ascii="Times New Roman" w:hAnsi="Times New Roman"/>
                <w:kern w:val="0"/>
                <w:sz w:val="20"/>
                <w:szCs w:val="20"/>
              </w:rPr>
              <w:t>2022</w:t>
            </w:r>
            <w:r>
              <w:rPr>
                <w:rFonts w:hint="eastAsia" w:ascii="Times New Roman" w:hAnsi="Times New Roman"/>
                <w:kern w:val="0"/>
                <w:sz w:val="20"/>
                <w:szCs w:val="20"/>
              </w:rPr>
              <w:t>年</w:t>
            </w:r>
          </w:p>
        </w:tc>
        <w:tc>
          <w:tcPr>
            <w:tcW w:w="1276" w:type="dxa"/>
            <w:tcBorders>
              <w:top w:val="single" w:color="000000" w:sz="4" w:space="0"/>
              <w:left w:val="single" w:color="000000" w:sz="4" w:space="0"/>
              <w:bottom w:val="single" w:color="000000" w:sz="4" w:space="0"/>
              <w:right w:val="single" w:color="000000" w:sz="4" w:space="0"/>
            </w:tcBorders>
            <w:vAlign w:val="center"/>
          </w:tcPr>
          <w:p>
            <w:pPr>
              <w:jc w:val="center"/>
              <w:rPr>
                <w:rFonts w:ascii="Times New Roman" w:hAnsi="Times New Roman"/>
                <w:kern w:val="0"/>
                <w:sz w:val="20"/>
                <w:szCs w:val="20"/>
              </w:rPr>
            </w:pPr>
            <w:r>
              <w:rPr>
                <w:rFonts w:hint="eastAsia" w:ascii="Times New Roman" w:hAnsi="Times New Roman"/>
                <w:kern w:val="0"/>
                <w:sz w:val="20"/>
                <w:szCs w:val="20"/>
              </w:rPr>
              <w:t>区城市管理局</w:t>
            </w:r>
          </w:p>
        </w:tc>
        <w:tc>
          <w:tcPr>
            <w:tcW w:w="1276" w:type="dxa"/>
            <w:tcBorders>
              <w:top w:val="single" w:color="000000" w:sz="4" w:space="0"/>
              <w:left w:val="single" w:color="000000" w:sz="4" w:space="0"/>
              <w:bottom w:val="single" w:color="000000" w:sz="4" w:space="0"/>
              <w:right w:val="single" w:color="000000" w:sz="4" w:space="0"/>
            </w:tcBorders>
            <w:vAlign w:val="center"/>
          </w:tcPr>
          <w:p>
            <w:pPr>
              <w:jc w:val="center"/>
              <w:rPr>
                <w:rFonts w:ascii="Times New Roman" w:hAnsi="Times New Roman"/>
                <w:kern w:val="0"/>
                <w:sz w:val="20"/>
                <w:szCs w:val="20"/>
              </w:rPr>
            </w:pPr>
            <w:r>
              <w:rPr>
                <w:rFonts w:ascii="Times New Roman" w:hAnsi="Times New Roman"/>
                <w:kern w:val="0"/>
                <w:sz w:val="20"/>
                <w:szCs w:val="20"/>
              </w:rPr>
              <w:t>174</w:t>
            </w:r>
          </w:p>
        </w:tc>
        <w:tc>
          <w:tcPr>
            <w:tcW w:w="803" w:type="dxa"/>
            <w:tcBorders>
              <w:top w:val="single" w:color="000000" w:sz="4" w:space="0"/>
              <w:left w:val="single" w:color="000000" w:sz="4" w:space="0"/>
              <w:bottom w:val="single" w:color="000000" w:sz="4" w:space="0"/>
              <w:right w:val="single" w:color="000000" w:sz="4" w:space="0"/>
            </w:tcBorders>
          </w:tcPr>
          <w:p>
            <w:pPr>
              <w:widowControl/>
              <w:spacing w:line="259" w:lineRule="auto"/>
              <w:ind w:left="53"/>
              <w:jc w:val="center"/>
              <w:rPr>
                <w:rFonts w:ascii="Malgun Gothic Semilight" w:hAnsi="Malgun Gothic Semilight" w:eastAsia="Malgun Gothic Semilight" w:cs="Malgun Gothic Semilight"/>
                <w:sz w:val="24"/>
                <w:szCs w:val="24"/>
              </w:rPr>
            </w:pPr>
            <w:r>
              <w:rPr>
                <w:rFonts w:hint="eastAsia" w:ascii="Malgun Gothic Semilight" w:hAnsi="Malgun Gothic Semilight" w:eastAsia="Malgun Gothic Semilight" w:cs="Malgun Gothic Semilight"/>
                <w:sz w:val="24"/>
                <w:szCs w:val="24"/>
              </w:rPr>
              <w:t>√</w:t>
            </w:r>
          </w:p>
        </w:tc>
        <w:tc>
          <w:tcPr>
            <w:tcW w:w="803"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53"/>
              <w:jc w:val="center"/>
              <w:rPr>
                <w:rFonts w:ascii="Times New Roman" w:hAnsi="Times New Roman"/>
                <w:kern w:val="0"/>
                <w:sz w:val="24"/>
                <w:szCs w:val="24"/>
              </w:rPr>
            </w:pPr>
          </w:p>
        </w:tc>
        <w:tc>
          <w:tcPr>
            <w:tcW w:w="803" w:type="dxa"/>
            <w:tcBorders>
              <w:top w:val="single" w:color="000000" w:sz="4" w:space="0"/>
              <w:left w:val="single" w:color="000000" w:sz="4" w:space="0"/>
              <w:bottom w:val="single" w:color="000000" w:sz="4" w:space="0"/>
              <w:right w:val="single" w:color="auto" w:sz="4" w:space="0"/>
            </w:tcBorders>
            <w:vAlign w:val="center"/>
          </w:tcPr>
          <w:p>
            <w:pPr>
              <w:widowControl/>
              <w:spacing w:line="259" w:lineRule="auto"/>
              <w:ind w:left="53"/>
              <w:jc w:val="center"/>
              <w:rPr>
                <w:rFonts w:ascii="Times New Roman" w:hAnsi="Times New Roman"/>
                <w:kern w:val="0"/>
                <w:sz w:val="20"/>
                <w:szCs w:val="20"/>
              </w:rPr>
            </w:pPr>
          </w:p>
        </w:tc>
        <w:tc>
          <w:tcPr>
            <w:tcW w:w="1134" w:type="dxa"/>
            <w:vMerge w:val="continue"/>
            <w:tcBorders>
              <w:left w:val="single" w:color="auto" w:sz="4" w:space="0"/>
              <w:right w:val="single" w:color="auto" w:sz="4" w:space="0"/>
            </w:tcBorders>
            <w:vAlign w:val="center"/>
          </w:tcPr>
          <w:p>
            <w:pPr>
              <w:widowControl/>
              <w:spacing w:line="259" w:lineRule="auto"/>
              <w:ind w:left="52"/>
              <w:jc w:val="center"/>
              <w:rPr>
                <w:rFonts w:ascii="宋体" w:cs="宋体"/>
                <w:kern w:val="0"/>
                <w:sz w:val="20"/>
                <w:szCs w:val="20"/>
              </w:rPr>
            </w:pPr>
          </w:p>
        </w:tc>
      </w:tr>
      <w:tr>
        <w:tblPrEx>
          <w:tblCellMar>
            <w:top w:w="0" w:type="dxa"/>
            <w:left w:w="0" w:type="dxa"/>
            <w:bottom w:w="0" w:type="dxa"/>
            <w:right w:w="5" w:type="dxa"/>
          </w:tblCellMar>
        </w:tblPrEx>
        <w:trPr>
          <w:trHeight w:val="466" w:hRule="atLeast"/>
        </w:trPr>
        <w:tc>
          <w:tcPr>
            <w:tcW w:w="670"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202"/>
              <w:jc w:val="center"/>
              <w:rPr>
                <w:rFonts w:ascii="Times New Roman" w:hAnsi="Times New Roman"/>
                <w:kern w:val="0"/>
                <w:sz w:val="20"/>
                <w:szCs w:val="20"/>
              </w:rPr>
            </w:pPr>
            <w:r>
              <w:rPr>
                <w:rFonts w:ascii="Times New Roman" w:hAnsi="Times New Roman"/>
                <w:kern w:val="0"/>
                <w:sz w:val="20"/>
                <w:szCs w:val="20"/>
              </w:rPr>
              <w:t>15</w:t>
            </w:r>
          </w:p>
        </w:tc>
        <w:tc>
          <w:tcPr>
            <w:tcW w:w="1854" w:type="dxa"/>
            <w:tcBorders>
              <w:top w:val="single" w:color="000000" w:sz="4" w:space="0"/>
              <w:left w:val="single" w:color="000000" w:sz="4" w:space="0"/>
              <w:bottom w:val="single" w:color="000000" w:sz="4" w:space="0"/>
              <w:right w:val="single" w:color="000000" w:sz="4" w:space="0"/>
            </w:tcBorders>
            <w:vAlign w:val="center"/>
          </w:tcPr>
          <w:p>
            <w:pPr>
              <w:jc w:val="center"/>
              <w:rPr>
                <w:rFonts w:ascii="Times New Roman" w:hAnsi="Times New Roman"/>
                <w:kern w:val="0"/>
                <w:sz w:val="20"/>
                <w:szCs w:val="20"/>
              </w:rPr>
            </w:pPr>
            <w:r>
              <w:rPr>
                <w:rFonts w:hint="eastAsia" w:ascii="Times New Roman" w:hAnsi="Times New Roman"/>
                <w:kern w:val="0"/>
                <w:sz w:val="20"/>
                <w:szCs w:val="20"/>
              </w:rPr>
              <w:t>职教中心门口过街管道片区</w:t>
            </w:r>
          </w:p>
        </w:tc>
        <w:tc>
          <w:tcPr>
            <w:tcW w:w="4809" w:type="dxa"/>
            <w:tcBorders>
              <w:top w:val="single" w:color="000000" w:sz="4" w:space="0"/>
              <w:left w:val="single" w:color="000000" w:sz="4" w:space="0"/>
              <w:bottom w:val="single" w:color="000000" w:sz="4" w:space="0"/>
              <w:right w:val="single" w:color="000000" w:sz="4" w:space="0"/>
            </w:tcBorders>
            <w:vAlign w:val="center"/>
          </w:tcPr>
          <w:p>
            <w:pPr>
              <w:jc w:val="center"/>
              <w:rPr>
                <w:rFonts w:ascii="Times New Roman" w:hAnsi="Times New Roman"/>
                <w:kern w:val="0"/>
                <w:sz w:val="20"/>
                <w:szCs w:val="20"/>
              </w:rPr>
            </w:pPr>
            <w:r>
              <w:rPr>
                <w:rFonts w:hint="eastAsia" w:ascii="Times New Roman" w:hAnsi="Times New Roman"/>
                <w:kern w:val="0"/>
                <w:sz w:val="20"/>
                <w:szCs w:val="20"/>
              </w:rPr>
              <w:t>管网建设</w:t>
            </w:r>
            <w:r>
              <w:rPr>
                <w:rFonts w:ascii="Times New Roman" w:hAnsi="Times New Roman"/>
                <w:kern w:val="0"/>
                <w:sz w:val="20"/>
                <w:szCs w:val="20"/>
              </w:rPr>
              <w:t>0.16 km</w:t>
            </w:r>
          </w:p>
        </w:tc>
        <w:tc>
          <w:tcPr>
            <w:tcW w:w="1417" w:type="dxa"/>
            <w:tcBorders>
              <w:top w:val="single" w:color="000000" w:sz="4" w:space="0"/>
              <w:left w:val="single" w:color="000000" w:sz="4" w:space="0"/>
              <w:bottom w:val="single" w:color="000000" w:sz="4" w:space="0"/>
              <w:right w:val="single" w:color="000000" w:sz="4" w:space="0"/>
            </w:tcBorders>
          </w:tcPr>
          <w:p>
            <w:pPr>
              <w:jc w:val="center"/>
              <w:rPr>
                <w:rFonts w:ascii="Times New Roman" w:hAnsi="Times New Roman"/>
                <w:kern w:val="0"/>
                <w:sz w:val="20"/>
                <w:szCs w:val="20"/>
              </w:rPr>
            </w:pPr>
            <w:r>
              <w:rPr>
                <w:rFonts w:ascii="Times New Roman" w:hAnsi="Times New Roman"/>
                <w:kern w:val="0"/>
                <w:sz w:val="20"/>
                <w:szCs w:val="20"/>
              </w:rPr>
              <w:t>2022</w:t>
            </w:r>
            <w:r>
              <w:rPr>
                <w:rFonts w:hint="eastAsia" w:ascii="Times New Roman" w:hAnsi="Times New Roman"/>
                <w:kern w:val="0"/>
                <w:sz w:val="20"/>
                <w:szCs w:val="20"/>
              </w:rPr>
              <w:t>年</w:t>
            </w:r>
          </w:p>
        </w:tc>
        <w:tc>
          <w:tcPr>
            <w:tcW w:w="1276" w:type="dxa"/>
            <w:tcBorders>
              <w:top w:val="single" w:color="000000" w:sz="4" w:space="0"/>
              <w:left w:val="single" w:color="000000" w:sz="4" w:space="0"/>
              <w:bottom w:val="single" w:color="000000" w:sz="4" w:space="0"/>
              <w:right w:val="single" w:color="000000" w:sz="4" w:space="0"/>
            </w:tcBorders>
            <w:vAlign w:val="center"/>
          </w:tcPr>
          <w:p>
            <w:pPr>
              <w:jc w:val="center"/>
              <w:rPr>
                <w:rFonts w:ascii="Times New Roman" w:hAnsi="Times New Roman"/>
                <w:kern w:val="0"/>
                <w:sz w:val="20"/>
                <w:szCs w:val="20"/>
              </w:rPr>
            </w:pPr>
            <w:r>
              <w:rPr>
                <w:rFonts w:hint="eastAsia" w:ascii="Times New Roman" w:hAnsi="Times New Roman"/>
                <w:kern w:val="0"/>
                <w:sz w:val="20"/>
                <w:szCs w:val="20"/>
              </w:rPr>
              <w:t>区城市管理局</w:t>
            </w:r>
          </w:p>
        </w:tc>
        <w:tc>
          <w:tcPr>
            <w:tcW w:w="1276" w:type="dxa"/>
            <w:tcBorders>
              <w:top w:val="single" w:color="000000" w:sz="4" w:space="0"/>
              <w:left w:val="single" w:color="000000" w:sz="4" w:space="0"/>
              <w:bottom w:val="single" w:color="000000" w:sz="4" w:space="0"/>
              <w:right w:val="single" w:color="000000" w:sz="4" w:space="0"/>
            </w:tcBorders>
            <w:vAlign w:val="center"/>
          </w:tcPr>
          <w:p>
            <w:pPr>
              <w:jc w:val="center"/>
              <w:rPr>
                <w:rFonts w:ascii="Times New Roman" w:hAnsi="Times New Roman"/>
                <w:kern w:val="0"/>
                <w:sz w:val="20"/>
                <w:szCs w:val="20"/>
              </w:rPr>
            </w:pPr>
            <w:r>
              <w:rPr>
                <w:rFonts w:ascii="Times New Roman" w:hAnsi="Times New Roman"/>
                <w:kern w:val="0"/>
                <w:sz w:val="20"/>
                <w:szCs w:val="20"/>
              </w:rPr>
              <w:t>48</w:t>
            </w:r>
          </w:p>
        </w:tc>
        <w:tc>
          <w:tcPr>
            <w:tcW w:w="803" w:type="dxa"/>
            <w:tcBorders>
              <w:top w:val="single" w:color="000000" w:sz="4" w:space="0"/>
              <w:left w:val="single" w:color="000000" w:sz="4" w:space="0"/>
              <w:bottom w:val="single" w:color="000000" w:sz="4" w:space="0"/>
              <w:right w:val="single" w:color="000000" w:sz="4" w:space="0"/>
            </w:tcBorders>
          </w:tcPr>
          <w:p>
            <w:pPr>
              <w:widowControl/>
              <w:spacing w:line="259" w:lineRule="auto"/>
              <w:ind w:left="53"/>
              <w:jc w:val="center"/>
              <w:rPr>
                <w:rFonts w:ascii="Malgun Gothic Semilight" w:hAnsi="Malgun Gothic Semilight" w:eastAsia="Malgun Gothic Semilight" w:cs="Malgun Gothic Semilight"/>
                <w:sz w:val="24"/>
                <w:szCs w:val="24"/>
              </w:rPr>
            </w:pPr>
            <w:r>
              <w:rPr>
                <w:rFonts w:hint="eastAsia" w:ascii="Malgun Gothic Semilight" w:hAnsi="Malgun Gothic Semilight" w:eastAsia="Malgun Gothic Semilight" w:cs="Malgun Gothic Semilight"/>
                <w:sz w:val="24"/>
                <w:szCs w:val="24"/>
              </w:rPr>
              <w:t>√</w:t>
            </w:r>
          </w:p>
        </w:tc>
        <w:tc>
          <w:tcPr>
            <w:tcW w:w="803"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53"/>
              <w:jc w:val="center"/>
              <w:rPr>
                <w:rFonts w:ascii="Times New Roman" w:hAnsi="Times New Roman"/>
                <w:kern w:val="0"/>
                <w:sz w:val="24"/>
                <w:szCs w:val="24"/>
              </w:rPr>
            </w:pPr>
          </w:p>
        </w:tc>
        <w:tc>
          <w:tcPr>
            <w:tcW w:w="803" w:type="dxa"/>
            <w:tcBorders>
              <w:top w:val="single" w:color="000000" w:sz="4" w:space="0"/>
              <w:left w:val="single" w:color="000000" w:sz="4" w:space="0"/>
              <w:bottom w:val="single" w:color="000000" w:sz="4" w:space="0"/>
              <w:right w:val="single" w:color="auto" w:sz="4" w:space="0"/>
            </w:tcBorders>
            <w:vAlign w:val="center"/>
          </w:tcPr>
          <w:p>
            <w:pPr>
              <w:widowControl/>
              <w:spacing w:line="259" w:lineRule="auto"/>
              <w:ind w:left="53"/>
              <w:jc w:val="center"/>
              <w:rPr>
                <w:rFonts w:ascii="Times New Roman" w:hAnsi="Times New Roman"/>
                <w:kern w:val="0"/>
                <w:sz w:val="20"/>
                <w:szCs w:val="20"/>
              </w:rPr>
            </w:pPr>
          </w:p>
        </w:tc>
        <w:tc>
          <w:tcPr>
            <w:tcW w:w="1134" w:type="dxa"/>
            <w:vMerge w:val="continue"/>
            <w:tcBorders>
              <w:left w:val="single" w:color="auto" w:sz="4" w:space="0"/>
              <w:right w:val="single" w:color="auto" w:sz="4" w:space="0"/>
            </w:tcBorders>
            <w:vAlign w:val="center"/>
          </w:tcPr>
          <w:p>
            <w:pPr>
              <w:widowControl/>
              <w:spacing w:line="259" w:lineRule="auto"/>
              <w:ind w:left="52"/>
              <w:jc w:val="center"/>
              <w:rPr>
                <w:rFonts w:ascii="宋体" w:cs="宋体"/>
                <w:kern w:val="0"/>
                <w:sz w:val="20"/>
                <w:szCs w:val="20"/>
              </w:rPr>
            </w:pPr>
          </w:p>
        </w:tc>
      </w:tr>
      <w:tr>
        <w:tblPrEx>
          <w:tblCellMar>
            <w:top w:w="0" w:type="dxa"/>
            <w:left w:w="0" w:type="dxa"/>
            <w:bottom w:w="0" w:type="dxa"/>
            <w:right w:w="5" w:type="dxa"/>
          </w:tblCellMar>
        </w:tblPrEx>
        <w:trPr>
          <w:trHeight w:val="466" w:hRule="atLeast"/>
        </w:trPr>
        <w:tc>
          <w:tcPr>
            <w:tcW w:w="670"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202"/>
              <w:jc w:val="center"/>
              <w:rPr>
                <w:rFonts w:ascii="Times New Roman" w:hAnsi="Times New Roman"/>
                <w:kern w:val="0"/>
                <w:sz w:val="20"/>
                <w:szCs w:val="20"/>
              </w:rPr>
            </w:pPr>
            <w:r>
              <w:rPr>
                <w:rFonts w:ascii="Times New Roman" w:hAnsi="Times New Roman"/>
                <w:kern w:val="0"/>
                <w:sz w:val="20"/>
                <w:szCs w:val="20"/>
              </w:rPr>
              <w:t>16</w:t>
            </w:r>
          </w:p>
        </w:tc>
        <w:tc>
          <w:tcPr>
            <w:tcW w:w="1854" w:type="dxa"/>
            <w:tcBorders>
              <w:top w:val="single" w:color="000000" w:sz="4" w:space="0"/>
              <w:left w:val="single" w:color="000000" w:sz="4" w:space="0"/>
              <w:bottom w:val="single" w:color="000000" w:sz="4" w:space="0"/>
              <w:right w:val="single" w:color="000000" w:sz="4" w:space="0"/>
            </w:tcBorders>
            <w:vAlign w:val="center"/>
          </w:tcPr>
          <w:p>
            <w:pPr>
              <w:jc w:val="center"/>
              <w:rPr>
                <w:rFonts w:ascii="Times New Roman" w:hAnsi="Times New Roman"/>
                <w:kern w:val="0"/>
                <w:sz w:val="20"/>
                <w:szCs w:val="20"/>
              </w:rPr>
            </w:pPr>
            <w:r>
              <w:rPr>
                <w:rFonts w:hint="eastAsia" w:ascii="Times New Roman" w:hAnsi="Times New Roman"/>
                <w:kern w:val="0"/>
                <w:sz w:val="20"/>
                <w:szCs w:val="20"/>
              </w:rPr>
              <w:t>双龙大道至培训中心</w:t>
            </w:r>
          </w:p>
        </w:tc>
        <w:tc>
          <w:tcPr>
            <w:tcW w:w="4809" w:type="dxa"/>
            <w:tcBorders>
              <w:top w:val="single" w:color="000000" w:sz="4" w:space="0"/>
              <w:left w:val="single" w:color="000000" w:sz="4" w:space="0"/>
              <w:bottom w:val="single" w:color="000000" w:sz="4" w:space="0"/>
              <w:right w:val="single" w:color="000000" w:sz="4" w:space="0"/>
            </w:tcBorders>
            <w:vAlign w:val="center"/>
          </w:tcPr>
          <w:p>
            <w:pPr>
              <w:jc w:val="center"/>
              <w:rPr>
                <w:rFonts w:ascii="Times New Roman" w:hAnsi="Times New Roman"/>
                <w:kern w:val="0"/>
                <w:sz w:val="20"/>
                <w:szCs w:val="20"/>
              </w:rPr>
            </w:pPr>
            <w:r>
              <w:rPr>
                <w:rFonts w:hint="eastAsia" w:ascii="Times New Roman" w:hAnsi="Times New Roman"/>
                <w:kern w:val="0"/>
                <w:sz w:val="20"/>
                <w:szCs w:val="20"/>
              </w:rPr>
              <w:t>管网建设</w:t>
            </w:r>
            <w:r>
              <w:rPr>
                <w:rFonts w:ascii="Times New Roman" w:hAnsi="Times New Roman"/>
                <w:kern w:val="0"/>
                <w:sz w:val="20"/>
                <w:szCs w:val="20"/>
              </w:rPr>
              <w:t>0.33 km</w:t>
            </w:r>
          </w:p>
        </w:tc>
        <w:tc>
          <w:tcPr>
            <w:tcW w:w="1417" w:type="dxa"/>
            <w:tcBorders>
              <w:top w:val="single" w:color="000000" w:sz="4" w:space="0"/>
              <w:left w:val="single" w:color="000000" w:sz="4" w:space="0"/>
              <w:bottom w:val="single" w:color="000000" w:sz="4" w:space="0"/>
              <w:right w:val="single" w:color="000000" w:sz="4" w:space="0"/>
            </w:tcBorders>
          </w:tcPr>
          <w:p>
            <w:pPr>
              <w:jc w:val="center"/>
              <w:rPr>
                <w:rFonts w:ascii="Times New Roman" w:hAnsi="Times New Roman"/>
                <w:kern w:val="0"/>
                <w:sz w:val="20"/>
                <w:szCs w:val="20"/>
              </w:rPr>
            </w:pPr>
            <w:r>
              <w:rPr>
                <w:rFonts w:ascii="Times New Roman" w:hAnsi="Times New Roman"/>
                <w:kern w:val="0"/>
                <w:sz w:val="20"/>
                <w:szCs w:val="20"/>
              </w:rPr>
              <w:t>2022</w:t>
            </w:r>
            <w:r>
              <w:rPr>
                <w:rFonts w:hint="eastAsia" w:ascii="Times New Roman" w:hAnsi="Times New Roman"/>
                <w:kern w:val="0"/>
                <w:sz w:val="20"/>
                <w:szCs w:val="20"/>
              </w:rPr>
              <w:t>年</w:t>
            </w:r>
          </w:p>
        </w:tc>
        <w:tc>
          <w:tcPr>
            <w:tcW w:w="1276" w:type="dxa"/>
            <w:tcBorders>
              <w:top w:val="single" w:color="000000" w:sz="4" w:space="0"/>
              <w:left w:val="single" w:color="000000" w:sz="4" w:space="0"/>
              <w:bottom w:val="single" w:color="000000" w:sz="4" w:space="0"/>
              <w:right w:val="single" w:color="000000" w:sz="4" w:space="0"/>
            </w:tcBorders>
            <w:vAlign w:val="center"/>
          </w:tcPr>
          <w:p>
            <w:pPr>
              <w:jc w:val="center"/>
              <w:rPr>
                <w:rFonts w:ascii="Times New Roman" w:hAnsi="Times New Roman"/>
                <w:kern w:val="0"/>
                <w:sz w:val="20"/>
                <w:szCs w:val="20"/>
              </w:rPr>
            </w:pPr>
            <w:r>
              <w:rPr>
                <w:rFonts w:hint="eastAsia" w:ascii="Times New Roman" w:hAnsi="Times New Roman"/>
                <w:kern w:val="0"/>
                <w:sz w:val="20"/>
                <w:szCs w:val="20"/>
              </w:rPr>
              <w:t>区城市管理局</w:t>
            </w:r>
          </w:p>
        </w:tc>
        <w:tc>
          <w:tcPr>
            <w:tcW w:w="1276" w:type="dxa"/>
            <w:tcBorders>
              <w:top w:val="single" w:color="000000" w:sz="4" w:space="0"/>
              <w:left w:val="single" w:color="000000" w:sz="4" w:space="0"/>
              <w:bottom w:val="single" w:color="000000" w:sz="4" w:space="0"/>
              <w:right w:val="single" w:color="000000" w:sz="4" w:space="0"/>
            </w:tcBorders>
            <w:vAlign w:val="center"/>
          </w:tcPr>
          <w:p>
            <w:pPr>
              <w:jc w:val="center"/>
              <w:rPr>
                <w:rFonts w:ascii="Times New Roman" w:hAnsi="Times New Roman"/>
                <w:kern w:val="0"/>
                <w:sz w:val="20"/>
                <w:szCs w:val="20"/>
              </w:rPr>
            </w:pPr>
            <w:r>
              <w:rPr>
                <w:rFonts w:ascii="Times New Roman" w:hAnsi="Times New Roman"/>
                <w:kern w:val="0"/>
                <w:sz w:val="20"/>
                <w:szCs w:val="20"/>
              </w:rPr>
              <w:t>99</w:t>
            </w:r>
          </w:p>
        </w:tc>
        <w:tc>
          <w:tcPr>
            <w:tcW w:w="803" w:type="dxa"/>
            <w:tcBorders>
              <w:top w:val="single" w:color="000000" w:sz="4" w:space="0"/>
              <w:left w:val="single" w:color="000000" w:sz="4" w:space="0"/>
              <w:bottom w:val="single" w:color="000000" w:sz="4" w:space="0"/>
              <w:right w:val="single" w:color="000000" w:sz="4" w:space="0"/>
            </w:tcBorders>
          </w:tcPr>
          <w:p>
            <w:pPr>
              <w:widowControl/>
              <w:spacing w:line="259" w:lineRule="auto"/>
              <w:ind w:left="53"/>
              <w:jc w:val="center"/>
              <w:rPr>
                <w:rFonts w:ascii="Malgun Gothic Semilight" w:hAnsi="Malgun Gothic Semilight" w:eastAsia="Malgun Gothic Semilight" w:cs="Malgun Gothic Semilight"/>
                <w:sz w:val="24"/>
                <w:szCs w:val="24"/>
              </w:rPr>
            </w:pPr>
            <w:r>
              <w:rPr>
                <w:rFonts w:hint="eastAsia" w:ascii="Malgun Gothic Semilight" w:hAnsi="Malgun Gothic Semilight" w:eastAsia="Malgun Gothic Semilight" w:cs="Malgun Gothic Semilight"/>
                <w:sz w:val="24"/>
                <w:szCs w:val="24"/>
              </w:rPr>
              <w:t>√</w:t>
            </w:r>
          </w:p>
        </w:tc>
        <w:tc>
          <w:tcPr>
            <w:tcW w:w="803"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53"/>
              <w:jc w:val="center"/>
              <w:rPr>
                <w:rFonts w:ascii="Times New Roman" w:hAnsi="Times New Roman"/>
                <w:kern w:val="0"/>
                <w:sz w:val="24"/>
                <w:szCs w:val="24"/>
              </w:rPr>
            </w:pPr>
          </w:p>
        </w:tc>
        <w:tc>
          <w:tcPr>
            <w:tcW w:w="803" w:type="dxa"/>
            <w:tcBorders>
              <w:top w:val="single" w:color="000000" w:sz="4" w:space="0"/>
              <w:left w:val="single" w:color="000000" w:sz="4" w:space="0"/>
              <w:bottom w:val="single" w:color="000000" w:sz="4" w:space="0"/>
              <w:right w:val="single" w:color="auto" w:sz="4" w:space="0"/>
            </w:tcBorders>
            <w:vAlign w:val="center"/>
          </w:tcPr>
          <w:p>
            <w:pPr>
              <w:widowControl/>
              <w:spacing w:line="259" w:lineRule="auto"/>
              <w:ind w:left="53"/>
              <w:jc w:val="center"/>
              <w:rPr>
                <w:rFonts w:ascii="Times New Roman" w:hAnsi="Times New Roman"/>
                <w:kern w:val="0"/>
                <w:sz w:val="20"/>
                <w:szCs w:val="20"/>
              </w:rPr>
            </w:pPr>
          </w:p>
        </w:tc>
        <w:tc>
          <w:tcPr>
            <w:tcW w:w="1134" w:type="dxa"/>
            <w:vMerge w:val="continue"/>
            <w:tcBorders>
              <w:left w:val="single" w:color="auto" w:sz="4" w:space="0"/>
              <w:right w:val="single" w:color="auto" w:sz="4" w:space="0"/>
            </w:tcBorders>
            <w:vAlign w:val="center"/>
          </w:tcPr>
          <w:p>
            <w:pPr>
              <w:widowControl/>
              <w:spacing w:line="259" w:lineRule="auto"/>
              <w:ind w:left="52"/>
              <w:jc w:val="center"/>
              <w:rPr>
                <w:rFonts w:ascii="宋体" w:cs="宋体"/>
                <w:kern w:val="0"/>
                <w:sz w:val="20"/>
                <w:szCs w:val="20"/>
              </w:rPr>
            </w:pPr>
          </w:p>
        </w:tc>
      </w:tr>
      <w:tr>
        <w:tblPrEx>
          <w:tblCellMar>
            <w:top w:w="0" w:type="dxa"/>
            <w:left w:w="0" w:type="dxa"/>
            <w:bottom w:w="0" w:type="dxa"/>
            <w:right w:w="5" w:type="dxa"/>
          </w:tblCellMar>
        </w:tblPrEx>
        <w:trPr>
          <w:trHeight w:val="466" w:hRule="atLeast"/>
        </w:trPr>
        <w:tc>
          <w:tcPr>
            <w:tcW w:w="670"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202"/>
              <w:jc w:val="center"/>
              <w:rPr>
                <w:rFonts w:ascii="Times New Roman" w:hAnsi="Times New Roman"/>
                <w:kern w:val="0"/>
                <w:sz w:val="20"/>
                <w:szCs w:val="20"/>
              </w:rPr>
            </w:pPr>
            <w:r>
              <w:rPr>
                <w:rFonts w:ascii="Times New Roman" w:hAnsi="Times New Roman"/>
                <w:kern w:val="0"/>
                <w:sz w:val="20"/>
                <w:szCs w:val="20"/>
              </w:rPr>
              <w:t>17</w:t>
            </w:r>
          </w:p>
        </w:tc>
        <w:tc>
          <w:tcPr>
            <w:tcW w:w="1854" w:type="dxa"/>
            <w:tcBorders>
              <w:top w:val="single" w:color="000000" w:sz="4" w:space="0"/>
              <w:left w:val="single" w:color="000000" w:sz="4" w:space="0"/>
              <w:bottom w:val="single" w:color="000000" w:sz="4" w:space="0"/>
              <w:right w:val="single" w:color="000000" w:sz="4" w:space="0"/>
            </w:tcBorders>
            <w:vAlign w:val="center"/>
          </w:tcPr>
          <w:p>
            <w:pPr>
              <w:jc w:val="center"/>
              <w:rPr>
                <w:rFonts w:ascii="Times New Roman" w:hAnsi="Times New Roman"/>
                <w:kern w:val="0"/>
                <w:sz w:val="20"/>
                <w:szCs w:val="20"/>
              </w:rPr>
            </w:pPr>
            <w:r>
              <w:rPr>
                <w:rFonts w:hint="eastAsia" w:ascii="Times New Roman" w:hAnsi="Times New Roman"/>
                <w:kern w:val="0"/>
                <w:sz w:val="20"/>
                <w:szCs w:val="20"/>
              </w:rPr>
              <w:t>枫桥水郡小区门前道路片区</w:t>
            </w:r>
          </w:p>
        </w:tc>
        <w:tc>
          <w:tcPr>
            <w:tcW w:w="4809" w:type="dxa"/>
            <w:tcBorders>
              <w:top w:val="single" w:color="000000" w:sz="4" w:space="0"/>
              <w:left w:val="single" w:color="000000" w:sz="4" w:space="0"/>
              <w:bottom w:val="single" w:color="000000" w:sz="4" w:space="0"/>
              <w:right w:val="single" w:color="000000" w:sz="4" w:space="0"/>
            </w:tcBorders>
            <w:vAlign w:val="center"/>
          </w:tcPr>
          <w:p>
            <w:pPr>
              <w:jc w:val="center"/>
              <w:rPr>
                <w:rFonts w:ascii="Times New Roman" w:hAnsi="Times New Roman"/>
                <w:kern w:val="0"/>
                <w:sz w:val="20"/>
                <w:szCs w:val="20"/>
              </w:rPr>
            </w:pPr>
            <w:r>
              <w:rPr>
                <w:rFonts w:hint="eastAsia" w:ascii="Times New Roman" w:hAnsi="Times New Roman"/>
                <w:kern w:val="0"/>
                <w:sz w:val="20"/>
                <w:szCs w:val="20"/>
              </w:rPr>
              <w:t>管网建设</w:t>
            </w:r>
            <w:r>
              <w:rPr>
                <w:rFonts w:ascii="Times New Roman" w:hAnsi="Times New Roman"/>
                <w:kern w:val="0"/>
                <w:sz w:val="20"/>
                <w:szCs w:val="20"/>
              </w:rPr>
              <w:t>0.67 km</w:t>
            </w:r>
          </w:p>
        </w:tc>
        <w:tc>
          <w:tcPr>
            <w:tcW w:w="1417" w:type="dxa"/>
            <w:tcBorders>
              <w:top w:val="single" w:color="000000" w:sz="4" w:space="0"/>
              <w:left w:val="single" w:color="000000" w:sz="4" w:space="0"/>
              <w:bottom w:val="single" w:color="000000" w:sz="4" w:space="0"/>
              <w:right w:val="single" w:color="000000" w:sz="4" w:space="0"/>
            </w:tcBorders>
          </w:tcPr>
          <w:p>
            <w:pPr>
              <w:jc w:val="center"/>
              <w:rPr>
                <w:rFonts w:ascii="Times New Roman" w:hAnsi="Times New Roman"/>
                <w:kern w:val="0"/>
                <w:sz w:val="20"/>
                <w:szCs w:val="20"/>
              </w:rPr>
            </w:pPr>
            <w:r>
              <w:rPr>
                <w:rFonts w:ascii="Times New Roman" w:hAnsi="Times New Roman"/>
                <w:kern w:val="0"/>
                <w:sz w:val="20"/>
                <w:szCs w:val="20"/>
              </w:rPr>
              <w:t>2022</w:t>
            </w:r>
            <w:r>
              <w:rPr>
                <w:rFonts w:hint="eastAsia" w:ascii="Times New Roman" w:hAnsi="Times New Roman"/>
                <w:kern w:val="0"/>
                <w:sz w:val="20"/>
                <w:szCs w:val="20"/>
              </w:rPr>
              <w:t>年</w:t>
            </w:r>
          </w:p>
        </w:tc>
        <w:tc>
          <w:tcPr>
            <w:tcW w:w="1276" w:type="dxa"/>
            <w:tcBorders>
              <w:top w:val="single" w:color="000000" w:sz="4" w:space="0"/>
              <w:left w:val="single" w:color="000000" w:sz="4" w:space="0"/>
              <w:bottom w:val="single" w:color="000000" w:sz="4" w:space="0"/>
              <w:right w:val="single" w:color="000000" w:sz="4" w:space="0"/>
            </w:tcBorders>
            <w:vAlign w:val="center"/>
          </w:tcPr>
          <w:p>
            <w:pPr>
              <w:jc w:val="center"/>
              <w:rPr>
                <w:rFonts w:ascii="Times New Roman" w:hAnsi="Times New Roman"/>
                <w:kern w:val="0"/>
                <w:sz w:val="20"/>
                <w:szCs w:val="20"/>
              </w:rPr>
            </w:pPr>
            <w:r>
              <w:rPr>
                <w:rFonts w:hint="eastAsia" w:ascii="Times New Roman" w:hAnsi="Times New Roman"/>
                <w:kern w:val="0"/>
                <w:sz w:val="20"/>
                <w:szCs w:val="20"/>
              </w:rPr>
              <w:t>区城市管理局</w:t>
            </w:r>
          </w:p>
        </w:tc>
        <w:tc>
          <w:tcPr>
            <w:tcW w:w="1276" w:type="dxa"/>
            <w:tcBorders>
              <w:top w:val="single" w:color="000000" w:sz="4" w:space="0"/>
              <w:left w:val="single" w:color="000000" w:sz="4" w:space="0"/>
              <w:bottom w:val="single" w:color="000000" w:sz="4" w:space="0"/>
              <w:right w:val="single" w:color="000000" w:sz="4" w:space="0"/>
            </w:tcBorders>
            <w:vAlign w:val="center"/>
          </w:tcPr>
          <w:p>
            <w:pPr>
              <w:jc w:val="center"/>
              <w:rPr>
                <w:rFonts w:ascii="Times New Roman" w:hAnsi="Times New Roman"/>
                <w:kern w:val="0"/>
                <w:sz w:val="20"/>
                <w:szCs w:val="20"/>
              </w:rPr>
            </w:pPr>
            <w:r>
              <w:rPr>
                <w:rFonts w:ascii="Times New Roman" w:hAnsi="Times New Roman"/>
                <w:kern w:val="0"/>
                <w:sz w:val="20"/>
                <w:szCs w:val="20"/>
              </w:rPr>
              <w:t>201</w:t>
            </w:r>
          </w:p>
        </w:tc>
        <w:tc>
          <w:tcPr>
            <w:tcW w:w="803" w:type="dxa"/>
            <w:tcBorders>
              <w:top w:val="single" w:color="000000" w:sz="4" w:space="0"/>
              <w:left w:val="single" w:color="000000" w:sz="4" w:space="0"/>
              <w:bottom w:val="single" w:color="000000" w:sz="4" w:space="0"/>
              <w:right w:val="single" w:color="000000" w:sz="4" w:space="0"/>
            </w:tcBorders>
          </w:tcPr>
          <w:p>
            <w:pPr>
              <w:widowControl/>
              <w:spacing w:line="259" w:lineRule="auto"/>
              <w:ind w:left="53"/>
              <w:jc w:val="center"/>
              <w:rPr>
                <w:rFonts w:ascii="Malgun Gothic Semilight" w:hAnsi="Malgun Gothic Semilight" w:eastAsia="Malgun Gothic Semilight" w:cs="Malgun Gothic Semilight"/>
                <w:sz w:val="24"/>
                <w:szCs w:val="24"/>
              </w:rPr>
            </w:pPr>
            <w:r>
              <w:rPr>
                <w:rFonts w:hint="eastAsia" w:ascii="Malgun Gothic Semilight" w:hAnsi="Malgun Gothic Semilight" w:eastAsia="Malgun Gothic Semilight" w:cs="Malgun Gothic Semilight"/>
                <w:sz w:val="24"/>
                <w:szCs w:val="24"/>
              </w:rPr>
              <w:t>√</w:t>
            </w:r>
          </w:p>
        </w:tc>
        <w:tc>
          <w:tcPr>
            <w:tcW w:w="803"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53"/>
              <w:jc w:val="center"/>
              <w:rPr>
                <w:rFonts w:ascii="Times New Roman" w:hAnsi="Times New Roman"/>
                <w:kern w:val="0"/>
                <w:sz w:val="24"/>
                <w:szCs w:val="24"/>
              </w:rPr>
            </w:pPr>
          </w:p>
        </w:tc>
        <w:tc>
          <w:tcPr>
            <w:tcW w:w="803" w:type="dxa"/>
            <w:tcBorders>
              <w:top w:val="single" w:color="000000" w:sz="4" w:space="0"/>
              <w:left w:val="single" w:color="000000" w:sz="4" w:space="0"/>
              <w:bottom w:val="single" w:color="000000" w:sz="4" w:space="0"/>
              <w:right w:val="single" w:color="auto" w:sz="4" w:space="0"/>
            </w:tcBorders>
            <w:vAlign w:val="center"/>
          </w:tcPr>
          <w:p>
            <w:pPr>
              <w:widowControl/>
              <w:spacing w:line="259" w:lineRule="auto"/>
              <w:ind w:left="53"/>
              <w:jc w:val="center"/>
              <w:rPr>
                <w:rFonts w:ascii="Times New Roman" w:hAnsi="Times New Roman"/>
                <w:kern w:val="0"/>
                <w:sz w:val="20"/>
                <w:szCs w:val="20"/>
              </w:rPr>
            </w:pPr>
          </w:p>
        </w:tc>
        <w:tc>
          <w:tcPr>
            <w:tcW w:w="1134" w:type="dxa"/>
            <w:vMerge w:val="continue"/>
            <w:tcBorders>
              <w:left w:val="single" w:color="auto" w:sz="4" w:space="0"/>
              <w:right w:val="single" w:color="auto" w:sz="4" w:space="0"/>
            </w:tcBorders>
            <w:vAlign w:val="center"/>
          </w:tcPr>
          <w:p>
            <w:pPr>
              <w:widowControl/>
              <w:spacing w:line="259" w:lineRule="auto"/>
              <w:ind w:left="52"/>
              <w:jc w:val="center"/>
              <w:rPr>
                <w:rFonts w:ascii="宋体" w:cs="宋体"/>
                <w:kern w:val="0"/>
                <w:sz w:val="20"/>
                <w:szCs w:val="20"/>
              </w:rPr>
            </w:pPr>
          </w:p>
        </w:tc>
      </w:tr>
      <w:tr>
        <w:tblPrEx>
          <w:tblCellMar>
            <w:top w:w="0" w:type="dxa"/>
            <w:left w:w="0" w:type="dxa"/>
            <w:bottom w:w="0" w:type="dxa"/>
            <w:right w:w="5" w:type="dxa"/>
          </w:tblCellMar>
        </w:tblPrEx>
        <w:trPr>
          <w:trHeight w:val="466" w:hRule="atLeast"/>
        </w:trPr>
        <w:tc>
          <w:tcPr>
            <w:tcW w:w="670"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202"/>
              <w:jc w:val="center"/>
              <w:rPr>
                <w:rFonts w:ascii="Times New Roman" w:hAnsi="Times New Roman"/>
                <w:kern w:val="0"/>
                <w:sz w:val="20"/>
                <w:szCs w:val="20"/>
              </w:rPr>
            </w:pPr>
            <w:r>
              <w:rPr>
                <w:rFonts w:ascii="Times New Roman" w:hAnsi="Times New Roman"/>
                <w:kern w:val="0"/>
                <w:sz w:val="20"/>
                <w:szCs w:val="20"/>
              </w:rPr>
              <w:t>18</w:t>
            </w:r>
          </w:p>
        </w:tc>
        <w:tc>
          <w:tcPr>
            <w:tcW w:w="1854" w:type="dxa"/>
            <w:tcBorders>
              <w:top w:val="single" w:color="000000" w:sz="4" w:space="0"/>
              <w:left w:val="single" w:color="000000" w:sz="4" w:space="0"/>
              <w:bottom w:val="single" w:color="000000" w:sz="4" w:space="0"/>
              <w:right w:val="single" w:color="000000" w:sz="4" w:space="0"/>
            </w:tcBorders>
            <w:vAlign w:val="center"/>
          </w:tcPr>
          <w:p>
            <w:pPr>
              <w:jc w:val="center"/>
              <w:rPr>
                <w:rFonts w:ascii="Times New Roman" w:hAnsi="Times New Roman"/>
                <w:kern w:val="0"/>
                <w:sz w:val="20"/>
                <w:szCs w:val="20"/>
              </w:rPr>
            </w:pPr>
            <w:r>
              <w:rPr>
                <w:rFonts w:hint="eastAsia" w:ascii="Times New Roman" w:hAnsi="Times New Roman"/>
                <w:kern w:val="0"/>
                <w:sz w:val="20"/>
                <w:szCs w:val="20"/>
              </w:rPr>
              <w:t>北湖路</w:t>
            </w:r>
            <w:r>
              <w:rPr>
                <w:rFonts w:ascii="Times New Roman" w:hAnsi="Times New Roman"/>
                <w:kern w:val="0"/>
                <w:sz w:val="20"/>
                <w:szCs w:val="20"/>
              </w:rPr>
              <w:t xml:space="preserve"> 1 </w:t>
            </w:r>
            <w:r>
              <w:rPr>
                <w:rFonts w:hint="eastAsia" w:ascii="Times New Roman" w:hAnsi="Times New Roman"/>
                <w:kern w:val="0"/>
                <w:sz w:val="20"/>
                <w:szCs w:val="20"/>
              </w:rPr>
              <w:t>号</w:t>
            </w:r>
            <w:r>
              <w:rPr>
                <w:rFonts w:ascii="Times New Roman" w:hAnsi="Times New Roman"/>
                <w:kern w:val="0"/>
                <w:sz w:val="20"/>
                <w:szCs w:val="20"/>
              </w:rPr>
              <w:t xml:space="preserve">-97 </w:t>
            </w:r>
            <w:r>
              <w:rPr>
                <w:rFonts w:hint="eastAsia" w:ascii="Times New Roman" w:hAnsi="Times New Roman"/>
                <w:kern w:val="0"/>
                <w:sz w:val="20"/>
                <w:szCs w:val="20"/>
              </w:rPr>
              <w:t>号</w:t>
            </w:r>
            <w:r>
              <w:rPr>
                <w:rFonts w:ascii="Times New Roman" w:hAnsi="Times New Roman"/>
                <w:kern w:val="0"/>
                <w:sz w:val="20"/>
                <w:szCs w:val="20"/>
              </w:rPr>
              <w:t xml:space="preserve"> DN300</w:t>
            </w:r>
          </w:p>
        </w:tc>
        <w:tc>
          <w:tcPr>
            <w:tcW w:w="4809" w:type="dxa"/>
            <w:tcBorders>
              <w:top w:val="single" w:color="000000" w:sz="4" w:space="0"/>
              <w:left w:val="single" w:color="000000" w:sz="4" w:space="0"/>
              <w:bottom w:val="single" w:color="000000" w:sz="4" w:space="0"/>
              <w:right w:val="single" w:color="000000" w:sz="4" w:space="0"/>
            </w:tcBorders>
            <w:vAlign w:val="center"/>
          </w:tcPr>
          <w:p>
            <w:pPr>
              <w:jc w:val="center"/>
              <w:rPr>
                <w:rFonts w:ascii="Times New Roman" w:hAnsi="Times New Roman"/>
                <w:kern w:val="0"/>
                <w:sz w:val="20"/>
                <w:szCs w:val="20"/>
              </w:rPr>
            </w:pPr>
            <w:r>
              <w:rPr>
                <w:rFonts w:hint="eastAsia" w:ascii="Times New Roman" w:hAnsi="Times New Roman"/>
                <w:kern w:val="0"/>
                <w:sz w:val="20"/>
                <w:szCs w:val="20"/>
              </w:rPr>
              <w:t>管网建设</w:t>
            </w:r>
            <w:r>
              <w:rPr>
                <w:rFonts w:ascii="Times New Roman" w:hAnsi="Times New Roman"/>
                <w:kern w:val="0"/>
                <w:sz w:val="20"/>
                <w:szCs w:val="20"/>
              </w:rPr>
              <w:t>0.58 km</w:t>
            </w:r>
          </w:p>
        </w:tc>
        <w:tc>
          <w:tcPr>
            <w:tcW w:w="1417" w:type="dxa"/>
            <w:tcBorders>
              <w:top w:val="single" w:color="000000" w:sz="4" w:space="0"/>
              <w:left w:val="single" w:color="000000" w:sz="4" w:space="0"/>
              <w:bottom w:val="single" w:color="000000" w:sz="4" w:space="0"/>
              <w:right w:val="single" w:color="000000" w:sz="4" w:space="0"/>
            </w:tcBorders>
          </w:tcPr>
          <w:p>
            <w:pPr>
              <w:jc w:val="center"/>
              <w:rPr>
                <w:rFonts w:ascii="Times New Roman" w:hAnsi="Times New Roman"/>
                <w:kern w:val="0"/>
                <w:sz w:val="20"/>
                <w:szCs w:val="20"/>
              </w:rPr>
            </w:pPr>
            <w:r>
              <w:rPr>
                <w:rFonts w:ascii="Times New Roman" w:hAnsi="Times New Roman"/>
                <w:kern w:val="0"/>
                <w:sz w:val="20"/>
                <w:szCs w:val="20"/>
              </w:rPr>
              <w:t>2022</w:t>
            </w:r>
            <w:r>
              <w:rPr>
                <w:rFonts w:hint="eastAsia" w:ascii="Times New Roman" w:hAnsi="Times New Roman"/>
                <w:kern w:val="0"/>
                <w:sz w:val="20"/>
                <w:szCs w:val="20"/>
              </w:rPr>
              <w:t>年</w:t>
            </w:r>
          </w:p>
        </w:tc>
        <w:tc>
          <w:tcPr>
            <w:tcW w:w="1276" w:type="dxa"/>
            <w:tcBorders>
              <w:top w:val="single" w:color="000000" w:sz="4" w:space="0"/>
              <w:left w:val="single" w:color="000000" w:sz="4" w:space="0"/>
              <w:bottom w:val="single" w:color="000000" w:sz="4" w:space="0"/>
              <w:right w:val="single" w:color="000000" w:sz="4" w:space="0"/>
            </w:tcBorders>
            <w:vAlign w:val="center"/>
          </w:tcPr>
          <w:p>
            <w:pPr>
              <w:jc w:val="center"/>
              <w:rPr>
                <w:rFonts w:ascii="Times New Roman" w:hAnsi="Times New Roman"/>
                <w:kern w:val="0"/>
                <w:sz w:val="20"/>
                <w:szCs w:val="20"/>
              </w:rPr>
            </w:pPr>
            <w:r>
              <w:rPr>
                <w:rFonts w:hint="eastAsia" w:ascii="Times New Roman" w:hAnsi="Times New Roman"/>
                <w:kern w:val="0"/>
                <w:sz w:val="20"/>
                <w:szCs w:val="20"/>
              </w:rPr>
              <w:t>区城市管理局</w:t>
            </w:r>
          </w:p>
        </w:tc>
        <w:tc>
          <w:tcPr>
            <w:tcW w:w="1276" w:type="dxa"/>
            <w:tcBorders>
              <w:top w:val="single" w:color="000000" w:sz="4" w:space="0"/>
              <w:left w:val="single" w:color="000000" w:sz="4" w:space="0"/>
              <w:bottom w:val="single" w:color="000000" w:sz="4" w:space="0"/>
              <w:right w:val="single" w:color="000000" w:sz="4" w:space="0"/>
            </w:tcBorders>
            <w:vAlign w:val="center"/>
          </w:tcPr>
          <w:p>
            <w:pPr>
              <w:jc w:val="center"/>
              <w:rPr>
                <w:rFonts w:ascii="Times New Roman" w:hAnsi="Times New Roman"/>
                <w:kern w:val="0"/>
                <w:sz w:val="20"/>
                <w:szCs w:val="20"/>
              </w:rPr>
            </w:pPr>
            <w:r>
              <w:rPr>
                <w:rFonts w:ascii="Times New Roman" w:hAnsi="Times New Roman"/>
                <w:kern w:val="0"/>
                <w:sz w:val="20"/>
                <w:szCs w:val="20"/>
              </w:rPr>
              <w:t>174</w:t>
            </w:r>
          </w:p>
        </w:tc>
        <w:tc>
          <w:tcPr>
            <w:tcW w:w="803" w:type="dxa"/>
            <w:tcBorders>
              <w:top w:val="single" w:color="000000" w:sz="4" w:space="0"/>
              <w:left w:val="single" w:color="000000" w:sz="4" w:space="0"/>
              <w:bottom w:val="single" w:color="000000" w:sz="4" w:space="0"/>
              <w:right w:val="single" w:color="000000" w:sz="4" w:space="0"/>
            </w:tcBorders>
          </w:tcPr>
          <w:p>
            <w:pPr>
              <w:widowControl/>
              <w:spacing w:line="259" w:lineRule="auto"/>
              <w:ind w:left="53"/>
              <w:jc w:val="center"/>
              <w:rPr>
                <w:rFonts w:ascii="Malgun Gothic Semilight" w:hAnsi="Malgun Gothic Semilight" w:eastAsia="Malgun Gothic Semilight" w:cs="Malgun Gothic Semilight"/>
                <w:sz w:val="24"/>
                <w:szCs w:val="24"/>
              </w:rPr>
            </w:pPr>
            <w:r>
              <w:rPr>
                <w:rFonts w:hint="eastAsia" w:ascii="Malgun Gothic Semilight" w:hAnsi="Malgun Gothic Semilight" w:eastAsia="Malgun Gothic Semilight" w:cs="Malgun Gothic Semilight"/>
                <w:sz w:val="24"/>
                <w:szCs w:val="24"/>
              </w:rPr>
              <w:t>√</w:t>
            </w:r>
          </w:p>
        </w:tc>
        <w:tc>
          <w:tcPr>
            <w:tcW w:w="803"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53"/>
              <w:jc w:val="center"/>
              <w:rPr>
                <w:rFonts w:ascii="Times New Roman" w:hAnsi="Times New Roman"/>
                <w:kern w:val="0"/>
                <w:sz w:val="24"/>
                <w:szCs w:val="24"/>
              </w:rPr>
            </w:pPr>
          </w:p>
        </w:tc>
        <w:tc>
          <w:tcPr>
            <w:tcW w:w="803" w:type="dxa"/>
            <w:tcBorders>
              <w:top w:val="single" w:color="000000" w:sz="4" w:space="0"/>
              <w:left w:val="single" w:color="000000" w:sz="4" w:space="0"/>
              <w:bottom w:val="single" w:color="000000" w:sz="4" w:space="0"/>
              <w:right w:val="single" w:color="auto" w:sz="4" w:space="0"/>
            </w:tcBorders>
            <w:vAlign w:val="center"/>
          </w:tcPr>
          <w:p>
            <w:pPr>
              <w:widowControl/>
              <w:spacing w:line="259" w:lineRule="auto"/>
              <w:ind w:left="53"/>
              <w:jc w:val="center"/>
              <w:rPr>
                <w:rFonts w:ascii="Times New Roman" w:hAnsi="Times New Roman"/>
                <w:kern w:val="0"/>
                <w:sz w:val="20"/>
                <w:szCs w:val="20"/>
              </w:rPr>
            </w:pPr>
          </w:p>
        </w:tc>
        <w:tc>
          <w:tcPr>
            <w:tcW w:w="1134" w:type="dxa"/>
            <w:vMerge w:val="continue"/>
            <w:tcBorders>
              <w:left w:val="single" w:color="auto" w:sz="4" w:space="0"/>
              <w:right w:val="single" w:color="auto" w:sz="4" w:space="0"/>
            </w:tcBorders>
            <w:vAlign w:val="center"/>
          </w:tcPr>
          <w:p>
            <w:pPr>
              <w:widowControl/>
              <w:spacing w:line="259" w:lineRule="auto"/>
              <w:ind w:left="52"/>
              <w:jc w:val="center"/>
              <w:rPr>
                <w:rFonts w:ascii="宋体" w:cs="宋体"/>
                <w:kern w:val="0"/>
                <w:sz w:val="20"/>
                <w:szCs w:val="20"/>
              </w:rPr>
            </w:pPr>
          </w:p>
        </w:tc>
      </w:tr>
      <w:tr>
        <w:tblPrEx>
          <w:tblCellMar>
            <w:top w:w="0" w:type="dxa"/>
            <w:left w:w="0" w:type="dxa"/>
            <w:bottom w:w="0" w:type="dxa"/>
            <w:right w:w="5" w:type="dxa"/>
          </w:tblCellMar>
        </w:tblPrEx>
        <w:trPr>
          <w:trHeight w:val="466" w:hRule="atLeast"/>
        </w:trPr>
        <w:tc>
          <w:tcPr>
            <w:tcW w:w="670"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202"/>
              <w:jc w:val="center"/>
              <w:rPr>
                <w:rFonts w:ascii="Times New Roman" w:hAnsi="Times New Roman"/>
                <w:kern w:val="0"/>
                <w:sz w:val="20"/>
                <w:szCs w:val="20"/>
              </w:rPr>
            </w:pPr>
            <w:r>
              <w:rPr>
                <w:rFonts w:ascii="Times New Roman" w:hAnsi="Times New Roman"/>
                <w:kern w:val="0"/>
                <w:sz w:val="20"/>
                <w:szCs w:val="20"/>
              </w:rPr>
              <w:t>19</w:t>
            </w:r>
          </w:p>
        </w:tc>
        <w:tc>
          <w:tcPr>
            <w:tcW w:w="1854" w:type="dxa"/>
            <w:tcBorders>
              <w:top w:val="single" w:color="000000" w:sz="4" w:space="0"/>
              <w:left w:val="single" w:color="000000" w:sz="4" w:space="0"/>
              <w:bottom w:val="single" w:color="000000" w:sz="4" w:space="0"/>
              <w:right w:val="single" w:color="000000" w:sz="4" w:space="0"/>
            </w:tcBorders>
            <w:vAlign w:val="center"/>
          </w:tcPr>
          <w:p>
            <w:pPr>
              <w:jc w:val="center"/>
              <w:rPr>
                <w:rFonts w:ascii="Times New Roman" w:hAnsi="Times New Roman"/>
                <w:kern w:val="0"/>
                <w:sz w:val="20"/>
                <w:szCs w:val="20"/>
              </w:rPr>
            </w:pPr>
            <w:r>
              <w:rPr>
                <w:rFonts w:hint="eastAsia" w:ascii="Times New Roman" w:hAnsi="Times New Roman"/>
                <w:kern w:val="0"/>
                <w:sz w:val="20"/>
                <w:szCs w:val="20"/>
              </w:rPr>
              <w:t>人和老街片区</w:t>
            </w:r>
          </w:p>
        </w:tc>
        <w:tc>
          <w:tcPr>
            <w:tcW w:w="4809" w:type="dxa"/>
            <w:tcBorders>
              <w:top w:val="single" w:color="000000" w:sz="4" w:space="0"/>
              <w:left w:val="single" w:color="000000" w:sz="4" w:space="0"/>
              <w:bottom w:val="single" w:color="000000" w:sz="4" w:space="0"/>
              <w:right w:val="single" w:color="000000" w:sz="4" w:space="0"/>
            </w:tcBorders>
            <w:vAlign w:val="center"/>
          </w:tcPr>
          <w:p>
            <w:pPr>
              <w:jc w:val="center"/>
              <w:rPr>
                <w:rFonts w:ascii="Times New Roman" w:hAnsi="Times New Roman"/>
                <w:kern w:val="0"/>
                <w:sz w:val="20"/>
                <w:szCs w:val="20"/>
              </w:rPr>
            </w:pPr>
            <w:r>
              <w:rPr>
                <w:rFonts w:hint="eastAsia" w:ascii="Times New Roman" w:hAnsi="Times New Roman"/>
                <w:kern w:val="0"/>
                <w:sz w:val="20"/>
                <w:szCs w:val="20"/>
              </w:rPr>
              <w:t>管网建设</w:t>
            </w:r>
            <w:r>
              <w:rPr>
                <w:rFonts w:ascii="Times New Roman" w:hAnsi="Times New Roman"/>
                <w:kern w:val="0"/>
                <w:sz w:val="20"/>
                <w:szCs w:val="20"/>
              </w:rPr>
              <w:t>1.54 km</w:t>
            </w:r>
          </w:p>
        </w:tc>
        <w:tc>
          <w:tcPr>
            <w:tcW w:w="1417" w:type="dxa"/>
            <w:tcBorders>
              <w:top w:val="single" w:color="000000" w:sz="4" w:space="0"/>
              <w:left w:val="single" w:color="000000" w:sz="4" w:space="0"/>
              <w:bottom w:val="single" w:color="000000" w:sz="4" w:space="0"/>
              <w:right w:val="single" w:color="000000" w:sz="4" w:space="0"/>
            </w:tcBorders>
          </w:tcPr>
          <w:p>
            <w:pPr>
              <w:jc w:val="center"/>
              <w:rPr>
                <w:rFonts w:ascii="Times New Roman" w:hAnsi="Times New Roman"/>
                <w:kern w:val="0"/>
                <w:sz w:val="20"/>
                <w:szCs w:val="20"/>
              </w:rPr>
            </w:pPr>
            <w:r>
              <w:rPr>
                <w:rFonts w:ascii="Times New Roman" w:hAnsi="Times New Roman"/>
                <w:kern w:val="0"/>
                <w:sz w:val="20"/>
                <w:szCs w:val="20"/>
              </w:rPr>
              <w:t>2022</w:t>
            </w:r>
            <w:r>
              <w:rPr>
                <w:rFonts w:hint="eastAsia" w:ascii="Times New Roman" w:hAnsi="Times New Roman"/>
                <w:kern w:val="0"/>
                <w:sz w:val="20"/>
                <w:szCs w:val="20"/>
              </w:rPr>
              <w:t>年</w:t>
            </w:r>
          </w:p>
        </w:tc>
        <w:tc>
          <w:tcPr>
            <w:tcW w:w="1276" w:type="dxa"/>
            <w:tcBorders>
              <w:top w:val="single" w:color="000000" w:sz="4" w:space="0"/>
              <w:left w:val="single" w:color="000000" w:sz="4" w:space="0"/>
              <w:bottom w:val="single" w:color="000000" w:sz="4" w:space="0"/>
              <w:right w:val="single" w:color="000000" w:sz="4" w:space="0"/>
            </w:tcBorders>
            <w:vAlign w:val="center"/>
          </w:tcPr>
          <w:p>
            <w:pPr>
              <w:jc w:val="center"/>
              <w:rPr>
                <w:rFonts w:ascii="Times New Roman" w:hAnsi="Times New Roman"/>
                <w:kern w:val="0"/>
                <w:sz w:val="20"/>
                <w:szCs w:val="20"/>
              </w:rPr>
            </w:pPr>
            <w:r>
              <w:rPr>
                <w:rFonts w:hint="eastAsia" w:ascii="Times New Roman" w:hAnsi="Times New Roman"/>
                <w:kern w:val="0"/>
                <w:sz w:val="20"/>
                <w:szCs w:val="20"/>
              </w:rPr>
              <w:t>区城市管理局</w:t>
            </w:r>
          </w:p>
        </w:tc>
        <w:tc>
          <w:tcPr>
            <w:tcW w:w="1276" w:type="dxa"/>
            <w:tcBorders>
              <w:top w:val="single" w:color="000000" w:sz="4" w:space="0"/>
              <w:left w:val="single" w:color="000000" w:sz="4" w:space="0"/>
              <w:bottom w:val="single" w:color="000000" w:sz="4" w:space="0"/>
              <w:right w:val="single" w:color="000000" w:sz="4" w:space="0"/>
            </w:tcBorders>
            <w:vAlign w:val="center"/>
          </w:tcPr>
          <w:p>
            <w:pPr>
              <w:jc w:val="center"/>
              <w:rPr>
                <w:rFonts w:ascii="Times New Roman" w:hAnsi="Times New Roman"/>
                <w:kern w:val="0"/>
                <w:sz w:val="20"/>
                <w:szCs w:val="20"/>
              </w:rPr>
            </w:pPr>
            <w:r>
              <w:rPr>
                <w:rFonts w:ascii="Times New Roman" w:hAnsi="Times New Roman"/>
                <w:kern w:val="0"/>
                <w:sz w:val="20"/>
                <w:szCs w:val="20"/>
              </w:rPr>
              <w:t>462</w:t>
            </w:r>
          </w:p>
        </w:tc>
        <w:tc>
          <w:tcPr>
            <w:tcW w:w="803" w:type="dxa"/>
            <w:tcBorders>
              <w:top w:val="single" w:color="000000" w:sz="4" w:space="0"/>
              <w:left w:val="single" w:color="000000" w:sz="4" w:space="0"/>
              <w:bottom w:val="single" w:color="000000" w:sz="4" w:space="0"/>
              <w:right w:val="single" w:color="000000" w:sz="4" w:space="0"/>
            </w:tcBorders>
          </w:tcPr>
          <w:p>
            <w:pPr>
              <w:widowControl/>
              <w:spacing w:line="259" w:lineRule="auto"/>
              <w:ind w:left="53"/>
              <w:jc w:val="center"/>
              <w:rPr>
                <w:rFonts w:ascii="Malgun Gothic Semilight" w:hAnsi="Malgun Gothic Semilight" w:eastAsia="Malgun Gothic Semilight" w:cs="Malgun Gothic Semilight"/>
                <w:sz w:val="24"/>
                <w:szCs w:val="24"/>
              </w:rPr>
            </w:pPr>
            <w:r>
              <w:rPr>
                <w:rFonts w:hint="eastAsia" w:ascii="Malgun Gothic Semilight" w:hAnsi="Malgun Gothic Semilight" w:eastAsia="Malgun Gothic Semilight" w:cs="Malgun Gothic Semilight"/>
                <w:sz w:val="24"/>
                <w:szCs w:val="24"/>
              </w:rPr>
              <w:t>√</w:t>
            </w:r>
          </w:p>
        </w:tc>
        <w:tc>
          <w:tcPr>
            <w:tcW w:w="803"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53"/>
              <w:jc w:val="center"/>
              <w:rPr>
                <w:rFonts w:ascii="Times New Roman" w:hAnsi="Times New Roman"/>
                <w:kern w:val="0"/>
                <w:sz w:val="24"/>
                <w:szCs w:val="24"/>
              </w:rPr>
            </w:pPr>
          </w:p>
        </w:tc>
        <w:tc>
          <w:tcPr>
            <w:tcW w:w="803" w:type="dxa"/>
            <w:tcBorders>
              <w:top w:val="single" w:color="000000" w:sz="4" w:space="0"/>
              <w:left w:val="single" w:color="000000" w:sz="4" w:space="0"/>
              <w:bottom w:val="single" w:color="000000" w:sz="4" w:space="0"/>
              <w:right w:val="single" w:color="auto" w:sz="4" w:space="0"/>
            </w:tcBorders>
            <w:vAlign w:val="center"/>
          </w:tcPr>
          <w:p>
            <w:pPr>
              <w:widowControl/>
              <w:spacing w:line="259" w:lineRule="auto"/>
              <w:ind w:left="53"/>
              <w:jc w:val="center"/>
              <w:rPr>
                <w:rFonts w:ascii="Times New Roman" w:hAnsi="Times New Roman"/>
                <w:kern w:val="0"/>
                <w:sz w:val="20"/>
                <w:szCs w:val="20"/>
              </w:rPr>
            </w:pPr>
          </w:p>
        </w:tc>
        <w:tc>
          <w:tcPr>
            <w:tcW w:w="1134" w:type="dxa"/>
            <w:vMerge w:val="continue"/>
            <w:tcBorders>
              <w:left w:val="single" w:color="auto" w:sz="4" w:space="0"/>
              <w:right w:val="single" w:color="auto" w:sz="4" w:space="0"/>
            </w:tcBorders>
            <w:vAlign w:val="center"/>
          </w:tcPr>
          <w:p>
            <w:pPr>
              <w:widowControl/>
              <w:spacing w:line="259" w:lineRule="auto"/>
              <w:ind w:left="52"/>
              <w:jc w:val="center"/>
              <w:rPr>
                <w:rFonts w:ascii="宋体" w:cs="宋体"/>
                <w:kern w:val="0"/>
                <w:sz w:val="20"/>
                <w:szCs w:val="20"/>
              </w:rPr>
            </w:pPr>
          </w:p>
        </w:tc>
      </w:tr>
      <w:tr>
        <w:tblPrEx>
          <w:tblCellMar>
            <w:top w:w="0" w:type="dxa"/>
            <w:left w:w="0" w:type="dxa"/>
            <w:bottom w:w="0" w:type="dxa"/>
            <w:right w:w="5" w:type="dxa"/>
          </w:tblCellMar>
        </w:tblPrEx>
        <w:trPr>
          <w:trHeight w:val="466" w:hRule="atLeast"/>
        </w:trPr>
        <w:tc>
          <w:tcPr>
            <w:tcW w:w="670"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202"/>
              <w:jc w:val="center"/>
              <w:rPr>
                <w:rFonts w:ascii="Times New Roman" w:hAnsi="Times New Roman"/>
                <w:kern w:val="0"/>
                <w:sz w:val="20"/>
                <w:szCs w:val="20"/>
              </w:rPr>
            </w:pPr>
            <w:r>
              <w:rPr>
                <w:rFonts w:ascii="Times New Roman" w:hAnsi="Times New Roman"/>
                <w:kern w:val="0"/>
                <w:sz w:val="20"/>
                <w:szCs w:val="20"/>
              </w:rPr>
              <w:t>20</w:t>
            </w:r>
          </w:p>
        </w:tc>
        <w:tc>
          <w:tcPr>
            <w:tcW w:w="1854" w:type="dxa"/>
            <w:tcBorders>
              <w:top w:val="single" w:color="000000" w:sz="4" w:space="0"/>
              <w:left w:val="single" w:color="000000" w:sz="4" w:space="0"/>
              <w:bottom w:val="single" w:color="000000" w:sz="4" w:space="0"/>
              <w:right w:val="single" w:color="000000" w:sz="4" w:space="0"/>
            </w:tcBorders>
            <w:vAlign w:val="center"/>
          </w:tcPr>
          <w:p>
            <w:pPr>
              <w:jc w:val="center"/>
              <w:rPr>
                <w:rFonts w:ascii="Times New Roman" w:hAnsi="Times New Roman"/>
                <w:kern w:val="0"/>
                <w:sz w:val="20"/>
                <w:szCs w:val="20"/>
              </w:rPr>
            </w:pPr>
            <w:r>
              <w:rPr>
                <w:rFonts w:hint="eastAsia" w:ascii="Times New Roman" w:hAnsi="Times New Roman"/>
                <w:kern w:val="0"/>
                <w:sz w:val="20"/>
                <w:szCs w:val="20"/>
              </w:rPr>
              <w:t>人和镇瓶颈片区</w:t>
            </w:r>
          </w:p>
        </w:tc>
        <w:tc>
          <w:tcPr>
            <w:tcW w:w="4809" w:type="dxa"/>
            <w:tcBorders>
              <w:top w:val="single" w:color="000000" w:sz="4" w:space="0"/>
              <w:left w:val="single" w:color="000000" w:sz="4" w:space="0"/>
              <w:bottom w:val="single" w:color="000000" w:sz="4" w:space="0"/>
              <w:right w:val="single" w:color="000000" w:sz="4" w:space="0"/>
            </w:tcBorders>
            <w:vAlign w:val="center"/>
          </w:tcPr>
          <w:p>
            <w:pPr>
              <w:jc w:val="center"/>
              <w:rPr>
                <w:rFonts w:ascii="Times New Roman" w:hAnsi="Times New Roman"/>
                <w:kern w:val="0"/>
                <w:sz w:val="20"/>
                <w:szCs w:val="20"/>
              </w:rPr>
            </w:pPr>
            <w:r>
              <w:rPr>
                <w:rFonts w:hint="eastAsia" w:ascii="Times New Roman" w:hAnsi="Times New Roman"/>
                <w:kern w:val="0"/>
                <w:sz w:val="20"/>
                <w:szCs w:val="20"/>
              </w:rPr>
              <w:t>管网建设</w:t>
            </w:r>
            <w:r>
              <w:rPr>
                <w:rFonts w:ascii="Times New Roman" w:hAnsi="Times New Roman"/>
                <w:kern w:val="0"/>
                <w:sz w:val="20"/>
                <w:szCs w:val="20"/>
              </w:rPr>
              <w:t>0.90 km</w:t>
            </w:r>
          </w:p>
        </w:tc>
        <w:tc>
          <w:tcPr>
            <w:tcW w:w="1417" w:type="dxa"/>
            <w:tcBorders>
              <w:top w:val="single" w:color="000000" w:sz="4" w:space="0"/>
              <w:left w:val="single" w:color="000000" w:sz="4" w:space="0"/>
              <w:bottom w:val="single" w:color="000000" w:sz="4" w:space="0"/>
              <w:right w:val="single" w:color="000000" w:sz="4" w:space="0"/>
            </w:tcBorders>
            <w:vAlign w:val="center"/>
          </w:tcPr>
          <w:p>
            <w:pPr>
              <w:jc w:val="center"/>
              <w:rPr>
                <w:rFonts w:ascii="Times New Roman" w:hAnsi="Times New Roman"/>
                <w:kern w:val="0"/>
                <w:sz w:val="20"/>
                <w:szCs w:val="20"/>
              </w:rPr>
            </w:pPr>
            <w:r>
              <w:rPr>
                <w:rFonts w:ascii="Times New Roman" w:hAnsi="Times New Roman"/>
                <w:kern w:val="0"/>
                <w:sz w:val="20"/>
                <w:szCs w:val="20"/>
              </w:rPr>
              <w:t>2022</w:t>
            </w:r>
            <w:r>
              <w:rPr>
                <w:rFonts w:hint="eastAsia" w:ascii="Times New Roman" w:hAnsi="Times New Roman"/>
                <w:kern w:val="0"/>
                <w:sz w:val="20"/>
                <w:szCs w:val="20"/>
              </w:rPr>
              <w:t>年</w:t>
            </w:r>
          </w:p>
        </w:tc>
        <w:tc>
          <w:tcPr>
            <w:tcW w:w="1276" w:type="dxa"/>
            <w:tcBorders>
              <w:top w:val="single" w:color="000000" w:sz="4" w:space="0"/>
              <w:left w:val="single" w:color="000000" w:sz="4" w:space="0"/>
              <w:bottom w:val="single" w:color="000000" w:sz="4" w:space="0"/>
              <w:right w:val="single" w:color="000000" w:sz="4" w:space="0"/>
            </w:tcBorders>
            <w:vAlign w:val="center"/>
          </w:tcPr>
          <w:p>
            <w:pPr>
              <w:jc w:val="center"/>
              <w:rPr>
                <w:rFonts w:ascii="Times New Roman" w:hAnsi="Times New Roman"/>
                <w:kern w:val="0"/>
                <w:sz w:val="20"/>
                <w:szCs w:val="20"/>
              </w:rPr>
            </w:pPr>
            <w:r>
              <w:rPr>
                <w:rFonts w:hint="eastAsia" w:ascii="Times New Roman" w:hAnsi="Times New Roman"/>
                <w:kern w:val="0"/>
                <w:sz w:val="20"/>
                <w:szCs w:val="20"/>
              </w:rPr>
              <w:t>区城市管理局</w:t>
            </w:r>
          </w:p>
        </w:tc>
        <w:tc>
          <w:tcPr>
            <w:tcW w:w="1276" w:type="dxa"/>
            <w:tcBorders>
              <w:top w:val="single" w:color="000000" w:sz="4" w:space="0"/>
              <w:left w:val="single" w:color="000000" w:sz="4" w:space="0"/>
              <w:bottom w:val="single" w:color="000000" w:sz="4" w:space="0"/>
              <w:right w:val="single" w:color="000000" w:sz="4" w:space="0"/>
            </w:tcBorders>
            <w:vAlign w:val="center"/>
          </w:tcPr>
          <w:p>
            <w:pPr>
              <w:jc w:val="center"/>
              <w:rPr>
                <w:rFonts w:ascii="Times New Roman" w:hAnsi="Times New Roman"/>
                <w:kern w:val="0"/>
                <w:sz w:val="20"/>
                <w:szCs w:val="20"/>
              </w:rPr>
            </w:pPr>
            <w:r>
              <w:rPr>
                <w:rFonts w:ascii="Times New Roman" w:hAnsi="Times New Roman"/>
                <w:kern w:val="0"/>
                <w:sz w:val="20"/>
                <w:szCs w:val="20"/>
              </w:rPr>
              <w:t>270</w:t>
            </w:r>
          </w:p>
        </w:tc>
        <w:tc>
          <w:tcPr>
            <w:tcW w:w="803" w:type="dxa"/>
            <w:tcBorders>
              <w:top w:val="single" w:color="000000" w:sz="4" w:space="0"/>
              <w:left w:val="single" w:color="000000" w:sz="4" w:space="0"/>
              <w:bottom w:val="single" w:color="000000" w:sz="4" w:space="0"/>
              <w:right w:val="single" w:color="000000" w:sz="4" w:space="0"/>
            </w:tcBorders>
          </w:tcPr>
          <w:p>
            <w:pPr>
              <w:widowControl/>
              <w:spacing w:line="259" w:lineRule="auto"/>
              <w:ind w:left="53"/>
              <w:jc w:val="center"/>
              <w:rPr>
                <w:rFonts w:ascii="Malgun Gothic Semilight" w:hAnsi="Malgun Gothic Semilight" w:eastAsia="Malgun Gothic Semilight" w:cs="Malgun Gothic Semilight"/>
                <w:sz w:val="24"/>
                <w:szCs w:val="24"/>
              </w:rPr>
            </w:pPr>
            <w:r>
              <w:rPr>
                <w:rFonts w:hint="eastAsia" w:ascii="Malgun Gothic Semilight" w:hAnsi="Malgun Gothic Semilight" w:eastAsia="Malgun Gothic Semilight" w:cs="Malgun Gothic Semilight"/>
                <w:sz w:val="24"/>
                <w:szCs w:val="24"/>
              </w:rPr>
              <w:t>√</w:t>
            </w:r>
          </w:p>
        </w:tc>
        <w:tc>
          <w:tcPr>
            <w:tcW w:w="803"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53"/>
              <w:jc w:val="center"/>
              <w:rPr>
                <w:rFonts w:ascii="Times New Roman" w:hAnsi="Times New Roman"/>
                <w:kern w:val="0"/>
                <w:sz w:val="24"/>
                <w:szCs w:val="24"/>
              </w:rPr>
            </w:pPr>
          </w:p>
        </w:tc>
        <w:tc>
          <w:tcPr>
            <w:tcW w:w="803" w:type="dxa"/>
            <w:tcBorders>
              <w:top w:val="single" w:color="000000" w:sz="4" w:space="0"/>
              <w:left w:val="single" w:color="000000" w:sz="4" w:space="0"/>
              <w:bottom w:val="single" w:color="000000" w:sz="4" w:space="0"/>
              <w:right w:val="single" w:color="auto" w:sz="4" w:space="0"/>
            </w:tcBorders>
            <w:vAlign w:val="center"/>
          </w:tcPr>
          <w:p>
            <w:pPr>
              <w:widowControl/>
              <w:spacing w:line="259" w:lineRule="auto"/>
              <w:ind w:left="53"/>
              <w:jc w:val="center"/>
              <w:rPr>
                <w:rFonts w:ascii="Times New Roman" w:hAnsi="Times New Roman"/>
                <w:kern w:val="0"/>
                <w:sz w:val="20"/>
                <w:szCs w:val="20"/>
              </w:rPr>
            </w:pPr>
          </w:p>
        </w:tc>
        <w:tc>
          <w:tcPr>
            <w:tcW w:w="1134" w:type="dxa"/>
            <w:vMerge w:val="continue"/>
            <w:tcBorders>
              <w:left w:val="single" w:color="auto" w:sz="4" w:space="0"/>
              <w:right w:val="single" w:color="auto" w:sz="4" w:space="0"/>
            </w:tcBorders>
            <w:vAlign w:val="center"/>
          </w:tcPr>
          <w:p>
            <w:pPr>
              <w:widowControl/>
              <w:spacing w:line="259" w:lineRule="auto"/>
              <w:ind w:left="52"/>
              <w:jc w:val="center"/>
              <w:rPr>
                <w:rFonts w:ascii="宋体" w:cs="宋体"/>
                <w:kern w:val="0"/>
                <w:sz w:val="20"/>
                <w:szCs w:val="20"/>
              </w:rPr>
            </w:pPr>
          </w:p>
        </w:tc>
      </w:tr>
      <w:tr>
        <w:tblPrEx>
          <w:tblCellMar>
            <w:top w:w="0" w:type="dxa"/>
            <w:left w:w="0" w:type="dxa"/>
            <w:bottom w:w="0" w:type="dxa"/>
            <w:right w:w="5" w:type="dxa"/>
          </w:tblCellMar>
        </w:tblPrEx>
        <w:trPr>
          <w:trHeight w:val="466" w:hRule="atLeast"/>
        </w:trPr>
        <w:tc>
          <w:tcPr>
            <w:tcW w:w="670"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202"/>
              <w:jc w:val="center"/>
              <w:rPr>
                <w:rFonts w:ascii="Times New Roman" w:hAnsi="Times New Roman"/>
                <w:kern w:val="0"/>
                <w:sz w:val="20"/>
                <w:szCs w:val="20"/>
              </w:rPr>
            </w:pPr>
            <w:r>
              <w:rPr>
                <w:rFonts w:ascii="Times New Roman" w:hAnsi="Times New Roman"/>
                <w:kern w:val="0"/>
                <w:sz w:val="20"/>
                <w:szCs w:val="20"/>
              </w:rPr>
              <w:t>21</w:t>
            </w:r>
          </w:p>
        </w:tc>
        <w:tc>
          <w:tcPr>
            <w:tcW w:w="1854" w:type="dxa"/>
            <w:tcBorders>
              <w:top w:val="single" w:color="000000" w:sz="4" w:space="0"/>
              <w:left w:val="single" w:color="000000" w:sz="4" w:space="0"/>
              <w:bottom w:val="single" w:color="000000" w:sz="4" w:space="0"/>
              <w:right w:val="single" w:color="000000" w:sz="4" w:space="0"/>
            </w:tcBorders>
            <w:vAlign w:val="center"/>
          </w:tcPr>
          <w:p>
            <w:pPr>
              <w:jc w:val="center"/>
              <w:rPr>
                <w:rFonts w:ascii="Times New Roman" w:hAnsi="Times New Roman"/>
                <w:kern w:val="0"/>
                <w:sz w:val="20"/>
                <w:szCs w:val="20"/>
              </w:rPr>
            </w:pPr>
            <w:r>
              <w:rPr>
                <w:rFonts w:hint="eastAsia" w:ascii="Times New Roman" w:hAnsi="Times New Roman"/>
                <w:kern w:val="0"/>
                <w:sz w:val="20"/>
                <w:szCs w:val="20"/>
              </w:rPr>
              <w:t>和睦路片区</w:t>
            </w:r>
          </w:p>
        </w:tc>
        <w:tc>
          <w:tcPr>
            <w:tcW w:w="4809" w:type="dxa"/>
            <w:tcBorders>
              <w:top w:val="single" w:color="000000" w:sz="4" w:space="0"/>
              <w:left w:val="single" w:color="000000" w:sz="4" w:space="0"/>
              <w:bottom w:val="single" w:color="000000" w:sz="4" w:space="0"/>
              <w:right w:val="single" w:color="000000" w:sz="4" w:space="0"/>
            </w:tcBorders>
            <w:vAlign w:val="center"/>
          </w:tcPr>
          <w:p>
            <w:pPr>
              <w:jc w:val="center"/>
              <w:rPr>
                <w:rFonts w:ascii="Times New Roman" w:hAnsi="Times New Roman"/>
                <w:kern w:val="0"/>
                <w:sz w:val="20"/>
                <w:szCs w:val="20"/>
              </w:rPr>
            </w:pPr>
            <w:r>
              <w:rPr>
                <w:rFonts w:hint="eastAsia" w:ascii="Times New Roman" w:hAnsi="Times New Roman"/>
                <w:kern w:val="0"/>
                <w:sz w:val="20"/>
                <w:szCs w:val="20"/>
              </w:rPr>
              <w:t>管网建设</w:t>
            </w:r>
            <w:r>
              <w:rPr>
                <w:rFonts w:ascii="Times New Roman" w:hAnsi="Times New Roman"/>
                <w:kern w:val="0"/>
                <w:sz w:val="20"/>
                <w:szCs w:val="20"/>
              </w:rPr>
              <w:t>0.82 km</w:t>
            </w:r>
          </w:p>
        </w:tc>
        <w:tc>
          <w:tcPr>
            <w:tcW w:w="1417" w:type="dxa"/>
            <w:tcBorders>
              <w:top w:val="single" w:color="000000" w:sz="4" w:space="0"/>
              <w:left w:val="single" w:color="000000" w:sz="4" w:space="0"/>
              <w:bottom w:val="single" w:color="000000" w:sz="4" w:space="0"/>
              <w:right w:val="single" w:color="000000" w:sz="4" w:space="0"/>
            </w:tcBorders>
            <w:vAlign w:val="center"/>
          </w:tcPr>
          <w:p>
            <w:pPr>
              <w:jc w:val="center"/>
              <w:rPr>
                <w:rFonts w:ascii="Times New Roman" w:hAnsi="Times New Roman"/>
                <w:kern w:val="0"/>
                <w:sz w:val="20"/>
                <w:szCs w:val="20"/>
              </w:rPr>
            </w:pPr>
            <w:r>
              <w:rPr>
                <w:rFonts w:ascii="Times New Roman" w:hAnsi="Times New Roman"/>
                <w:kern w:val="0"/>
                <w:sz w:val="20"/>
                <w:szCs w:val="20"/>
              </w:rPr>
              <w:t>2023</w:t>
            </w:r>
            <w:r>
              <w:rPr>
                <w:rFonts w:hint="eastAsia" w:ascii="Times New Roman" w:hAnsi="Times New Roman"/>
                <w:kern w:val="0"/>
                <w:sz w:val="20"/>
                <w:szCs w:val="20"/>
              </w:rPr>
              <w:t>年</w:t>
            </w:r>
          </w:p>
        </w:tc>
        <w:tc>
          <w:tcPr>
            <w:tcW w:w="1276" w:type="dxa"/>
            <w:tcBorders>
              <w:top w:val="single" w:color="000000" w:sz="4" w:space="0"/>
              <w:left w:val="single" w:color="000000" w:sz="4" w:space="0"/>
              <w:bottom w:val="single" w:color="000000" w:sz="4" w:space="0"/>
              <w:right w:val="single" w:color="000000" w:sz="4" w:space="0"/>
            </w:tcBorders>
            <w:vAlign w:val="center"/>
          </w:tcPr>
          <w:p>
            <w:pPr>
              <w:jc w:val="center"/>
              <w:rPr>
                <w:rFonts w:ascii="Times New Roman" w:hAnsi="Times New Roman"/>
                <w:kern w:val="0"/>
                <w:sz w:val="20"/>
                <w:szCs w:val="20"/>
              </w:rPr>
            </w:pPr>
            <w:r>
              <w:rPr>
                <w:rFonts w:hint="eastAsia" w:ascii="Times New Roman" w:hAnsi="Times New Roman"/>
                <w:kern w:val="0"/>
                <w:sz w:val="20"/>
                <w:szCs w:val="20"/>
              </w:rPr>
              <w:t>区城市管理局</w:t>
            </w:r>
          </w:p>
        </w:tc>
        <w:tc>
          <w:tcPr>
            <w:tcW w:w="1276" w:type="dxa"/>
            <w:tcBorders>
              <w:top w:val="single" w:color="000000" w:sz="4" w:space="0"/>
              <w:left w:val="single" w:color="000000" w:sz="4" w:space="0"/>
              <w:bottom w:val="single" w:color="000000" w:sz="4" w:space="0"/>
              <w:right w:val="single" w:color="000000" w:sz="4" w:space="0"/>
            </w:tcBorders>
            <w:vAlign w:val="center"/>
          </w:tcPr>
          <w:p>
            <w:pPr>
              <w:jc w:val="center"/>
              <w:rPr>
                <w:rFonts w:ascii="Times New Roman" w:hAnsi="Times New Roman"/>
                <w:kern w:val="0"/>
                <w:sz w:val="20"/>
                <w:szCs w:val="20"/>
              </w:rPr>
            </w:pPr>
            <w:r>
              <w:rPr>
                <w:rFonts w:ascii="Times New Roman" w:hAnsi="Times New Roman"/>
                <w:kern w:val="0"/>
                <w:sz w:val="20"/>
                <w:szCs w:val="20"/>
              </w:rPr>
              <w:t>246</w:t>
            </w:r>
          </w:p>
        </w:tc>
        <w:tc>
          <w:tcPr>
            <w:tcW w:w="803" w:type="dxa"/>
            <w:tcBorders>
              <w:top w:val="single" w:color="000000" w:sz="4" w:space="0"/>
              <w:left w:val="single" w:color="000000" w:sz="4" w:space="0"/>
              <w:bottom w:val="single" w:color="000000" w:sz="4" w:space="0"/>
              <w:right w:val="single" w:color="000000" w:sz="4" w:space="0"/>
            </w:tcBorders>
          </w:tcPr>
          <w:p>
            <w:pPr>
              <w:widowControl/>
              <w:spacing w:line="259" w:lineRule="auto"/>
              <w:ind w:left="53"/>
              <w:jc w:val="center"/>
              <w:rPr>
                <w:rFonts w:ascii="Malgun Gothic Semilight" w:hAnsi="Malgun Gothic Semilight" w:eastAsia="Malgun Gothic Semilight" w:cs="Malgun Gothic Semilight"/>
                <w:sz w:val="24"/>
                <w:szCs w:val="24"/>
              </w:rPr>
            </w:pPr>
            <w:r>
              <w:rPr>
                <w:rFonts w:hint="eastAsia" w:ascii="Malgun Gothic Semilight" w:hAnsi="Malgun Gothic Semilight" w:eastAsia="Malgun Gothic Semilight" w:cs="Malgun Gothic Semilight"/>
                <w:sz w:val="24"/>
                <w:szCs w:val="24"/>
              </w:rPr>
              <w:t>√</w:t>
            </w:r>
          </w:p>
        </w:tc>
        <w:tc>
          <w:tcPr>
            <w:tcW w:w="803"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53"/>
              <w:jc w:val="center"/>
              <w:rPr>
                <w:rFonts w:ascii="Times New Roman" w:hAnsi="Times New Roman"/>
                <w:kern w:val="0"/>
                <w:sz w:val="24"/>
                <w:szCs w:val="24"/>
              </w:rPr>
            </w:pPr>
          </w:p>
        </w:tc>
        <w:tc>
          <w:tcPr>
            <w:tcW w:w="803" w:type="dxa"/>
            <w:tcBorders>
              <w:top w:val="single" w:color="000000" w:sz="4" w:space="0"/>
              <w:left w:val="single" w:color="000000" w:sz="4" w:space="0"/>
              <w:bottom w:val="single" w:color="000000" w:sz="4" w:space="0"/>
              <w:right w:val="single" w:color="auto" w:sz="4" w:space="0"/>
            </w:tcBorders>
            <w:vAlign w:val="center"/>
          </w:tcPr>
          <w:p>
            <w:pPr>
              <w:widowControl/>
              <w:spacing w:line="259" w:lineRule="auto"/>
              <w:ind w:left="53"/>
              <w:jc w:val="center"/>
              <w:rPr>
                <w:rFonts w:ascii="Times New Roman" w:hAnsi="Times New Roman"/>
                <w:kern w:val="0"/>
                <w:sz w:val="20"/>
                <w:szCs w:val="20"/>
              </w:rPr>
            </w:pPr>
          </w:p>
        </w:tc>
        <w:tc>
          <w:tcPr>
            <w:tcW w:w="1134" w:type="dxa"/>
            <w:vMerge w:val="continue"/>
            <w:tcBorders>
              <w:left w:val="single" w:color="auto" w:sz="4" w:space="0"/>
              <w:bottom w:val="single" w:color="auto" w:sz="4" w:space="0"/>
              <w:right w:val="single" w:color="auto" w:sz="4" w:space="0"/>
            </w:tcBorders>
            <w:vAlign w:val="center"/>
          </w:tcPr>
          <w:p>
            <w:pPr>
              <w:widowControl/>
              <w:spacing w:line="259" w:lineRule="auto"/>
              <w:ind w:left="52"/>
              <w:jc w:val="center"/>
              <w:rPr>
                <w:rFonts w:ascii="宋体" w:cs="宋体"/>
                <w:kern w:val="0"/>
                <w:sz w:val="20"/>
                <w:szCs w:val="20"/>
              </w:rPr>
            </w:pPr>
          </w:p>
        </w:tc>
      </w:tr>
      <w:tr>
        <w:tblPrEx>
          <w:tblCellMar>
            <w:top w:w="0" w:type="dxa"/>
            <w:left w:w="0" w:type="dxa"/>
            <w:bottom w:w="0" w:type="dxa"/>
            <w:right w:w="5" w:type="dxa"/>
          </w:tblCellMar>
        </w:tblPrEx>
        <w:trPr>
          <w:trHeight w:val="466" w:hRule="atLeast"/>
        </w:trPr>
        <w:tc>
          <w:tcPr>
            <w:tcW w:w="670"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202"/>
              <w:jc w:val="center"/>
              <w:rPr>
                <w:rFonts w:ascii="Times New Roman" w:hAnsi="Times New Roman"/>
                <w:kern w:val="0"/>
                <w:sz w:val="20"/>
                <w:szCs w:val="20"/>
              </w:rPr>
            </w:pPr>
            <w:r>
              <w:rPr>
                <w:rFonts w:ascii="Times New Roman" w:hAnsi="Times New Roman"/>
                <w:kern w:val="0"/>
                <w:sz w:val="20"/>
                <w:szCs w:val="20"/>
              </w:rPr>
              <w:t>22</w:t>
            </w:r>
          </w:p>
        </w:tc>
        <w:tc>
          <w:tcPr>
            <w:tcW w:w="1854" w:type="dxa"/>
            <w:tcBorders>
              <w:top w:val="single" w:color="000000" w:sz="4" w:space="0"/>
              <w:left w:val="single" w:color="000000" w:sz="4" w:space="0"/>
              <w:bottom w:val="single" w:color="000000" w:sz="4" w:space="0"/>
              <w:right w:val="single" w:color="000000" w:sz="4" w:space="0"/>
            </w:tcBorders>
            <w:vAlign w:val="center"/>
          </w:tcPr>
          <w:p>
            <w:pPr>
              <w:jc w:val="center"/>
              <w:rPr>
                <w:rFonts w:ascii="Times New Roman" w:hAnsi="Times New Roman"/>
                <w:kern w:val="0"/>
                <w:sz w:val="20"/>
                <w:szCs w:val="20"/>
              </w:rPr>
            </w:pPr>
            <w:r>
              <w:rPr>
                <w:rFonts w:hint="eastAsia" w:ascii="Times New Roman" w:hAnsi="Times New Roman"/>
                <w:kern w:val="0"/>
                <w:sz w:val="20"/>
                <w:szCs w:val="20"/>
              </w:rPr>
              <w:t>金童路片区</w:t>
            </w:r>
          </w:p>
        </w:tc>
        <w:tc>
          <w:tcPr>
            <w:tcW w:w="4809" w:type="dxa"/>
            <w:tcBorders>
              <w:top w:val="single" w:color="000000" w:sz="4" w:space="0"/>
              <w:left w:val="single" w:color="000000" w:sz="4" w:space="0"/>
              <w:bottom w:val="single" w:color="000000" w:sz="4" w:space="0"/>
              <w:right w:val="single" w:color="000000" w:sz="4" w:space="0"/>
            </w:tcBorders>
            <w:vAlign w:val="center"/>
          </w:tcPr>
          <w:p>
            <w:pPr>
              <w:jc w:val="center"/>
              <w:rPr>
                <w:rFonts w:ascii="Times New Roman" w:hAnsi="Times New Roman"/>
                <w:kern w:val="0"/>
                <w:sz w:val="20"/>
                <w:szCs w:val="20"/>
              </w:rPr>
            </w:pPr>
            <w:r>
              <w:rPr>
                <w:rFonts w:hint="eastAsia" w:ascii="Times New Roman" w:hAnsi="Times New Roman"/>
                <w:kern w:val="0"/>
                <w:sz w:val="20"/>
                <w:szCs w:val="20"/>
              </w:rPr>
              <w:t>管网建设</w:t>
            </w:r>
            <w:r>
              <w:rPr>
                <w:rFonts w:ascii="Times New Roman" w:hAnsi="Times New Roman"/>
                <w:kern w:val="0"/>
                <w:sz w:val="20"/>
                <w:szCs w:val="20"/>
              </w:rPr>
              <w:t>1.24 km</w:t>
            </w:r>
          </w:p>
        </w:tc>
        <w:tc>
          <w:tcPr>
            <w:tcW w:w="1417" w:type="dxa"/>
            <w:tcBorders>
              <w:top w:val="single" w:color="000000" w:sz="4" w:space="0"/>
              <w:left w:val="single" w:color="000000" w:sz="4" w:space="0"/>
              <w:bottom w:val="single" w:color="000000" w:sz="4" w:space="0"/>
              <w:right w:val="single" w:color="000000" w:sz="4" w:space="0"/>
            </w:tcBorders>
            <w:vAlign w:val="center"/>
          </w:tcPr>
          <w:p>
            <w:pPr>
              <w:jc w:val="center"/>
              <w:rPr>
                <w:rFonts w:ascii="Times New Roman" w:hAnsi="Times New Roman"/>
                <w:kern w:val="0"/>
                <w:sz w:val="20"/>
                <w:szCs w:val="20"/>
              </w:rPr>
            </w:pPr>
            <w:r>
              <w:rPr>
                <w:rFonts w:ascii="Times New Roman" w:hAnsi="Times New Roman"/>
                <w:kern w:val="0"/>
                <w:sz w:val="20"/>
                <w:szCs w:val="20"/>
              </w:rPr>
              <w:t>2023</w:t>
            </w:r>
            <w:r>
              <w:rPr>
                <w:rFonts w:hint="eastAsia" w:ascii="Times New Roman" w:hAnsi="Times New Roman"/>
                <w:kern w:val="0"/>
                <w:sz w:val="20"/>
                <w:szCs w:val="20"/>
              </w:rPr>
              <w:t>年</w:t>
            </w:r>
          </w:p>
        </w:tc>
        <w:tc>
          <w:tcPr>
            <w:tcW w:w="1276" w:type="dxa"/>
            <w:tcBorders>
              <w:top w:val="single" w:color="000000" w:sz="4" w:space="0"/>
              <w:left w:val="single" w:color="000000" w:sz="4" w:space="0"/>
              <w:bottom w:val="single" w:color="000000" w:sz="4" w:space="0"/>
              <w:right w:val="single" w:color="000000" w:sz="4" w:space="0"/>
            </w:tcBorders>
            <w:vAlign w:val="center"/>
          </w:tcPr>
          <w:p>
            <w:pPr>
              <w:jc w:val="center"/>
              <w:rPr>
                <w:rFonts w:ascii="Times New Roman" w:hAnsi="Times New Roman"/>
                <w:kern w:val="0"/>
                <w:sz w:val="20"/>
                <w:szCs w:val="20"/>
              </w:rPr>
            </w:pPr>
            <w:r>
              <w:rPr>
                <w:rFonts w:hint="eastAsia" w:ascii="Times New Roman" w:hAnsi="Times New Roman"/>
                <w:kern w:val="0"/>
                <w:sz w:val="20"/>
                <w:szCs w:val="20"/>
              </w:rPr>
              <w:t>区城市管理局</w:t>
            </w:r>
          </w:p>
        </w:tc>
        <w:tc>
          <w:tcPr>
            <w:tcW w:w="1276" w:type="dxa"/>
            <w:tcBorders>
              <w:top w:val="single" w:color="000000" w:sz="4" w:space="0"/>
              <w:left w:val="single" w:color="000000" w:sz="4" w:space="0"/>
              <w:bottom w:val="single" w:color="000000" w:sz="4" w:space="0"/>
              <w:right w:val="single" w:color="000000" w:sz="4" w:space="0"/>
            </w:tcBorders>
            <w:vAlign w:val="center"/>
          </w:tcPr>
          <w:p>
            <w:pPr>
              <w:jc w:val="center"/>
              <w:rPr>
                <w:rFonts w:ascii="Times New Roman" w:hAnsi="Times New Roman"/>
                <w:kern w:val="0"/>
                <w:sz w:val="20"/>
                <w:szCs w:val="20"/>
              </w:rPr>
            </w:pPr>
            <w:r>
              <w:rPr>
                <w:rFonts w:ascii="Times New Roman" w:hAnsi="Times New Roman"/>
                <w:kern w:val="0"/>
                <w:sz w:val="20"/>
                <w:szCs w:val="20"/>
              </w:rPr>
              <w:t>372</w:t>
            </w:r>
          </w:p>
        </w:tc>
        <w:tc>
          <w:tcPr>
            <w:tcW w:w="803" w:type="dxa"/>
            <w:tcBorders>
              <w:top w:val="single" w:color="000000" w:sz="4" w:space="0"/>
              <w:left w:val="single" w:color="000000" w:sz="4" w:space="0"/>
              <w:bottom w:val="single" w:color="000000" w:sz="4" w:space="0"/>
              <w:right w:val="single" w:color="000000" w:sz="4" w:space="0"/>
            </w:tcBorders>
          </w:tcPr>
          <w:p>
            <w:pPr>
              <w:widowControl/>
              <w:spacing w:line="259" w:lineRule="auto"/>
              <w:ind w:left="53"/>
              <w:jc w:val="center"/>
              <w:rPr>
                <w:rFonts w:ascii="Malgun Gothic Semilight" w:hAnsi="Malgun Gothic Semilight" w:eastAsia="Malgun Gothic Semilight" w:cs="Malgun Gothic Semilight"/>
                <w:sz w:val="24"/>
                <w:szCs w:val="24"/>
              </w:rPr>
            </w:pPr>
            <w:r>
              <w:rPr>
                <w:rFonts w:hint="eastAsia" w:ascii="Malgun Gothic Semilight" w:hAnsi="Malgun Gothic Semilight" w:eastAsia="Malgun Gothic Semilight" w:cs="Malgun Gothic Semilight"/>
                <w:sz w:val="24"/>
                <w:szCs w:val="24"/>
              </w:rPr>
              <w:t>√</w:t>
            </w:r>
          </w:p>
        </w:tc>
        <w:tc>
          <w:tcPr>
            <w:tcW w:w="803"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53"/>
              <w:jc w:val="center"/>
              <w:rPr>
                <w:rFonts w:ascii="Times New Roman" w:hAnsi="Times New Roman"/>
                <w:kern w:val="0"/>
                <w:sz w:val="24"/>
                <w:szCs w:val="24"/>
              </w:rPr>
            </w:pPr>
          </w:p>
        </w:tc>
        <w:tc>
          <w:tcPr>
            <w:tcW w:w="803" w:type="dxa"/>
            <w:tcBorders>
              <w:top w:val="single" w:color="000000" w:sz="4" w:space="0"/>
              <w:left w:val="single" w:color="000000" w:sz="4" w:space="0"/>
              <w:bottom w:val="single" w:color="000000" w:sz="4" w:space="0"/>
              <w:right w:val="single" w:color="auto" w:sz="4" w:space="0"/>
            </w:tcBorders>
            <w:vAlign w:val="center"/>
          </w:tcPr>
          <w:p>
            <w:pPr>
              <w:widowControl/>
              <w:spacing w:line="259" w:lineRule="auto"/>
              <w:ind w:left="53"/>
              <w:jc w:val="center"/>
              <w:rPr>
                <w:rFonts w:ascii="Times New Roman" w:hAnsi="Times New Roman"/>
                <w:kern w:val="0"/>
                <w:sz w:val="20"/>
                <w:szCs w:val="20"/>
              </w:rPr>
            </w:pPr>
          </w:p>
        </w:tc>
        <w:tc>
          <w:tcPr>
            <w:tcW w:w="1134" w:type="dxa"/>
            <w:vMerge w:val="restart"/>
            <w:tcBorders>
              <w:left w:val="single" w:color="auto" w:sz="4" w:space="0"/>
              <w:right w:val="single" w:color="auto" w:sz="4" w:space="0"/>
            </w:tcBorders>
            <w:vAlign w:val="center"/>
          </w:tcPr>
          <w:p>
            <w:pPr>
              <w:widowControl/>
              <w:spacing w:line="259" w:lineRule="auto"/>
              <w:ind w:left="52"/>
              <w:jc w:val="center"/>
              <w:rPr>
                <w:rFonts w:ascii="宋体" w:cs="宋体"/>
                <w:kern w:val="0"/>
                <w:sz w:val="20"/>
                <w:szCs w:val="20"/>
              </w:rPr>
            </w:pPr>
            <w:r>
              <w:rPr>
                <w:rFonts w:hint="eastAsia" w:ascii="宋体" w:hAnsi="宋体" w:cs="宋体"/>
                <w:kern w:val="0"/>
                <w:sz w:val="20"/>
                <w:szCs w:val="20"/>
              </w:rPr>
              <w:t>已列入《渝北区城市节水专项规划》</w:t>
            </w:r>
          </w:p>
        </w:tc>
      </w:tr>
      <w:tr>
        <w:tblPrEx>
          <w:tblCellMar>
            <w:top w:w="0" w:type="dxa"/>
            <w:left w:w="0" w:type="dxa"/>
            <w:bottom w:w="0" w:type="dxa"/>
            <w:right w:w="5" w:type="dxa"/>
          </w:tblCellMar>
        </w:tblPrEx>
        <w:trPr>
          <w:trHeight w:val="466" w:hRule="atLeast"/>
        </w:trPr>
        <w:tc>
          <w:tcPr>
            <w:tcW w:w="670"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202"/>
              <w:jc w:val="center"/>
              <w:rPr>
                <w:rFonts w:ascii="Times New Roman" w:hAnsi="Times New Roman"/>
                <w:kern w:val="0"/>
                <w:sz w:val="20"/>
                <w:szCs w:val="20"/>
              </w:rPr>
            </w:pPr>
            <w:r>
              <w:rPr>
                <w:rFonts w:ascii="Times New Roman" w:hAnsi="Times New Roman"/>
                <w:kern w:val="0"/>
                <w:sz w:val="20"/>
                <w:szCs w:val="20"/>
              </w:rPr>
              <w:t>23</w:t>
            </w:r>
          </w:p>
        </w:tc>
        <w:tc>
          <w:tcPr>
            <w:tcW w:w="1854" w:type="dxa"/>
            <w:tcBorders>
              <w:top w:val="single" w:color="000000" w:sz="4" w:space="0"/>
              <w:left w:val="single" w:color="000000" w:sz="4" w:space="0"/>
              <w:bottom w:val="single" w:color="000000" w:sz="4" w:space="0"/>
              <w:right w:val="single" w:color="000000" w:sz="4" w:space="0"/>
            </w:tcBorders>
            <w:vAlign w:val="center"/>
          </w:tcPr>
          <w:p>
            <w:pPr>
              <w:jc w:val="center"/>
              <w:rPr>
                <w:rFonts w:ascii="Times New Roman" w:hAnsi="Times New Roman"/>
                <w:kern w:val="0"/>
                <w:sz w:val="20"/>
                <w:szCs w:val="20"/>
              </w:rPr>
            </w:pPr>
            <w:r>
              <w:rPr>
                <w:rFonts w:hint="eastAsia" w:ascii="Times New Roman" w:hAnsi="Times New Roman"/>
                <w:kern w:val="0"/>
                <w:sz w:val="20"/>
                <w:szCs w:val="20"/>
              </w:rPr>
              <w:t>工业园区农贸市场片区</w:t>
            </w:r>
          </w:p>
        </w:tc>
        <w:tc>
          <w:tcPr>
            <w:tcW w:w="4809" w:type="dxa"/>
            <w:tcBorders>
              <w:top w:val="single" w:color="000000" w:sz="4" w:space="0"/>
              <w:left w:val="single" w:color="000000" w:sz="4" w:space="0"/>
              <w:bottom w:val="single" w:color="000000" w:sz="4" w:space="0"/>
              <w:right w:val="single" w:color="000000" w:sz="4" w:space="0"/>
            </w:tcBorders>
            <w:vAlign w:val="center"/>
          </w:tcPr>
          <w:p>
            <w:pPr>
              <w:jc w:val="center"/>
              <w:rPr>
                <w:rFonts w:ascii="Times New Roman" w:hAnsi="Times New Roman"/>
                <w:kern w:val="0"/>
                <w:sz w:val="20"/>
                <w:szCs w:val="20"/>
              </w:rPr>
            </w:pPr>
            <w:r>
              <w:rPr>
                <w:rFonts w:hint="eastAsia" w:ascii="Times New Roman" w:hAnsi="Times New Roman"/>
                <w:kern w:val="0"/>
                <w:sz w:val="20"/>
                <w:szCs w:val="20"/>
              </w:rPr>
              <w:t>管网建设</w:t>
            </w:r>
            <w:r>
              <w:rPr>
                <w:rFonts w:ascii="Times New Roman" w:hAnsi="Times New Roman"/>
                <w:kern w:val="0"/>
                <w:sz w:val="20"/>
                <w:szCs w:val="20"/>
              </w:rPr>
              <w:t>0.50 km</w:t>
            </w:r>
          </w:p>
        </w:tc>
        <w:tc>
          <w:tcPr>
            <w:tcW w:w="1417" w:type="dxa"/>
            <w:tcBorders>
              <w:top w:val="single" w:color="000000" w:sz="4" w:space="0"/>
              <w:left w:val="single" w:color="000000" w:sz="4" w:space="0"/>
              <w:bottom w:val="single" w:color="000000" w:sz="4" w:space="0"/>
              <w:right w:val="single" w:color="000000" w:sz="4" w:space="0"/>
            </w:tcBorders>
            <w:vAlign w:val="center"/>
          </w:tcPr>
          <w:p>
            <w:pPr>
              <w:jc w:val="center"/>
              <w:rPr>
                <w:rFonts w:ascii="Times New Roman" w:hAnsi="Times New Roman"/>
                <w:kern w:val="0"/>
                <w:sz w:val="20"/>
                <w:szCs w:val="20"/>
              </w:rPr>
            </w:pPr>
            <w:r>
              <w:rPr>
                <w:rFonts w:ascii="Times New Roman" w:hAnsi="Times New Roman"/>
                <w:kern w:val="0"/>
                <w:sz w:val="20"/>
                <w:szCs w:val="20"/>
              </w:rPr>
              <w:t>2023</w:t>
            </w:r>
            <w:r>
              <w:rPr>
                <w:rFonts w:hint="eastAsia" w:ascii="Times New Roman" w:hAnsi="Times New Roman"/>
                <w:kern w:val="0"/>
                <w:sz w:val="20"/>
                <w:szCs w:val="20"/>
              </w:rPr>
              <w:t>年</w:t>
            </w:r>
          </w:p>
        </w:tc>
        <w:tc>
          <w:tcPr>
            <w:tcW w:w="1276" w:type="dxa"/>
            <w:tcBorders>
              <w:top w:val="single" w:color="000000" w:sz="4" w:space="0"/>
              <w:left w:val="single" w:color="000000" w:sz="4" w:space="0"/>
              <w:bottom w:val="single" w:color="000000" w:sz="4" w:space="0"/>
              <w:right w:val="single" w:color="000000" w:sz="4" w:space="0"/>
            </w:tcBorders>
            <w:vAlign w:val="center"/>
          </w:tcPr>
          <w:p>
            <w:pPr>
              <w:jc w:val="center"/>
              <w:rPr>
                <w:rFonts w:ascii="Times New Roman" w:hAnsi="Times New Roman"/>
                <w:kern w:val="0"/>
                <w:sz w:val="20"/>
                <w:szCs w:val="20"/>
              </w:rPr>
            </w:pPr>
            <w:r>
              <w:rPr>
                <w:rFonts w:hint="eastAsia" w:ascii="Times New Roman" w:hAnsi="Times New Roman"/>
                <w:kern w:val="0"/>
                <w:sz w:val="20"/>
                <w:szCs w:val="20"/>
              </w:rPr>
              <w:t>区城市管理局</w:t>
            </w:r>
          </w:p>
        </w:tc>
        <w:tc>
          <w:tcPr>
            <w:tcW w:w="1276" w:type="dxa"/>
            <w:tcBorders>
              <w:top w:val="single" w:color="000000" w:sz="4" w:space="0"/>
              <w:left w:val="single" w:color="000000" w:sz="4" w:space="0"/>
              <w:bottom w:val="single" w:color="000000" w:sz="4" w:space="0"/>
              <w:right w:val="single" w:color="000000" w:sz="4" w:space="0"/>
            </w:tcBorders>
            <w:vAlign w:val="center"/>
          </w:tcPr>
          <w:p>
            <w:pPr>
              <w:jc w:val="center"/>
              <w:rPr>
                <w:rFonts w:ascii="Times New Roman" w:hAnsi="Times New Roman"/>
                <w:kern w:val="0"/>
                <w:sz w:val="20"/>
                <w:szCs w:val="20"/>
              </w:rPr>
            </w:pPr>
            <w:r>
              <w:rPr>
                <w:rFonts w:ascii="Times New Roman" w:hAnsi="Times New Roman"/>
                <w:kern w:val="0"/>
                <w:sz w:val="20"/>
                <w:szCs w:val="20"/>
              </w:rPr>
              <w:t>150</w:t>
            </w:r>
          </w:p>
        </w:tc>
        <w:tc>
          <w:tcPr>
            <w:tcW w:w="803" w:type="dxa"/>
            <w:tcBorders>
              <w:top w:val="single" w:color="000000" w:sz="4" w:space="0"/>
              <w:left w:val="single" w:color="000000" w:sz="4" w:space="0"/>
              <w:bottom w:val="single" w:color="000000" w:sz="4" w:space="0"/>
              <w:right w:val="single" w:color="000000" w:sz="4" w:space="0"/>
            </w:tcBorders>
          </w:tcPr>
          <w:p>
            <w:pPr>
              <w:widowControl/>
              <w:spacing w:line="259" w:lineRule="auto"/>
              <w:ind w:left="53"/>
              <w:jc w:val="center"/>
              <w:rPr>
                <w:rFonts w:ascii="Malgun Gothic Semilight" w:hAnsi="Malgun Gothic Semilight" w:eastAsia="Malgun Gothic Semilight" w:cs="Malgun Gothic Semilight"/>
                <w:sz w:val="24"/>
                <w:szCs w:val="24"/>
              </w:rPr>
            </w:pPr>
            <w:r>
              <w:rPr>
                <w:rFonts w:hint="eastAsia" w:ascii="Malgun Gothic Semilight" w:hAnsi="Malgun Gothic Semilight" w:eastAsia="Malgun Gothic Semilight" w:cs="Malgun Gothic Semilight"/>
                <w:sz w:val="24"/>
                <w:szCs w:val="24"/>
              </w:rPr>
              <w:t>√</w:t>
            </w:r>
          </w:p>
        </w:tc>
        <w:tc>
          <w:tcPr>
            <w:tcW w:w="803"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53"/>
              <w:jc w:val="center"/>
              <w:rPr>
                <w:rFonts w:ascii="Times New Roman" w:hAnsi="Times New Roman"/>
                <w:kern w:val="0"/>
                <w:sz w:val="24"/>
                <w:szCs w:val="24"/>
              </w:rPr>
            </w:pPr>
          </w:p>
        </w:tc>
        <w:tc>
          <w:tcPr>
            <w:tcW w:w="803" w:type="dxa"/>
            <w:tcBorders>
              <w:top w:val="single" w:color="000000" w:sz="4" w:space="0"/>
              <w:left w:val="single" w:color="000000" w:sz="4" w:space="0"/>
              <w:bottom w:val="single" w:color="000000" w:sz="4" w:space="0"/>
              <w:right w:val="single" w:color="auto" w:sz="4" w:space="0"/>
            </w:tcBorders>
            <w:vAlign w:val="center"/>
          </w:tcPr>
          <w:p>
            <w:pPr>
              <w:widowControl/>
              <w:spacing w:line="259" w:lineRule="auto"/>
              <w:ind w:left="53"/>
              <w:jc w:val="center"/>
              <w:rPr>
                <w:rFonts w:ascii="Times New Roman" w:hAnsi="Times New Roman"/>
                <w:kern w:val="0"/>
                <w:sz w:val="20"/>
                <w:szCs w:val="20"/>
              </w:rPr>
            </w:pPr>
          </w:p>
        </w:tc>
        <w:tc>
          <w:tcPr>
            <w:tcW w:w="1134" w:type="dxa"/>
            <w:vMerge w:val="continue"/>
            <w:tcBorders>
              <w:left w:val="single" w:color="auto" w:sz="4" w:space="0"/>
              <w:right w:val="single" w:color="auto" w:sz="4" w:space="0"/>
            </w:tcBorders>
            <w:vAlign w:val="center"/>
          </w:tcPr>
          <w:p>
            <w:pPr>
              <w:widowControl/>
              <w:spacing w:line="259" w:lineRule="auto"/>
              <w:ind w:left="52"/>
              <w:jc w:val="center"/>
              <w:rPr>
                <w:rFonts w:ascii="宋体" w:cs="宋体"/>
                <w:kern w:val="0"/>
                <w:sz w:val="20"/>
                <w:szCs w:val="20"/>
              </w:rPr>
            </w:pPr>
          </w:p>
        </w:tc>
      </w:tr>
      <w:tr>
        <w:tblPrEx>
          <w:tblCellMar>
            <w:top w:w="0" w:type="dxa"/>
            <w:left w:w="0" w:type="dxa"/>
            <w:bottom w:w="0" w:type="dxa"/>
            <w:right w:w="5" w:type="dxa"/>
          </w:tblCellMar>
        </w:tblPrEx>
        <w:trPr>
          <w:trHeight w:val="466" w:hRule="atLeast"/>
        </w:trPr>
        <w:tc>
          <w:tcPr>
            <w:tcW w:w="670"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202"/>
              <w:jc w:val="center"/>
              <w:rPr>
                <w:rFonts w:ascii="Times New Roman" w:hAnsi="Times New Roman"/>
                <w:kern w:val="0"/>
                <w:sz w:val="20"/>
                <w:szCs w:val="20"/>
              </w:rPr>
            </w:pPr>
            <w:r>
              <w:rPr>
                <w:rFonts w:ascii="Times New Roman" w:hAnsi="Times New Roman"/>
                <w:kern w:val="0"/>
                <w:sz w:val="20"/>
                <w:szCs w:val="20"/>
              </w:rPr>
              <w:t>24</w:t>
            </w:r>
          </w:p>
        </w:tc>
        <w:tc>
          <w:tcPr>
            <w:tcW w:w="1854" w:type="dxa"/>
            <w:tcBorders>
              <w:top w:val="single" w:color="000000" w:sz="4" w:space="0"/>
              <w:left w:val="single" w:color="000000" w:sz="4" w:space="0"/>
              <w:bottom w:val="single" w:color="000000" w:sz="4" w:space="0"/>
              <w:right w:val="single" w:color="000000" w:sz="4" w:space="0"/>
            </w:tcBorders>
            <w:vAlign w:val="center"/>
          </w:tcPr>
          <w:p>
            <w:pPr>
              <w:jc w:val="center"/>
              <w:rPr>
                <w:rFonts w:ascii="Times New Roman" w:hAnsi="Times New Roman"/>
                <w:kern w:val="0"/>
                <w:sz w:val="20"/>
                <w:szCs w:val="20"/>
              </w:rPr>
            </w:pPr>
            <w:r>
              <w:rPr>
                <w:rFonts w:hint="eastAsia" w:ascii="Times New Roman" w:hAnsi="Times New Roman"/>
                <w:kern w:val="0"/>
                <w:sz w:val="20"/>
                <w:szCs w:val="20"/>
              </w:rPr>
              <w:t>工业园区实验三小门口片区</w:t>
            </w:r>
          </w:p>
        </w:tc>
        <w:tc>
          <w:tcPr>
            <w:tcW w:w="4809" w:type="dxa"/>
            <w:tcBorders>
              <w:top w:val="single" w:color="000000" w:sz="4" w:space="0"/>
              <w:left w:val="single" w:color="000000" w:sz="4" w:space="0"/>
              <w:bottom w:val="single" w:color="000000" w:sz="4" w:space="0"/>
              <w:right w:val="single" w:color="000000" w:sz="4" w:space="0"/>
            </w:tcBorders>
            <w:vAlign w:val="center"/>
          </w:tcPr>
          <w:p>
            <w:pPr>
              <w:jc w:val="center"/>
              <w:rPr>
                <w:rFonts w:ascii="Times New Roman" w:hAnsi="Times New Roman"/>
                <w:kern w:val="0"/>
                <w:sz w:val="20"/>
                <w:szCs w:val="20"/>
              </w:rPr>
            </w:pPr>
            <w:r>
              <w:rPr>
                <w:rFonts w:hint="eastAsia" w:ascii="Times New Roman" w:hAnsi="Times New Roman"/>
                <w:kern w:val="0"/>
                <w:sz w:val="20"/>
                <w:szCs w:val="20"/>
              </w:rPr>
              <w:t>管网建设</w:t>
            </w:r>
            <w:r>
              <w:rPr>
                <w:rFonts w:ascii="Times New Roman" w:hAnsi="Times New Roman"/>
                <w:kern w:val="0"/>
                <w:sz w:val="20"/>
                <w:szCs w:val="20"/>
              </w:rPr>
              <w:t>0.25 km</w:t>
            </w:r>
          </w:p>
        </w:tc>
        <w:tc>
          <w:tcPr>
            <w:tcW w:w="1417" w:type="dxa"/>
            <w:tcBorders>
              <w:top w:val="single" w:color="000000" w:sz="4" w:space="0"/>
              <w:left w:val="single" w:color="000000" w:sz="4" w:space="0"/>
              <w:bottom w:val="single" w:color="000000" w:sz="4" w:space="0"/>
              <w:right w:val="single" w:color="000000" w:sz="4" w:space="0"/>
            </w:tcBorders>
            <w:vAlign w:val="center"/>
          </w:tcPr>
          <w:p>
            <w:pPr>
              <w:jc w:val="center"/>
              <w:rPr>
                <w:rFonts w:ascii="Times New Roman" w:hAnsi="Times New Roman"/>
                <w:kern w:val="0"/>
                <w:sz w:val="20"/>
                <w:szCs w:val="20"/>
              </w:rPr>
            </w:pPr>
            <w:r>
              <w:rPr>
                <w:rFonts w:ascii="Times New Roman" w:hAnsi="Times New Roman"/>
                <w:kern w:val="0"/>
                <w:sz w:val="20"/>
                <w:szCs w:val="20"/>
              </w:rPr>
              <w:t>2023</w:t>
            </w:r>
            <w:r>
              <w:rPr>
                <w:rFonts w:hint="eastAsia" w:ascii="Times New Roman" w:hAnsi="Times New Roman"/>
                <w:kern w:val="0"/>
                <w:sz w:val="20"/>
                <w:szCs w:val="20"/>
              </w:rPr>
              <w:t>年</w:t>
            </w:r>
          </w:p>
        </w:tc>
        <w:tc>
          <w:tcPr>
            <w:tcW w:w="1276" w:type="dxa"/>
            <w:tcBorders>
              <w:top w:val="single" w:color="000000" w:sz="4" w:space="0"/>
              <w:left w:val="single" w:color="000000" w:sz="4" w:space="0"/>
              <w:bottom w:val="single" w:color="000000" w:sz="4" w:space="0"/>
              <w:right w:val="single" w:color="000000" w:sz="4" w:space="0"/>
            </w:tcBorders>
            <w:vAlign w:val="center"/>
          </w:tcPr>
          <w:p>
            <w:pPr>
              <w:jc w:val="center"/>
              <w:rPr>
                <w:rFonts w:ascii="Times New Roman" w:hAnsi="Times New Roman"/>
                <w:kern w:val="0"/>
                <w:sz w:val="20"/>
                <w:szCs w:val="20"/>
              </w:rPr>
            </w:pPr>
            <w:r>
              <w:rPr>
                <w:rFonts w:hint="eastAsia" w:ascii="Times New Roman" w:hAnsi="Times New Roman"/>
                <w:kern w:val="0"/>
                <w:sz w:val="20"/>
                <w:szCs w:val="20"/>
              </w:rPr>
              <w:t>区城市管理局</w:t>
            </w:r>
          </w:p>
        </w:tc>
        <w:tc>
          <w:tcPr>
            <w:tcW w:w="1276" w:type="dxa"/>
            <w:tcBorders>
              <w:top w:val="single" w:color="000000" w:sz="4" w:space="0"/>
              <w:left w:val="single" w:color="000000" w:sz="4" w:space="0"/>
              <w:bottom w:val="single" w:color="000000" w:sz="4" w:space="0"/>
              <w:right w:val="single" w:color="000000" w:sz="4" w:space="0"/>
            </w:tcBorders>
            <w:vAlign w:val="center"/>
          </w:tcPr>
          <w:p>
            <w:pPr>
              <w:jc w:val="center"/>
              <w:rPr>
                <w:rFonts w:ascii="Times New Roman" w:hAnsi="Times New Roman"/>
                <w:kern w:val="0"/>
                <w:sz w:val="20"/>
                <w:szCs w:val="20"/>
              </w:rPr>
            </w:pPr>
            <w:r>
              <w:rPr>
                <w:rFonts w:ascii="Times New Roman" w:hAnsi="Times New Roman"/>
                <w:kern w:val="0"/>
                <w:sz w:val="20"/>
                <w:szCs w:val="20"/>
              </w:rPr>
              <w:t>75</w:t>
            </w:r>
          </w:p>
        </w:tc>
        <w:tc>
          <w:tcPr>
            <w:tcW w:w="803" w:type="dxa"/>
            <w:tcBorders>
              <w:top w:val="single" w:color="000000" w:sz="4" w:space="0"/>
              <w:left w:val="single" w:color="000000" w:sz="4" w:space="0"/>
              <w:bottom w:val="single" w:color="000000" w:sz="4" w:space="0"/>
              <w:right w:val="single" w:color="000000" w:sz="4" w:space="0"/>
            </w:tcBorders>
          </w:tcPr>
          <w:p>
            <w:pPr>
              <w:widowControl/>
              <w:spacing w:line="259" w:lineRule="auto"/>
              <w:ind w:left="53"/>
              <w:jc w:val="center"/>
              <w:rPr>
                <w:rFonts w:ascii="Malgun Gothic Semilight" w:hAnsi="Malgun Gothic Semilight" w:eastAsia="Malgun Gothic Semilight" w:cs="Malgun Gothic Semilight"/>
                <w:sz w:val="24"/>
                <w:szCs w:val="24"/>
              </w:rPr>
            </w:pPr>
            <w:r>
              <w:rPr>
                <w:rFonts w:hint="eastAsia" w:ascii="Malgun Gothic Semilight" w:hAnsi="Malgun Gothic Semilight" w:eastAsia="Malgun Gothic Semilight" w:cs="Malgun Gothic Semilight"/>
                <w:sz w:val="24"/>
                <w:szCs w:val="24"/>
              </w:rPr>
              <w:t>√</w:t>
            </w:r>
          </w:p>
        </w:tc>
        <w:tc>
          <w:tcPr>
            <w:tcW w:w="803"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53"/>
              <w:jc w:val="center"/>
              <w:rPr>
                <w:rFonts w:ascii="Times New Roman" w:hAnsi="Times New Roman"/>
                <w:kern w:val="0"/>
                <w:sz w:val="24"/>
                <w:szCs w:val="24"/>
              </w:rPr>
            </w:pPr>
          </w:p>
        </w:tc>
        <w:tc>
          <w:tcPr>
            <w:tcW w:w="803" w:type="dxa"/>
            <w:tcBorders>
              <w:top w:val="single" w:color="000000" w:sz="4" w:space="0"/>
              <w:left w:val="single" w:color="000000" w:sz="4" w:space="0"/>
              <w:bottom w:val="single" w:color="000000" w:sz="4" w:space="0"/>
              <w:right w:val="single" w:color="auto" w:sz="4" w:space="0"/>
            </w:tcBorders>
            <w:vAlign w:val="center"/>
          </w:tcPr>
          <w:p>
            <w:pPr>
              <w:widowControl/>
              <w:spacing w:line="259" w:lineRule="auto"/>
              <w:ind w:left="53"/>
              <w:jc w:val="center"/>
              <w:rPr>
                <w:rFonts w:ascii="Times New Roman" w:hAnsi="Times New Roman"/>
                <w:kern w:val="0"/>
                <w:sz w:val="20"/>
                <w:szCs w:val="20"/>
              </w:rPr>
            </w:pPr>
          </w:p>
        </w:tc>
        <w:tc>
          <w:tcPr>
            <w:tcW w:w="1134" w:type="dxa"/>
            <w:vMerge w:val="continue"/>
            <w:tcBorders>
              <w:left w:val="single" w:color="auto" w:sz="4" w:space="0"/>
              <w:right w:val="single" w:color="auto" w:sz="4" w:space="0"/>
            </w:tcBorders>
            <w:vAlign w:val="center"/>
          </w:tcPr>
          <w:p>
            <w:pPr>
              <w:widowControl/>
              <w:spacing w:line="259" w:lineRule="auto"/>
              <w:ind w:left="52"/>
              <w:jc w:val="center"/>
              <w:rPr>
                <w:rFonts w:ascii="宋体" w:cs="宋体"/>
                <w:kern w:val="0"/>
                <w:sz w:val="20"/>
                <w:szCs w:val="20"/>
              </w:rPr>
            </w:pPr>
          </w:p>
        </w:tc>
      </w:tr>
      <w:tr>
        <w:tblPrEx>
          <w:tblCellMar>
            <w:top w:w="0" w:type="dxa"/>
            <w:left w:w="0" w:type="dxa"/>
            <w:bottom w:w="0" w:type="dxa"/>
            <w:right w:w="5" w:type="dxa"/>
          </w:tblCellMar>
        </w:tblPrEx>
        <w:trPr>
          <w:trHeight w:val="466" w:hRule="atLeast"/>
        </w:trPr>
        <w:tc>
          <w:tcPr>
            <w:tcW w:w="670"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202"/>
              <w:jc w:val="center"/>
              <w:rPr>
                <w:rFonts w:ascii="Times New Roman" w:hAnsi="Times New Roman"/>
                <w:kern w:val="0"/>
                <w:sz w:val="20"/>
                <w:szCs w:val="20"/>
              </w:rPr>
            </w:pPr>
            <w:r>
              <w:rPr>
                <w:rFonts w:ascii="Times New Roman" w:hAnsi="Times New Roman"/>
                <w:kern w:val="0"/>
                <w:sz w:val="20"/>
                <w:szCs w:val="20"/>
              </w:rPr>
              <w:t>25</w:t>
            </w:r>
          </w:p>
        </w:tc>
        <w:tc>
          <w:tcPr>
            <w:tcW w:w="1854" w:type="dxa"/>
            <w:tcBorders>
              <w:top w:val="single" w:color="000000" w:sz="4" w:space="0"/>
              <w:left w:val="single" w:color="000000" w:sz="4" w:space="0"/>
              <w:bottom w:val="single" w:color="000000" w:sz="4" w:space="0"/>
              <w:right w:val="single" w:color="000000" w:sz="4" w:space="0"/>
            </w:tcBorders>
            <w:vAlign w:val="center"/>
          </w:tcPr>
          <w:p>
            <w:pPr>
              <w:jc w:val="center"/>
              <w:rPr>
                <w:rFonts w:ascii="Times New Roman" w:hAnsi="Times New Roman"/>
                <w:kern w:val="0"/>
                <w:sz w:val="20"/>
                <w:szCs w:val="20"/>
              </w:rPr>
            </w:pPr>
            <w:r>
              <w:rPr>
                <w:rFonts w:hint="eastAsia" w:ascii="Times New Roman" w:hAnsi="Times New Roman"/>
                <w:kern w:val="0"/>
                <w:sz w:val="20"/>
                <w:szCs w:val="20"/>
              </w:rPr>
              <w:t>空港大道片区</w:t>
            </w:r>
          </w:p>
        </w:tc>
        <w:tc>
          <w:tcPr>
            <w:tcW w:w="4809" w:type="dxa"/>
            <w:tcBorders>
              <w:top w:val="single" w:color="000000" w:sz="4" w:space="0"/>
              <w:left w:val="single" w:color="000000" w:sz="4" w:space="0"/>
              <w:bottom w:val="single" w:color="000000" w:sz="4" w:space="0"/>
              <w:right w:val="single" w:color="000000" w:sz="4" w:space="0"/>
            </w:tcBorders>
            <w:vAlign w:val="center"/>
          </w:tcPr>
          <w:p>
            <w:pPr>
              <w:jc w:val="center"/>
              <w:rPr>
                <w:rFonts w:ascii="Times New Roman" w:hAnsi="Times New Roman"/>
                <w:kern w:val="0"/>
                <w:sz w:val="20"/>
                <w:szCs w:val="20"/>
              </w:rPr>
            </w:pPr>
            <w:r>
              <w:rPr>
                <w:rFonts w:hint="eastAsia" w:ascii="Times New Roman" w:hAnsi="Times New Roman"/>
                <w:kern w:val="0"/>
                <w:sz w:val="20"/>
                <w:szCs w:val="20"/>
              </w:rPr>
              <w:t>管网建设</w:t>
            </w:r>
            <w:r>
              <w:rPr>
                <w:rFonts w:ascii="Times New Roman" w:hAnsi="Times New Roman"/>
                <w:kern w:val="0"/>
                <w:sz w:val="20"/>
                <w:szCs w:val="20"/>
              </w:rPr>
              <w:t>0.78 km</w:t>
            </w:r>
          </w:p>
        </w:tc>
        <w:tc>
          <w:tcPr>
            <w:tcW w:w="1417" w:type="dxa"/>
            <w:tcBorders>
              <w:top w:val="single" w:color="000000" w:sz="4" w:space="0"/>
              <w:left w:val="single" w:color="000000" w:sz="4" w:space="0"/>
              <w:bottom w:val="single" w:color="000000" w:sz="4" w:space="0"/>
              <w:right w:val="single" w:color="000000" w:sz="4" w:space="0"/>
            </w:tcBorders>
            <w:vAlign w:val="center"/>
          </w:tcPr>
          <w:p>
            <w:pPr>
              <w:jc w:val="center"/>
              <w:rPr>
                <w:rFonts w:ascii="Times New Roman" w:hAnsi="Times New Roman"/>
                <w:kern w:val="0"/>
                <w:sz w:val="20"/>
                <w:szCs w:val="20"/>
              </w:rPr>
            </w:pPr>
            <w:r>
              <w:rPr>
                <w:rFonts w:ascii="Times New Roman" w:hAnsi="Times New Roman"/>
                <w:kern w:val="0"/>
                <w:sz w:val="20"/>
                <w:szCs w:val="20"/>
              </w:rPr>
              <w:t>2023</w:t>
            </w:r>
            <w:r>
              <w:rPr>
                <w:rFonts w:hint="eastAsia" w:ascii="Times New Roman" w:hAnsi="Times New Roman"/>
                <w:kern w:val="0"/>
                <w:sz w:val="20"/>
                <w:szCs w:val="20"/>
              </w:rPr>
              <w:t>年</w:t>
            </w:r>
          </w:p>
        </w:tc>
        <w:tc>
          <w:tcPr>
            <w:tcW w:w="1276" w:type="dxa"/>
            <w:tcBorders>
              <w:top w:val="single" w:color="000000" w:sz="4" w:space="0"/>
              <w:left w:val="single" w:color="000000" w:sz="4" w:space="0"/>
              <w:bottom w:val="single" w:color="000000" w:sz="4" w:space="0"/>
              <w:right w:val="single" w:color="000000" w:sz="4" w:space="0"/>
            </w:tcBorders>
            <w:vAlign w:val="center"/>
          </w:tcPr>
          <w:p>
            <w:pPr>
              <w:jc w:val="center"/>
              <w:rPr>
                <w:rFonts w:ascii="Times New Roman" w:hAnsi="Times New Roman"/>
                <w:kern w:val="0"/>
                <w:sz w:val="20"/>
                <w:szCs w:val="20"/>
              </w:rPr>
            </w:pPr>
            <w:r>
              <w:rPr>
                <w:rFonts w:hint="eastAsia" w:ascii="Times New Roman" w:hAnsi="Times New Roman"/>
                <w:kern w:val="0"/>
                <w:sz w:val="20"/>
                <w:szCs w:val="20"/>
              </w:rPr>
              <w:t>区城市管理局</w:t>
            </w:r>
          </w:p>
        </w:tc>
        <w:tc>
          <w:tcPr>
            <w:tcW w:w="1276" w:type="dxa"/>
            <w:tcBorders>
              <w:top w:val="single" w:color="000000" w:sz="4" w:space="0"/>
              <w:left w:val="single" w:color="000000" w:sz="4" w:space="0"/>
              <w:bottom w:val="single" w:color="000000" w:sz="4" w:space="0"/>
              <w:right w:val="single" w:color="000000" w:sz="4" w:space="0"/>
            </w:tcBorders>
            <w:vAlign w:val="center"/>
          </w:tcPr>
          <w:p>
            <w:pPr>
              <w:jc w:val="center"/>
              <w:rPr>
                <w:rFonts w:ascii="Times New Roman" w:hAnsi="Times New Roman"/>
                <w:kern w:val="0"/>
                <w:sz w:val="20"/>
                <w:szCs w:val="20"/>
              </w:rPr>
            </w:pPr>
            <w:r>
              <w:rPr>
                <w:rFonts w:ascii="Times New Roman" w:hAnsi="Times New Roman"/>
                <w:kern w:val="0"/>
                <w:sz w:val="20"/>
                <w:szCs w:val="20"/>
              </w:rPr>
              <w:t>234</w:t>
            </w:r>
          </w:p>
        </w:tc>
        <w:tc>
          <w:tcPr>
            <w:tcW w:w="803" w:type="dxa"/>
            <w:tcBorders>
              <w:top w:val="single" w:color="000000" w:sz="4" w:space="0"/>
              <w:left w:val="single" w:color="000000" w:sz="4" w:space="0"/>
              <w:bottom w:val="single" w:color="000000" w:sz="4" w:space="0"/>
              <w:right w:val="single" w:color="000000" w:sz="4" w:space="0"/>
            </w:tcBorders>
          </w:tcPr>
          <w:p>
            <w:pPr>
              <w:widowControl/>
              <w:spacing w:line="259" w:lineRule="auto"/>
              <w:ind w:left="53"/>
              <w:jc w:val="center"/>
              <w:rPr>
                <w:rFonts w:ascii="Malgun Gothic Semilight" w:hAnsi="Malgun Gothic Semilight" w:eastAsia="Malgun Gothic Semilight" w:cs="Malgun Gothic Semilight"/>
                <w:sz w:val="24"/>
                <w:szCs w:val="24"/>
              </w:rPr>
            </w:pPr>
            <w:r>
              <w:rPr>
                <w:rFonts w:hint="eastAsia" w:ascii="Malgun Gothic Semilight" w:hAnsi="Malgun Gothic Semilight" w:eastAsia="Malgun Gothic Semilight" w:cs="Malgun Gothic Semilight"/>
                <w:sz w:val="24"/>
                <w:szCs w:val="24"/>
              </w:rPr>
              <w:t>√</w:t>
            </w:r>
          </w:p>
        </w:tc>
        <w:tc>
          <w:tcPr>
            <w:tcW w:w="803"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53"/>
              <w:jc w:val="center"/>
              <w:rPr>
                <w:rFonts w:ascii="Times New Roman" w:hAnsi="Times New Roman"/>
                <w:kern w:val="0"/>
                <w:sz w:val="24"/>
                <w:szCs w:val="24"/>
              </w:rPr>
            </w:pPr>
          </w:p>
        </w:tc>
        <w:tc>
          <w:tcPr>
            <w:tcW w:w="803" w:type="dxa"/>
            <w:tcBorders>
              <w:top w:val="single" w:color="000000" w:sz="4" w:space="0"/>
              <w:left w:val="single" w:color="000000" w:sz="4" w:space="0"/>
              <w:bottom w:val="single" w:color="000000" w:sz="4" w:space="0"/>
              <w:right w:val="single" w:color="auto" w:sz="4" w:space="0"/>
            </w:tcBorders>
            <w:vAlign w:val="center"/>
          </w:tcPr>
          <w:p>
            <w:pPr>
              <w:widowControl/>
              <w:spacing w:line="259" w:lineRule="auto"/>
              <w:ind w:left="53"/>
              <w:jc w:val="center"/>
              <w:rPr>
                <w:rFonts w:ascii="Times New Roman" w:hAnsi="Times New Roman"/>
                <w:kern w:val="0"/>
                <w:sz w:val="20"/>
                <w:szCs w:val="20"/>
              </w:rPr>
            </w:pPr>
          </w:p>
        </w:tc>
        <w:tc>
          <w:tcPr>
            <w:tcW w:w="1134" w:type="dxa"/>
            <w:vMerge w:val="continue"/>
            <w:tcBorders>
              <w:left w:val="single" w:color="auto" w:sz="4" w:space="0"/>
              <w:right w:val="single" w:color="auto" w:sz="4" w:space="0"/>
            </w:tcBorders>
            <w:vAlign w:val="center"/>
          </w:tcPr>
          <w:p>
            <w:pPr>
              <w:widowControl/>
              <w:spacing w:line="259" w:lineRule="auto"/>
              <w:ind w:left="52"/>
              <w:jc w:val="center"/>
              <w:rPr>
                <w:rFonts w:ascii="宋体" w:cs="宋体"/>
                <w:kern w:val="0"/>
                <w:sz w:val="20"/>
                <w:szCs w:val="20"/>
              </w:rPr>
            </w:pPr>
          </w:p>
        </w:tc>
      </w:tr>
      <w:tr>
        <w:tblPrEx>
          <w:tblCellMar>
            <w:top w:w="0" w:type="dxa"/>
            <w:left w:w="0" w:type="dxa"/>
            <w:bottom w:w="0" w:type="dxa"/>
            <w:right w:w="5" w:type="dxa"/>
          </w:tblCellMar>
        </w:tblPrEx>
        <w:trPr>
          <w:trHeight w:val="466" w:hRule="atLeast"/>
        </w:trPr>
        <w:tc>
          <w:tcPr>
            <w:tcW w:w="670"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202"/>
              <w:jc w:val="center"/>
              <w:rPr>
                <w:rFonts w:ascii="Times New Roman" w:hAnsi="Times New Roman"/>
                <w:kern w:val="0"/>
                <w:sz w:val="20"/>
                <w:szCs w:val="20"/>
              </w:rPr>
            </w:pPr>
            <w:r>
              <w:rPr>
                <w:rFonts w:ascii="Times New Roman" w:hAnsi="Times New Roman"/>
                <w:kern w:val="0"/>
                <w:sz w:val="20"/>
                <w:szCs w:val="20"/>
              </w:rPr>
              <w:t>26</w:t>
            </w:r>
          </w:p>
        </w:tc>
        <w:tc>
          <w:tcPr>
            <w:tcW w:w="1854" w:type="dxa"/>
            <w:tcBorders>
              <w:top w:val="single" w:color="000000" w:sz="4" w:space="0"/>
              <w:left w:val="single" w:color="000000" w:sz="4" w:space="0"/>
              <w:bottom w:val="single" w:color="000000" w:sz="4" w:space="0"/>
              <w:right w:val="single" w:color="000000" w:sz="4" w:space="0"/>
            </w:tcBorders>
            <w:vAlign w:val="center"/>
          </w:tcPr>
          <w:p>
            <w:pPr>
              <w:jc w:val="center"/>
              <w:rPr>
                <w:rFonts w:ascii="Times New Roman" w:hAnsi="Times New Roman"/>
                <w:kern w:val="0"/>
                <w:sz w:val="20"/>
                <w:szCs w:val="20"/>
              </w:rPr>
            </w:pPr>
            <w:r>
              <w:rPr>
                <w:rFonts w:hint="eastAsia" w:ascii="Times New Roman" w:hAnsi="Times New Roman"/>
                <w:kern w:val="0"/>
                <w:sz w:val="20"/>
                <w:szCs w:val="20"/>
              </w:rPr>
              <w:t>空港长翔路</w:t>
            </w:r>
            <w:r>
              <w:rPr>
                <w:rFonts w:ascii="Times New Roman" w:hAnsi="Times New Roman"/>
                <w:kern w:val="0"/>
                <w:sz w:val="20"/>
                <w:szCs w:val="20"/>
              </w:rPr>
              <w:t xml:space="preserve"> DN200</w:t>
            </w:r>
          </w:p>
        </w:tc>
        <w:tc>
          <w:tcPr>
            <w:tcW w:w="4809" w:type="dxa"/>
            <w:tcBorders>
              <w:top w:val="single" w:color="000000" w:sz="4" w:space="0"/>
              <w:left w:val="single" w:color="000000" w:sz="4" w:space="0"/>
              <w:bottom w:val="single" w:color="000000" w:sz="4" w:space="0"/>
              <w:right w:val="single" w:color="000000" w:sz="4" w:space="0"/>
            </w:tcBorders>
            <w:vAlign w:val="center"/>
          </w:tcPr>
          <w:p>
            <w:pPr>
              <w:jc w:val="center"/>
              <w:rPr>
                <w:rFonts w:ascii="Times New Roman" w:hAnsi="Times New Roman"/>
                <w:kern w:val="0"/>
                <w:sz w:val="20"/>
                <w:szCs w:val="20"/>
              </w:rPr>
            </w:pPr>
            <w:r>
              <w:rPr>
                <w:rFonts w:hint="eastAsia" w:ascii="Times New Roman" w:hAnsi="Times New Roman"/>
                <w:kern w:val="0"/>
                <w:sz w:val="20"/>
                <w:szCs w:val="20"/>
              </w:rPr>
              <w:t>管网建设</w:t>
            </w:r>
            <w:r>
              <w:rPr>
                <w:rFonts w:ascii="Times New Roman" w:hAnsi="Times New Roman"/>
                <w:kern w:val="0"/>
                <w:sz w:val="20"/>
                <w:szCs w:val="20"/>
              </w:rPr>
              <w:t>0.67 km</w:t>
            </w:r>
          </w:p>
        </w:tc>
        <w:tc>
          <w:tcPr>
            <w:tcW w:w="1417" w:type="dxa"/>
            <w:tcBorders>
              <w:top w:val="single" w:color="000000" w:sz="4" w:space="0"/>
              <w:left w:val="single" w:color="000000" w:sz="4" w:space="0"/>
              <w:bottom w:val="single" w:color="000000" w:sz="4" w:space="0"/>
              <w:right w:val="single" w:color="000000" w:sz="4" w:space="0"/>
            </w:tcBorders>
            <w:vAlign w:val="center"/>
          </w:tcPr>
          <w:p>
            <w:pPr>
              <w:jc w:val="center"/>
              <w:rPr>
                <w:rFonts w:ascii="Times New Roman" w:hAnsi="Times New Roman"/>
                <w:kern w:val="0"/>
                <w:sz w:val="20"/>
                <w:szCs w:val="20"/>
              </w:rPr>
            </w:pPr>
            <w:r>
              <w:rPr>
                <w:rFonts w:ascii="Times New Roman" w:hAnsi="Times New Roman"/>
                <w:kern w:val="0"/>
                <w:sz w:val="20"/>
                <w:szCs w:val="20"/>
              </w:rPr>
              <w:t>2023</w:t>
            </w:r>
            <w:r>
              <w:rPr>
                <w:rFonts w:hint="eastAsia" w:ascii="Times New Roman" w:hAnsi="Times New Roman"/>
                <w:kern w:val="0"/>
                <w:sz w:val="20"/>
                <w:szCs w:val="20"/>
              </w:rPr>
              <w:t>年</w:t>
            </w:r>
          </w:p>
        </w:tc>
        <w:tc>
          <w:tcPr>
            <w:tcW w:w="1276" w:type="dxa"/>
            <w:tcBorders>
              <w:top w:val="single" w:color="000000" w:sz="4" w:space="0"/>
              <w:left w:val="single" w:color="000000" w:sz="4" w:space="0"/>
              <w:bottom w:val="single" w:color="000000" w:sz="4" w:space="0"/>
              <w:right w:val="single" w:color="000000" w:sz="4" w:space="0"/>
            </w:tcBorders>
            <w:vAlign w:val="center"/>
          </w:tcPr>
          <w:p>
            <w:pPr>
              <w:jc w:val="center"/>
              <w:rPr>
                <w:rFonts w:ascii="Times New Roman" w:hAnsi="Times New Roman"/>
                <w:kern w:val="0"/>
                <w:sz w:val="20"/>
                <w:szCs w:val="20"/>
              </w:rPr>
            </w:pPr>
            <w:r>
              <w:rPr>
                <w:rFonts w:hint="eastAsia" w:ascii="Times New Roman" w:hAnsi="Times New Roman"/>
                <w:kern w:val="0"/>
                <w:sz w:val="20"/>
                <w:szCs w:val="20"/>
              </w:rPr>
              <w:t>区城市管理局</w:t>
            </w:r>
          </w:p>
        </w:tc>
        <w:tc>
          <w:tcPr>
            <w:tcW w:w="1276" w:type="dxa"/>
            <w:tcBorders>
              <w:top w:val="single" w:color="000000" w:sz="4" w:space="0"/>
              <w:left w:val="single" w:color="000000" w:sz="4" w:space="0"/>
              <w:bottom w:val="single" w:color="000000" w:sz="4" w:space="0"/>
              <w:right w:val="single" w:color="000000" w:sz="4" w:space="0"/>
            </w:tcBorders>
            <w:vAlign w:val="center"/>
          </w:tcPr>
          <w:p>
            <w:pPr>
              <w:jc w:val="center"/>
              <w:rPr>
                <w:rFonts w:ascii="Times New Roman" w:hAnsi="Times New Roman"/>
                <w:kern w:val="0"/>
                <w:sz w:val="20"/>
                <w:szCs w:val="20"/>
              </w:rPr>
            </w:pPr>
            <w:r>
              <w:rPr>
                <w:rFonts w:ascii="Times New Roman" w:hAnsi="Times New Roman"/>
                <w:kern w:val="0"/>
                <w:sz w:val="20"/>
                <w:szCs w:val="20"/>
              </w:rPr>
              <w:t>201</w:t>
            </w:r>
          </w:p>
        </w:tc>
        <w:tc>
          <w:tcPr>
            <w:tcW w:w="803" w:type="dxa"/>
            <w:tcBorders>
              <w:top w:val="single" w:color="000000" w:sz="4" w:space="0"/>
              <w:left w:val="single" w:color="000000" w:sz="4" w:space="0"/>
              <w:bottom w:val="single" w:color="000000" w:sz="4" w:space="0"/>
              <w:right w:val="single" w:color="000000" w:sz="4" w:space="0"/>
            </w:tcBorders>
          </w:tcPr>
          <w:p>
            <w:pPr>
              <w:widowControl/>
              <w:spacing w:line="259" w:lineRule="auto"/>
              <w:ind w:left="53"/>
              <w:jc w:val="center"/>
              <w:rPr>
                <w:rFonts w:ascii="Malgun Gothic Semilight" w:hAnsi="Malgun Gothic Semilight" w:eastAsia="Malgun Gothic Semilight" w:cs="Malgun Gothic Semilight"/>
                <w:sz w:val="24"/>
                <w:szCs w:val="24"/>
              </w:rPr>
            </w:pPr>
            <w:r>
              <w:rPr>
                <w:rFonts w:hint="eastAsia" w:ascii="Malgun Gothic Semilight" w:hAnsi="Malgun Gothic Semilight" w:eastAsia="Malgun Gothic Semilight" w:cs="Malgun Gothic Semilight"/>
                <w:sz w:val="24"/>
                <w:szCs w:val="24"/>
              </w:rPr>
              <w:t>√</w:t>
            </w:r>
          </w:p>
        </w:tc>
        <w:tc>
          <w:tcPr>
            <w:tcW w:w="803"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53"/>
              <w:jc w:val="center"/>
              <w:rPr>
                <w:rFonts w:ascii="Times New Roman" w:hAnsi="Times New Roman"/>
                <w:kern w:val="0"/>
                <w:sz w:val="24"/>
                <w:szCs w:val="24"/>
              </w:rPr>
            </w:pPr>
          </w:p>
        </w:tc>
        <w:tc>
          <w:tcPr>
            <w:tcW w:w="803" w:type="dxa"/>
            <w:tcBorders>
              <w:top w:val="single" w:color="000000" w:sz="4" w:space="0"/>
              <w:left w:val="single" w:color="000000" w:sz="4" w:space="0"/>
              <w:bottom w:val="single" w:color="000000" w:sz="4" w:space="0"/>
              <w:right w:val="single" w:color="auto" w:sz="4" w:space="0"/>
            </w:tcBorders>
            <w:vAlign w:val="center"/>
          </w:tcPr>
          <w:p>
            <w:pPr>
              <w:widowControl/>
              <w:spacing w:line="259" w:lineRule="auto"/>
              <w:ind w:left="53"/>
              <w:jc w:val="center"/>
              <w:rPr>
                <w:rFonts w:ascii="Times New Roman" w:hAnsi="Times New Roman"/>
                <w:kern w:val="0"/>
                <w:sz w:val="20"/>
                <w:szCs w:val="20"/>
              </w:rPr>
            </w:pPr>
          </w:p>
        </w:tc>
        <w:tc>
          <w:tcPr>
            <w:tcW w:w="1134" w:type="dxa"/>
            <w:vMerge w:val="continue"/>
            <w:tcBorders>
              <w:left w:val="single" w:color="auto" w:sz="4" w:space="0"/>
              <w:right w:val="single" w:color="auto" w:sz="4" w:space="0"/>
            </w:tcBorders>
            <w:vAlign w:val="center"/>
          </w:tcPr>
          <w:p>
            <w:pPr>
              <w:widowControl/>
              <w:spacing w:line="259" w:lineRule="auto"/>
              <w:ind w:left="52"/>
              <w:jc w:val="center"/>
              <w:rPr>
                <w:rFonts w:ascii="宋体" w:cs="宋体"/>
                <w:kern w:val="0"/>
                <w:sz w:val="20"/>
                <w:szCs w:val="20"/>
              </w:rPr>
            </w:pPr>
          </w:p>
        </w:tc>
      </w:tr>
      <w:tr>
        <w:tblPrEx>
          <w:tblCellMar>
            <w:top w:w="0" w:type="dxa"/>
            <w:left w:w="0" w:type="dxa"/>
            <w:bottom w:w="0" w:type="dxa"/>
            <w:right w:w="5" w:type="dxa"/>
          </w:tblCellMar>
        </w:tblPrEx>
        <w:trPr>
          <w:trHeight w:val="466" w:hRule="atLeast"/>
        </w:trPr>
        <w:tc>
          <w:tcPr>
            <w:tcW w:w="670"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202"/>
              <w:jc w:val="center"/>
              <w:rPr>
                <w:rFonts w:ascii="Times New Roman" w:hAnsi="Times New Roman"/>
                <w:kern w:val="0"/>
                <w:sz w:val="20"/>
                <w:szCs w:val="20"/>
              </w:rPr>
            </w:pPr>
            <w:r>
              <w:rPr>
                <w:rFonts w:ascii="Times New Roman" w:hAnsi="Times New Roman"/>
                <w:kern w:val="0"/>
                <w:sz w:val="20"/>
                <w:szCs w:val="20"/>
              </w:rPr>
              <w:t>27</w:t>
            </w:r>
          </w:p>
        </w:tc>
        <w:tc>
          <w:tcPr>
            <w:tcW w:w="1854" w:type="dxa"/>
            <w:tcBorders>
              <w:top w:val="single" w:color="000000" w:sz="4" w:space="0"/>
              <w:left w:val="single" w:color="000000" w:sz="4" w:space="0"/>
              <w:bottom w:val="single" w:color="000000" w:sz="4" w:space="0"/>
              <w:right w:val="single" w:color="000000" w:sz="4" w:space="0"/>
            </w:tcBorders>
            <w:vAlign w:val="center"/>
          </w:tcPr>
          <w:p>
            <w:pPr>
              <w:jc w:val="center"/>
              <w:rPr>
                <w:rFonts w:ascii="Times New Roman" w:hAnsi="Times New Roman"/>
                <w:kern w:val="0"/>
                <w:sz w:val="20"/>
                <w:szCs w:val="20"/>
              </w:rPr>
            </w:pPr>
            <w:r>
              <w:rPr>
                <w:rFonts w:hint="eastAsia" w:ascii="Times New Roman" w:hAnsi="Times New Roman"/>
                <w:kern w:val="0"/>
                <w:sz w:val="20"/>
                <w:szCs w:val="20"/>
              </w:rPr>
              <w:t>龙吉街路口至两路段</w:t>
            </w:r>
            <w:r>
              <w:rPr>
                <w:rFonts w:ascii="Times New Roman" w:hAnsi="Times New Roman"/>
                <w:kern w:val="0"/>
                <w:sz w:val="20"/>
                <w:szCs w:val="20"/>
              </w:rPr>
              <w:t xml:space="preserve"> DN200</w:t>
            </w:r>
          </w:p>
        </w:tc>
        <w:tc>
          <w:tcPr>
            <w:tcW w:w="4809" w:type="dxa"/>
            <w:tcBorders>
              <w:top w:val="single" w:color="000000" w:sz="4" w:space="0"/>
              <w:left w:val="single" w:color="000000" w:sz="4" w:space="0"/>
              <w:bottom w:val="single" w:color="000000" w:sz="4" w:space="0"/>
              <w:right w:val="single" w:color="000000" w:sz="4" w:space="0"/>
            </w:tcBorders>
            <w:vAlign w:val="center"/>
          </w:tcPr>
          <w:p>
            <w:pPr>
              <w:jc w:val="center"/>
              <w:rPr>
                <w:rFonts w:ascii="Times New Roman" w:hAnsi="Times New Roman"/>
                <w:kern w:val="0"/>
                <w:sz w:val="20"/>
                <w:szCs w:val="20"/>
              </w:rPr>
            </w:pPr>
            <w:r>
              <w:rPr>
                <w:rFonts w:hint="eastAsia" w:ascii="Times New Roman" w:hAnsi="Times New Roman"/>
                <w:kern w:val="0"/>
                <w:sz w:val="20"/>
                <w:szCs w:val="20"/>
              </w:rPr>
              <w:t>管网建设</w:t>
            </w:r>
            <w:r>
              <w:rPr>
                <w:rFonts w:ascii="Times New Roman" w:hAnsi="Times New Roman"/>
                <w:kern w:val="0"/>
                <w:sz w:val="20"/>
                <w:szCs w:val="20"/>
              </w:rPr>
              <w:t>0.41 km</w:t>
            </w:r>
          </w:p>
        </w:tc>
        <w:tc>
          <w:tcPr>
            <w:tcW w:w="1417" w:type="dxa"/>
            <w:tcBorders>
              <w:top w:val="single" w:color="000000" w:sz="4" w:space="0"/>
              <w:left w:val="single" w:color="000000" w:sz="4" w:space="0"/>
              <w:bottom w:val="single" w:color="000000" w:sz="4" w:space="0"/>
              <w:right w:val="single" w:color="000000" w:sz="4" w:space="0"/>
            </w:tcBorders>
            <w:vAlign w:val="center"/>
          </w:tcPr>
          <w:p>
            <w:pPr>
              <w:jc w:val="center"/>
              <w:rPr>
                <w:rFonts w:ascii="Times New Roman" w:hAnsi="Times New Roman"/>
                <w:kern w:val="0"/>
                <w:sz w:val="20"/>
                <w:szCs w:val="20"/>
              </w:rPr>
            </w:pPr>
            <w:r>
              <w:rPr>
                <w:rFonts w:ascii="Times New Roman" w:hAnsi="Times New Roman"/>
                <w:kern w:val="0"/>
                <w:sz w:val="20"/>
                <w:szCs w:val="20"/>
              </w:rPr>
              <w:t>2023</w:t>
            </w:r>
            <w:r>
              <w:rPr>
                <w:rFonts w:hint="eastAsia" w:ascii="Times New Roman" w:hAnsi="Times New Roman"/>
                <w:kern w:val="0"/>
                <w:sz w:val="20"/>
                <w:szCs w:val="20"/>
              </w:rPr>
              <w:t>年</w:t>
            </w:r>
          </w:p>
        </w:tc>
        <w:tc>
          <w:tcPr>
            <w:tcW w:w="1276" w:type="dxa"/>
            <w:tcBorders>
              <w:top w:val="single" w:color="000000" w:sz="4" w:space="0"/>
              <w:left w:val="single" w:color="000000" w:sz="4" w:space="0"/>
              <w:bottom w:val="single" w:color="000000" w:sz="4" w:space="0"/>
              <w:right w:val="single" w:color="000000" w:sz="4" w:space="0"/>
            </w:tcBorders>
            <w:vAlign w:val="center"/>
          </w:tcPr>
          <w:p>
            <w:pPr>
              <w:jc w:val="center"/>
              <w:rPr>
                <w:rFonts w:ascii="Times New Roman" w:hAnsi="Times New Roman"/>
                <w:kern w:val="0"/>
                <w:sz w:val="20"/>
                <w:szCs w:val="20"/>
              </w:rPr>
            </w:pPr>
            <w:r>
              <w:rPr>
                <w:rFonts w:hint="eastAsia" w:ascii="Times New Roman" w:hAnsi="Times New Roman"/>
                <w:kern w:val="0"/>
                <w:sz w:val="20"/>
                <w:szCs w:val="20"/>
              </w:rPr>
              <w:t>区城市管理局</w:t>
            </w:r>
          </w:p>
        </w:tc>
        <w:tc>
          <w:tcPr>
            <w:tcW w:w="1276" w:type="dxa"/>
            <w:tcBorders>
              <w:top w:val="single" w:color="000000" w:sz="4" w:space="0"/>
              <w:left w:val="single" w:color="000000" w:sz="4" w:space="0"/>
              <w:bottom w:val="single" w:color="000000" w:sz="4" w:space="0"/>
              <w:right w:val="single" w:color="000000" w:sz="4" w:space="0"/>
            </w:tcBorders>
            <w:vAlign w:val="center"/>
          </w:tcPr>
          <w:p>
            <w:pPr>
              <w:jc w:val="center"/>
              <w:rPr>
                <w:rFonts w:ascii="Times New Roman" w:hAnsi="Times New Roman"/>
                <w:kern w:val="0"/>
                <w:sz w:val="20"/>
                <w:szCs w:val="20"/>
              </w:rPr>
            </w:pPr>
            <w:r>
              <w:rPr>
                <w:rFonts w:ascii="Times New Roman" w:hAnsi="Times New Roman"/>
                <w:kern w:val="0"/>
                <w:sz w:val="20"/>
                <w:szCs w:val="20"/>
              </w:rPr>
              <w:t>123</w:t>
            </w:r>
          </w:p>
        </w:tc>
        <w:tc>
          <w:tcPr>
            <w:tcW w:w="803" w:type="dxa"/>
            <w:tcBorders>
              <w:top w:val="single" w:color="000000" w:sz="4" w:space="0"/>
              <w:left w:val="single" w:color="000000" w:sz="4" w:space="0"/>
              <w:bottom w:val="single" w:color="000000" w:sz="4" w:space="0"/>
              <w:right w:val="single" w:color="000000" w:sz="4" w:space="0"/>
            </w:tcBorders>
          </w:tcPr>
          <w:p>
            <w:pPr>
              <w:widowControl/>
              <w:spacing w:line="259" w:lineRule="auto"/>
              <w:ind w:left="53"/>
              <w:jc w:val="center"/>
              <w:rPr>
                <w:rFonts w:ascii="Malgun Gothic Semilight" w:hAnsi="Malgun Gothic Semilight" w:eastAsia="Malgun Gothic Semilight" w:cs="Malgun Gothic Semilight"/>
                <w:sz w:val="24"/>
                <w:szCs w:val="24"/>
              </w:rPr>
            </w:pPr>
            <w:r>
              <w:rPr>
                <w:rFonts w:hint="eastAsia" w:ascii="Malgun Gothic Semilight" w:hAnsi="Malgun Gothic Semilight" w:eastAsia="Malgun Gothic Semilight" w:cs="Malgun Gothic Semilight"/>
                <w:sz w:val="24"/>
                <w:szCs w:val="24"/>
              </w:rPr>
              <w:t>√</w:t>
            </w:r>
          </w:p>
        </w:tc>
        <w:tc>
          <w:tcPr>
            <w:tcW w:w="803"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53"/>
              <w:jc w:val="center"/>
              <w:rPr>
                <w:rFonts w:ascii="Times New Roman" w:hAnsi="Times New Roman"/>
                <w:kern w:val="0"/>
                <w:sz w:val="24"/>
                <w:szCs w:val="24"/>
              </w:rPr>
            </w:pPr>
          </w:p>
        </w:tc>
        <w:tc>
          <w:tcPr>
            <w:tcW w:w="803" w:type="dxa"/>
            <w:tcBorders>
              <w:top w:val="single" w:color="000000" w:sz="4" w:space="0"/>
              <w:left w:val="single" w:color="000000" w:sz="4" w:space="0"/>
              <w:bottom w:val="single" w:color="000000" w:sz="4" w:space="0"/>
              <w:right w:val="single" w:color="auto" w:sz="4" w:space="0"/>
            </w:tcBorders>
            <w:vAlign w:val="center"/>
          </w:tcPr>
          <w:p>
            <w:pPr>
              <w:widowControl/>
              <w:spacing w:line="259" w:lineRule="auto"/>
              <w:ind w:left="53"/>
              <w:jc w:val="center"/>
              <w:rPr>
                <w:rFonts w:ascii="Times New Roman" w:hAnsi="Times New Roman"/>
                <w:kern w:val="0"/>
                <w:sz w:val="20"/>
                <w:szCs w:val="20"/>
              </w:rPr>
            </w:pPr>
          </w:p>
        </w:tc>
        <w:tc>
          <w:tcPr>
            <w:tcW w:w="1134" w:type="dxa"/>
            <w:vMerge w:val="continue"/>
            <w:tcBorders>
              <w:left w:val="single" w:color="auto" w:sz="4" w:space="0"/>
              <w:bottom w:val="single" w:color="auto" w:sz="4" w:space="0"/>
              <w:right w:val="single" w:color="auto" w:sz="4" w:space="0"/>
            </w:tcBorders>
            <w:vAlign w:val="center"/>
          </w:tcPr>
          <w:p>
            <w:pPr>
              <w:widowControl/>
              <w:spacing w:line="259" w:lineRule="auto"/>
              <w:ind w:left="52"/>
              <w:jc w:val="center"/>
              <w:rPr>
                <w:rFonts w:ascii="宋体" w:cs="宋体"/>
                <w:kern w:val="0"/>
                <w:sz w:val="20"/>
                <w:szCs w:val="20"/>
              </w:rPr>
            </w:pPr>
          </w:p>
        </w:tc>
      </w:tr>
      <w:tr>
        <w:tblPrEx>
          <w:tblCellMar>
            <w:top w:w="0" w:type="dxa"/>
            <w:left w:w="0" w:type="dxa"/>
            <w:bottom w:w="0" w:type="dxa"/>
            <w:right w:w="5" w:type="dxa"/>
          </w:tblCellMar>
        </w:tblPrEx>
        <w:trPr>
          <w:trHeight w:val="466" w:hRule="atLeast"/>
        </w:trPr>
        <w:tc>
          <w:tcPr>
            <w:tcW w:w="2524" w:type="dxa"/>
            <w:gridSpan w:val="2"/>
            <w:tcBorders>
              <w:top w:val="single" w:color="000000" w:sz="4" w:space="0"/>
              <w:left w:val="single" w:color="000000" w:sz="4" w:space="0"/>
              <w:bottom w:val="single" w:color="000000" w:sz="4" w:space="0"/>
              <w:right w:val="single" w:color="000000" w:sz="4" w:space="0"/>
            </w:tcBorders>
            <w:vAlign w:val="center"/>
          </w:tcPr>
          <w:p>
            <w:pPr>
              <w:jc w:val="center"/>
              <w:rPr>
                <w:rFonts w:ascii="Times New Roman" w:hAnsi="Times New Roman"/>
                <w:kern w:val="0"/>
                <w:sz w:val="20"/>
                <w:szCs w:val="20"/>
              </w:rPr>
            </w:pPr>
            <w:r>
              <w:rPr>
                <w:rFonts w:hint="eastAsia" w:ascii="Times New Roman" w:hAnsi="Times New Roman"/>
                <w:kern w:val="0"/>
                <w:sz w:val="20"/>
                <w:szCs w:val="20"/>
              </w:rPr>
              <w:t>合计</w:t>
            </w:r>
          </w:p>
        </w:tc>
        <w:tc>
          <w:tcPr>
            <w:tcW w:w="4809" w:type="dxa"/>
            <w:tcBorders>
              <w:top w:val="single" w:color="000000" w:sz="4" w:space="0"/>
              <w:left w:val="single" w:color="000000" w:sz="4" w:space="0"/>
              <w:bottom w:val="single" w:color="000000" w:sz="4" w:space="0"/>
              <w:right w:val="single" w:color="000000" w:sz="4" w:space="0"/>
            </w:tcBorders>
            <w:vAlign w:val="center"/>
          </w:tcPr>
          <w:p>
            <w:pPr>
              <w:jc w:val="center"/>
              <w:rPr>
                <w:rFonts w:ascii="Times New Roman" w:hAnsi="Times New Roman"/>
                <w:kern w:val="0"/>
                <w:sz w:val="20"/>
                <w:szCs w:val="20"/>
              </w:rPr>
            </w:pPr>
          </w:p>
        </w:tc>
        <w:tc>
          <w:tcPr>
            <w:tcW w:w="1417" w:type="dxa"/>
            <w:tcBorders>
              <w:top w:val="single" w:color="000000" w:sz="4" w:space="0"/>
              <w:left w:val="single" w:color="000000" w:sz="4" w:space="0"/>
              <w:bottom w:val="single" w:color="000000" w:sz="4" w:space="0"/>
              <w:right w:val="single" w:color="000000" w:sz="4" w:space="0"/>
            </w:tcBorders>
            <w:vAlign w:val="center"/>
          </w:tcPr>
          <w:p>
            <w:pPr>
              <w:jc w:val="center"/>
              <w:rPr>
                <w:rFonts w:ascii="Times New Roman" w:hAnsi="Times New Roman"/>
                <w:kern w:val="0"/>
                <w:sz w:val="20"/>
                <w:szCs w:val="20"/>
              </w:rPr>
            </w:pPr>
          </w:p>
        </w:tc>
        <w:tc>
          <w:tcPr>
            <w:tcW w:w="1276" w:type="dxa"/>
            <w:tcBorders>
              <w:top w:val="single" w:color="000000" w:sz="4" w:space="0"/>
              <w:left w:val="single" w:color="000000" w:sz="4" w:space="0"/>
              <w:bottom w:val="single" w:color="000000" w:sz="4" w:space="0"/>
              <w:right w:val="single" w:color="000000" w:sz="4" w:space="0"/>
            </w:tcBorders>
            <w:vAlign w:val="center"/>
          </w:tcPr>
          <w:p>
            <w:pPr>
              <w:jc w:val="center"/>
              <w:rPr>
                <w:rFonts w:ascii="Times New Roman" w:hAnsi="Times New Roman"/>
                <w:kern w:val="0"/>
                <w:sz w:val="20"/>
                <w:szCs w:val="20"/>
              </w:rPr>
            </w:pPr>
          </w:p>
        </w:tc>
        <w:tc>
          <w:tcPr>
            <w:tcW w:w="1276" w:type="dxa"/>
            <w:tcBorders>
              <w:top w:val="single" w:color="000000" w:sz="4" w:space="0"/>
              <w:left w:val="single" w:color="000000" w:sz="4" w:space="0"/>
              <w:bottom w:val="single" w:color="000000" w:sz="4" w:space="0"/>
              <w:right w:val="single" w:color="000000" w:sz="4" w:space="0"/>
            </w:tcBorders>
            <w:vAlign w:val="center"/>
          </w:tcPr>
          <w:p>
            <w:pPr>
              <w:jc w:val="center"/>
              <w:rPr>
                <w:rFonts w:ascii="Times New Roman" w:hAnsi="Times New Roman"/>
                <w:kern w:val="0"/>
                <w:sz w:val="20"/>
                <w:szCs w:val="20"/>
              </w:rPr>
            </w:pPr>
            <w:r>
              <w:rPr>
                <w:rFonts w:ascii="Times New Roman" w:hAnsi="Times New Roman"/>
                <w:kern w:val="0"/>
                <w:sz w:val="20"/>
                <w:szCs w:val="20"/>
              </w:rPr>
              <w:t>10657</w:t>
            </w:r>
          </w:p>
        </w:tc>
        <w:tc>
          <w:tcPr>
            <w:tcW w:w="803" w:type="dxa"/>
            <w:tcBorders>
              <w:top w:val="single" w:color="000000" w:sz="4" w:space="0"/>
              <w:left w:val="single" w:color="000000" w:sz="4" w:space="0"/>
              <w:bottom w:val="single" w:color="000000" w:sz="4" w:space="0"/>
              <w:right w:val="single" w:color="000000" w:sz="4" w:space="0"/>
            </w:tcBorders>
          </w:tcPr>
          <w:p>
            <w:pPr>
              <w:widowControl/>
              <w:spacing w:line="259" w:lineRule="auto"/>
              <w:ind w:left="53"/>
              <w:jc w:val="center"/>
              <w:rPr>
                <w:rFonts w:ascii="Times New Roman" w:hAnsi="Times New Roman" w:eastAsia="Times New Roman"/>
                <w:kern w:val="0"/>
                <w:sz w:val="20"/>
                <w:szCs w:val="20"/>
              </w:rPr>
            </w:pPr>
          </w:p>
        </w:tc>
        <w:tc>
          <w:tcPr>
            <w:tcW w:w="803"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53"/>
              <w:jc w:val="center"/>
              <w:rPr>
                <w:rFonts w:ascii="Times New Roman" w:hAnsi="Times New Roman"/>
                <w:kern w:val="0"/>
                <w:sz w:val="20"/>
                <w:szCs w:val="20"/>
              </w:rPr>
            </w:pPr>
          </w:p>
        </w:tc>
        <w:tc>
          <w:tcPr>
            <w:tcW w:w="803" w:type="dxa"/>
            <w:tcBorders>
              <w:top w:val="single" w:color="000000" w:sz="4" w:space="0"/>
              <w:left w:val="single" w:color="000000" w:sz="4" w:space="0"/>
              <w:bottom w:val="single" w:color="000000" w:sz="4" w:space="0"/>
              <w:right w:val="single" w:color="auto" w:sz="4" w:space="0"/>
            </w:tcBorders>
            <w:vAlign w:val="center"/>
          </w:tcPr>
          <w:p>
            <w:pPr>
              <w:widowControl/>
              <w:spacing w:line="259" w:lineRule="auto"/>
              <w:ind w:left="53"/>
              <w:jc w:val="center"/>
              <w:rPr>
                <w:rFonts w:ascii="Times New Roman" w:hAnsi="Times New Roman"/>
                <w:kern w:val="0"/>
                <w:sz w:val="20"/>
                <w:szCs w:val="20"/>
              </w:rPr>
            </w:pPr>
          </w:p>
        </w:tc>
        <w:tc>
          <w:tcPr>
            <w:tcW w:w="1134" w:type="dxa"/>
            <w:tcBorders>
              <w:left w:val="single" w:color="auto" w:sz="4" w:space="0"/>
              <w:bottom w:val="single" w:color="auto" w:sz="4" w:space="0"/>
              <w:right w:val="single" w:color="auto" w:sz="4" w:space="0"/>
            </w:tcBorders>
            <w:vAlign w:val="center"/>
          </w:tcPr>
          <w:p>
            <w:pPr>
              <w:widowControl/>
              <w:spacing w:line="259" w:lineRule="auto"/>
              <w:ind w:left="52"/>
              <w:jc w:val="center"/>
              <w:rPr>
                <w:rFonts w:ascii="宋体" w:cs="宋体"/>
                <w:kern w:val="0"/>
                <w:sz w:val="20"/>
                <w:szCs w:val="20"/>
              </w:rPr>
            </w:pPr>
          </w:p>
        </w:tc>
      </w:tr>
    </w:tbl>
    <w:p/>
    <w:p/>
    <w:p>
      <w:pPr>
        <w:widowControl/>
        <w:jc w:val="left"/>
        <w:rPr>
          <w:rFonts w:ascii="微软雅黑" w:hAnsi="微软雅黑" w:eastAsia="微软雅黑" w:cs="微软雅黑"/>
          <w:sz w:val="32"/>
        </w:rPr>
      </w:pPr>
      <w:r>
        <w:rPr>
          <w:rFonts w:ascii="微软雅黑" w:hAnsi="微软雅黑" w:eastAsia="微软雅黑" w:cs="微软雅黑"/>
          <w:sz w:val="32"/>
        </w:rPr>
        <w:br w:type="page"/>
      </w:r>
    </w:p>
    <w:p>
      <w:pPr>
        <w:keepNext/>
        <w:keepLines/>
        <w:widowControl/>
        <w:spacing w:line="259" w:lineRule="auto"/>
        <w:ind w:left="10" w:right="9" w:hanging="10"/>
        <w:jc w:val="center"/>
        <w:outlineLvl w:val="2"/>
        <w:rPr>
          <w:rFonts w:ascii="微软雅黑" w:hAnsi="微软雅黑" w:eastAsia="微软雅黑" w:cs="微软雅黑"/>
          <w:sz w:val="32"/>
        </w:rPr>
      </w:pPr>
      <w:bookmarkStart w:id="136" w:name="_Toc90482827"/>
      <w:r>
        <w:rPr>
          <w:rFonts w:hint="eastAsia" w:ascii="微软雅黑" w:hAnsi="微软雅黑" w:eastAsia="微软雅黑" w:cs="微软雅黑"/>
          <w:sz w:val="32"/>
        </w:rPr>
        <w:t>附表</w:t>
      </w:r>
      <w:r>
        <w:rPr>
          <w:rFonts w:ascii="微软雅黑" w:hAnsi="微软雅黑" w:eastAsia="微软雅黑" w:cs="微软雅黑"/>
          <w:sz w:val="32"/>
        </w:rPr>
        <w:t xml:space="preserve"> 2</w:t>
      </w:r>
      <w:r>
        <w:rPr>
          <w:rFonts w:hint="eastAsia" w:ascii="微软雅黑" w:hAnsi="微软雅黑" w:eastAsia="微软雅黑" w:cs="微软雅黑"/>
          <w:sz w:val="32"/>
        </w:rPr>
        <w:t>渝北区“十四五”村镇供水管网改造工程</w:t>
      </w:r>
      <w:bookmarkEnd w:id="136"/>
    </w:p>
    <w:tbl>
      <w:tblPr>
        <w:tblStyle w:val="21"/>
        <w:tblW w:w="13996" w:type="dxa"/>
        <w:tblInd w:w="-108" w:type="dxa"/>
        <w:tblLayout w:type="autofit"/>
        <w:tblCellMar>
          <w:top w:w="0" w:type="dxa"/>
          <w:left w:w="0" w:type="dxa"/>
          <w:bottom w:w="0" w:type="dxa"/>
          <w:right w:w="5" w:type="dxa"/>
        </w:tblCellMar>
      </w:tblPr>
      <w:tblGrid>
        <w:gridCol w:w="670"/>
        <w:gridCol w:w="709"/>
        <w:gridCol w:w="1559"/>
        <w:gridCol w:w="851"/>
        <w:gridCol w:w="4678"/>
        <w:gridCol w:w="850"/>
        <w:gridCol w:w="851"/>
        <w:gridCol w:w="709"/>
        <w:gridCol w:w="709"/>
        <w:gridCol w:w="709"/>
        <w:gridCol w:w="708"/>
        <w:gridCol w:w="993"/>
      </w:tblGrid>
      <w:tr>
        <w:tblPrEx>
          <w:tblCellMar>
            <w:top w:w="0" w:type="dxa"/>
            <w:left w:w="0" w:type="dxa"/>
            <w:bottom w:w="0" w:type="dxa"/>
            <w:right w:w="5" w:type="dxa"/>
          </w:tblCellMar>
        </w:tblPrEx>
        <w:trPr>
          <w:trHeight w:val="463" w:hRule="atLeast"/>
        </w:trPr>
        <w:tc>
          <w:tcPr>
            <w:tcW w:w="670" w:type="dxa"/>
            <w:vMerge w:val="restart"/>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202"/>
              <w:jc w:val="left"/>
              <w:rPr>
                <w:rFonts w:ascii="Times New Roman" w:hAnsi="Times New Roman" w:eastAsia="Times New Roman"/>
                <w:sz w:val="32"/>
              </w:rPr>
            </w:pPr>
            <w:r>
              <w:rPr>
                <w:rFonts w:hint="eastAsia" w:ascii="Times New Roman" w:hAnsi="Times New Roman"/>
              </w:rPr>
              <w:t>序号</w:t>
            </w:r>
          </w:p>
        </w:tc>
        <w:tc>
          <w:tcPr>
            <w:tcW w:w="709" w:type="dxa"/>
            <w:vMerge w:val="restart"/>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190"/>
              <w:jc w:val="left"/>
              <w:rPr>
                <w:rFonts w:ascii="Times New Roman" w:hAnsi="Times New Roman" w:eastAsia="Times New Roman"/>
                <w:sz w:val="32"/>
              </w:rPr>
            </w:pPr>
            <w:r>
              <w:rPr>
                <w:rFonts w:hint="eastAsia" w:ascii="Times New Roman" w:hAnsi="Times New Roman"/>
              </w:rPr>
              <w:t>项目类别</w:t>
            </w:r>
          </w:p>
        </w:tc>
        <w:tc>
          <w:tcPr>
            <w:tcW w:w="1559" w:type="dxa"/>
            <w:vMerge w:val="restart"/>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192"/>
              <w:jc w:val="center"/>
              <w:rPr>
                <w:rFonts w:ascii="Times New Roman" w:hAnsi="Times New Roman" w:eastAsia="Times New Roman"/>
                <w:sz w:val="32"/>
              </w:rPr>
            </w:pPr>
            <w:r>
              <w:rPr>
                <w:rFonts w:hint="eastAsia" w:ascii="Times New Roman" w:hAnsi="Times New Roman"/>
              </w:rPr>
              <w:t>项目名称</w:t>
            </w:r>
          </w:p>
        </w:tc>
        <w:tc>
          <w:tcPr>
            <w:tcW w:w="851" w:type="dxa"/>
            <w:vMerge w:val="restart"/>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192"/>
              <w:jc w:val="center"/>
              <w:rPr>
                <w:rFonts w:ascii="Times New Roman" w:hAnsi="Times New Roman"/>
              </w:rPr>
            </w:pPr>
            <w:r>
              <w:rPr>
                <w:rFonts w:hint="eastAsia" w:ascii="Times New Roman" w:hAnsi="Times New Roman"/>
              </w:rPr>
              <w:t>项目所在地</w:t>
            </w:r>
          </w:p>
        </w:tc>
        <w:tc>
          <w:tcPr>
            <w:tcW w:w="4678" w:type="dxa"/>
            <w:vMerge w:val="restart"/>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262"/>
              <w:jc w:val="center"/>
              <w:rPr>
                <w:rFonts w:ascii="Times New Roman" w:hAnsi="Times New Roman" w:eastAsia="Times New Roman"/>
                <w:sz w:val="32"/>
              </w:rPr>
            </w:pPr>
            <w:r>
              <w:rPr>
                <w:rFonts w:hint="eastAsia" w:ascii="Times New Roman" w:hAnsi="Times New Roman"/>
              </w:rPr>
              <w:t>主要建设内容</w:t>
            </w:r>
          </w:p>
        </w:tc>
        <w:tc>
          <w:tcPr>
            <w:tcW w:w="850" w:type="dxa"/>
            <w:vMerge w:val="restart"/>
            <w:tcBorders>
              <w:top w:val="single" w:color="000000" w:sz="4" w:space="0"/>
              <w:left w:val="single" w:color="000000" w:sz="4" w:space="0"/>
              <w:bottom w:val="single" w:color="000000" w:sz="4" w:space="0"/>
              <w:right w:val="single" w:color="000000" w:sz="4" w:space="0"/>
            </w:tcBorders>
            <w:vAlign w:val="center"/>
          </w:tcPr>
          <w:p>
            <w:pPr>
              <w:widowControl/>
              <w:spacing w:line="259" w:lineRule="auto"/>
              <w:jc w:val="center"/>
              <w:rPr>
                <w:rFonts w:ascii="Times New Roman" w:hAnsi="Times New Roman" w:eastAsia="Times New Roman"/>
                <w:sz w:val="32"/>
              </w:rPr>
            </w:pPr>
            <w:r>
              <w:rPr>
                <w:rFonts w:hint="eastAsia" w:ascii="Times New Roman" w:hAnsi="Times New Roman"/>
              </w:rPr>
              <w:t>建设时限</w:t>
            </w:r>
          </w:p>
        </w:tc>
        <w:tc>
          <w:tcPr>
            <w:tcW w:w="851" w:type="dxa"/>
            <w:vMerge w:val="restart"/>
            <w:tcBorders>
              <w:top w:val="single" w:color="000000" w:sz="4" w:space="0"/>
              <w:left w:val="single" w:color="000000" w:sz="4" w:space="0"/>
              <w:bottom w:val="single" w:color="000000" w:sz="4" w:space="0"/>
              <w:right w:val="single" w:color="000000" w:sz="4" w:space="0"/>
            </w:tcBorders>
            <w:vAlign w:val="center"/>
          </w:tcPr>
          <w:p>
            <w:pPr>
              <w:widowControl/>
              <w:spacing w:line="259" w:lineRule="auto"/>
              <w:jc w:val="center"/>
              <w:rPr>
                <w:rFonts w:ascii="Times New Roman" w:hAnsi="Times New Roman" w:eastAsia="Times New Roman"/>
                <w:sz w:val="32"/>
              </w:rPr>
            </w:pPr>
            <w:r>
              <w:rPr>
                <w:rFonts w:hint="eastAsia" w:ascii="Times New Roman" w:hAnsi="Times New Roman"/>
              </w:rPr>
              <w:t>负责部门</w:t>
            </w:r>
          </w:p>
        </w:tc>
        <w:tc>
          <w:tcPr>
            <w:tcW w:w="709"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156"/>
              <w:jc w:val="center"/>
              <w:rPr>
                <w:rFonts w:ascii="Times New Roman" w:hAnsi="Times New Roman" w:eastAsia="Times New Roman"/>
                <w:sz w:val="32"/>
              </w:rPr>
            </w:pPr>
            <w:r>
              <w:rPr>
                <w:rFonts w:hint="eastAsia" w:ascii="Times New Roman" w:hAnsi="Times New Roman"/>
              </w:rPr>
              <w:t>总投资</w:t>
            </w:r>
          </w:p>
        </w:tc>
        <w:tc>
          <w:tcPr>
            <w:tcW w:w="2126" w:type="dxa"/>
            <w:gridSpan w:val="3"/>
            <w:tcBorders>
              <w:top w:val="single" w:color="000000" w:sz="4" w:space="0"/>
              <w:left w:val="single" w:color="000000" w:sz="4" w:space="0"/>
              <w:bottom w:val="single" w:color="000000" w:sz="4" w:space="0"/>
              <w:right w:val="single" w:color="000000" w:sz="4" w:space="0"/>
            </w:tcBorders>
            <w:vAlign w:val="center"/>
          </w:tcPr>
          <w:p>
            <w:pPr>
              <w:widowControl/>
              <w:spacing w:after="160" w:line="259" w:lineRule="auto"/>
              <w:jc w:val="center"/>
              <w:rPr>
                <w:rFonts w:ascii="Times New Roman" w:hAnsi="Times New Roman" w:eastAsia="Times New Roman"/>
                <w:sz w:val="32"/>
              </w:rPr>
            </w:pPr>
            <w:r>
              <w:rPr>
                <w:rFonts w:hint="eastAsia" w:ascii="Times New Roman" w:hAnsi="Times New Roman"/>
              </w:rPr>
              <w:t>投资渠道</w:t>
            </w:r>
          </w:p>
        </w:tc>
        <w:tc>
          <w:tcPr>
            <w:tcW w:w="993" w:type="dxa"/>
            <w:vMerge w:val="restart"/>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149"/>
              <w:jc w:val="center"/>
              <w:rPr>
                <w:rFonts w:ascii="Times New Roman" w:hAnsi="Times New Roman" w:eastAsia="Times New Roman"/>
                <w:sz w:val="32"/>
              </w:rPr>
            </w:pPr>
            <w:r>
              <w:rPr>
                <w:rFonts w:hint="eastAsia" w:ascii="Times New Roman" w:hAnsi="Times New Roman"/>
              </w:rPr>
              <w:t>备注</w:t>
            </w:r>
          </w:p>
        </w:tc>
      </w:tr>
      <w:tr>
        <w:tblPrEx>
          <w:tblCellMar>
            <w:top w:w="0" w:type="dxa"/>
            <w:left w:w="0" w:type="dxa"/>
            <w:bottom w:w="0" w:type="dxa"/>
            <w:right w:w="5" w:type="dxa"/>
          </w:tblCellMar>
        </w:tblPrEx>
        <w:trPr>
          <w:trHeight w:val="463" w:hRule="atLeast"/>
        </w:trPr>
        <w:tc>
          <w:tcPr>
            <w:tcW w:w="670" w:type="dxa"/>
            <w:vMerge w:val="continue"/>
            <w:tcBorders>
              <w:top w:val="nil"/>
              <w:left w:val="single" w:color="000000" w:sz="4" w:space="0"/>
              <w:bottom w:val="single" w:color="000000" w:sz="4" w:space="0"/>
              <w:right w:val="single" w:color="000000" w:sz="4" w:space="0"/>
            </w:tcBorders>
          </w:tcPr>
          <w:p>
            <w:pPr>
              <w:widowControl/>
              <w:spacing w:after="160" w:line="259" w:lineRule="auto"/>
              <w:jc w:val="left"/>
              <w:rPr>
                <w:rFonts w:ascii="Times New Roman" w:hAnsi="Times New Roman" w:eastAsia="Times New Roman"/>
                <w:sz w:val="32"/>
              </w:rPr>
            </w:pPr>
          </w:p>
        </w:tc>
        <w:tc>
          <w:tcPr>
            <w:tcW w:w="709" w:type="dxa"/>
            <w:vMerge w:val="continue"/>
            <w:tcBorders>
              <w:top w:val="nil"/>
              <w:left w:val="single" w:color="000000" w:sz="4" w:space="0"/>
              <w:bottom w:val="single" w:color="000000" w:sz="4" w:space="0"/>
              <w:right w:val="single" w:color="000000" w:sz="4" w:space="0"/>
            </w:tcBorders>
          </w:tcPr>
          <w:p>
            <w:pPr>
              <w:widowControl/>
              <w:spacing w:after="160" w:line="259" w:lineRule="auto"/>
              <w:jc w:val="left"/>
              <w:rPr>
                <w:rFonts w:ascii="Times New Roman" w:hAnsi="Times New Roman" w:eastAsia="Times New Roman"/>
                <w:sz w:val="32"/>
              </w:rPr>
            </w:pPr>
          </w:p>
        </w:tc>
        <w:tc>
          <w:tcPr>
            <w:tcW w:w="1559" w:type="dxa"/>
            <w:vMerge w:val="continue"/>
            <w:tcBorders>
              <w:top w:val="nil"/>
              <w:left w:val="single" w:color="000000" w:sz="4" w:space="0"/>
              <w:bottom w:val="single" w:color="000000" w:sz="4" w:space="0"/>
              <w:right w:val="single" w:color="000000" w:sz="4" w:space="0"/>
            </w:tcBorders>
            <w:vAlign w:val="center"/>
          </w:tcPr>
          <w:p>
            <w:pPr>
              <w:widowControl/>
              <w:spacing w:after="160" w:line="259" w:lineRule="auto"/>
              <w:jc w:val="center"/>
              <w:rPr>
                <w:rFonts w:ascii="Times New Roman" w:hAnsi="Times New Roman" w:eastAsia="Times New Roman"/>
                <w:sz w:val="32"/>
              </w:rPr>
            </w:pPr>
          </w:p>
        </w:tc>
        <w:tc>
          <w:tcPr>
            <w:tcW w:w="851" w:type="dxa"/>
            <w:vMerge w:val="continue"/>
            <w:tcBorders>
              <w:top w:val="nil"/>
              <w:left w:val="single" w:color="000000" w:sz="4" w:space="0"/>
              <w:bottom w:val="single" w:color="000000" w:sz="4" w:space="0"/>
              <w:right w:val="single" w:color="000000" w:sz="4" w:space="0"/>
            </w:tcBorders>
            <w:vAlign w:val="center"/>
          </w:tcPr>
          <w:p>
            <w:pPr>
              <w:widowControl/>
              <w:spacing w:after="160" w:line="259" w:lineRule="auto"/>
              <w:jc w:val="center"/>
              <w:rPr>
                <w:rFonts w:ascii="Times New Roman" w:hAnsi="Times New Roman" w:eastAsia="Times New Roman"/>
                <w:sz w:val="32"/>
              </w:rPr>
            </w:pPr>
          </w:p>
        </w:tc>
        <w:tc>
          <w:tcPr>
            <w:tcW w:w="4678" w:type="dxa"/>
            <w:vMerge w:val="continue"/>
            <w:tcBorders>
              <w:top w:val="nil"/>
              <w:left w:val="single" w:color="000000" w:sz="4" w:space="0"/>
              <w:bottom w:val="single" w:color="000000" w:sz="4" w:space="0"/>
              <w:right w:val="single" w:color="000000" w:sz="4" w:space="0"/>
            </w:tcBorders>
            <w:vAlign w:val="center"/>
          </w:tcPr>
          <w:p>
            <w:pPr>
              <w:widowControl/>
              <w:spacing w:after="160" w:line="259" w:lineRule="auto"/>
              <w:jc w:val="center"/>
              <w:rPr>
                <w:rFonts w:ascii="Times New Roman" w:hAnsi="Times New Roman" w:eastAsia="Times New Roman"/>
                <w:sz w:val="32"/>
              </w:rPr>
            </w:pPr>
          </w:p>
        </w:tc>
        <w:tc>
          <w:tcPr>
            <w:tcW w:w="850" w:type="dxa"/>
            <w:vMerge w:val="continue"/>
            <w:tcBorders>
              <w:top w:val="nil"/>
              <w:left w:val="single" w:color="000000" w:sz="4" w:space="0"/>
              <w:bottom w:val="single" w:color="000000" w:sz="4" w:space="0"/>
              <w:right w:val="single" w:color="000000" w:sz="4" w:space="0"/>
            </w:tcBorders>
            <w:vAlign w:val="center"/>
          </w:tcPr>
          <w:p>
            <w:pPr>
              <w:widowControl/>
              <w:spacing w:after="160" w:line="259" w:lineRule="auto"/>
              <w:jc w:val="center"/>
              <w:rPr>
                <w:rFonts w:ascii="Times New Roman" w:hAnsi="Times New Roman" w:eastAsia="Times New Roman"/>
                <w:sz w:val="32"/>
              </w:rPr>
            </w:pPr>
          </w:p>
        </w:tc>
        <w:tc>
          <w:tcPr>
            <w:tcW w:w="851" w:type="dxa"/>
            <w:vMerge w:val="continue"/>
            <w:tcBorders>
              <w:top w:val="nil"/>
              <w:left w:val="single" w:color="000000" w:sz="4" w:space="0"/>
              <w:bottom w:val="single" w:color="000000" w:sz="4" w:space="0"/>
              <w:right w:val="single" w:color="000000" w:sz="4" w:space="0"/>
            </w:tcBorders>
            <w:vAlign w:val="center"/>
          </w:tcPr>
          <w:p>
            <w:pPr>
              <w:widowControl/>
              <w:spacing w:after="160" w:line="259" w:lineRule="auto"/>
              <w:jc w:val="center"/>
              <w:rPr>
                <w:rFonts w:ascii="Times New Roman" w:hAnsi="Times New Roman" w:eastAsia="Times New Roman"/>
                <w:sz w:val="32"/>
              </w:rPr>
            </w:pPr>
          </w:p>
        </w:tc>
        <w:tc>
          <w:tcPr>
            <w:tcW w:w="709"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262"/>
              <w:jc w:val="center"/>
              <w:rPr>
                <w:rFonts w:ascii="Times New Roman" w:hAnsi="Times New Roman" w:eastAsia="Times New Roman"/>
                <w:sz w:val="32"/>
              </w:rPr>
            </w:pPr>
            <w:r>
              <w:rPr>
                <w:rFonts w:hint="eastAsia" w:ascii="Times New Roman" w:hAnsi="Times New Roman"/>
              </w:rPr>
              <w:t>万元</w:t>
            </w:r>
          </w:p>
        </w:tc>
        <w:tc>
          <w:tcPr>
            <w:tcW w:w="709"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259"/>
              <w:jc w:val="left"/>
              <w:rPr>
                <w:rFonts w:ascii="Times New Roman" w:hAnsi="Times New Roman" w:eastAsia="Times New Roman"/>
                <w:sz w:val="32"/>
              </w:rPr>
            </w:pPr>
            <w:r>
              <w:rPr>
                <w:rFonts w:hint="eastAsia" w:ascii="Times New Roman" w:hAnsi="Times New Roman"/>
              </w:rPr>
              <w:t>企业</w:t>
            </w:r>
          </w:p>
        </w:tc>
        <w:tc>
          <w:tcPr>
            <w:tcW w:w="709"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264"/>
              <w:jc w:val="left"/>
              <w:rPr>
                <w:rFonts w:ascii="Times New Roman" w:hAnsi="Times New Roman" w:eastAsia="Times New Roman"/>
                <w:sz w:val="32"/>
              </w:rPr>
            </w:pPr>
            <w:r>
              <w:rPr>
                <w:rFonts w:hint="eastAsia" w:ascii="Times New Roman" w:hAnsi="Times New Roman"/>
              </w:rPr>
              <w:t>地方</w:t>
            </w:r>
          </w:p>
        </w:tc>
        <w:tc>
          <w:tcPr>
            <w:tcW w:w="708"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259"/>
              <w:jc w:val="left"/>
              <w:rPr>
                <w:rFonts w:ascii="Times New Roman" w:hAnsi="Times New Roman" w:eastAsia="Times New Roman"/>
                <w:sz w:val="32"/>
              </w:rPr>
            </w:pPr>
            <w:r>
              <w:rPr>
                <w:rFonts w:hint="eastAsia" w:ascii="Times New Roman" w:hAnsi="Times New Roman"/>
              </w:rPr>
              <w:t>国家</w:t>
            </w:r>
          </w:p>
        </w:tc>
        <w:tc>
          <w:tcPr>
            <w:tcW w:w="993" w:type="dxa"/>
            <w:vMerge w:val="continue"/>
            <w:tcBorders>
              <w:top w:val="nil"/>
              <w:left w:val="single" w:color="000000" w:sz="4" w:space="0"/>
              <w:bottom w:val="single" w:color="000000" w:sz="4" w:space="0"/>
              <w:right w:val="single" w:color="000000" w:sz="4" w:space="0"/>
            </w:tcBorders>
          </w:tcPr>
          <w:p>
            <w:pPr>
              <w:widowControl/>
              <w:spacing w:after="160" w:line="259" w:lineRule="auto"/>
              <w:jc w:val="left"/>
              <w:rPr>
                <w:rFonts w:ascii="Times New Roman" w:hAnsi="Times New Roman" w:eastAsia="Times New Roman"/>
                <w:sz w:val="32"/>
              </w:rPr>
            </w:pPr>
          </w:p>
        </w:tc>
      </w:tr>
      <w:tr>
        <w:tblPrEx>
          <w:tblCellMar>
            <w:top w:w="0" w:type="dxa"/>
            <w:left w:w="0" w:type="dxa"/>
            <w:bottom w:w="0" w:type="dxa"/>
            <w:right w:w="5" w:type="dxa"/>
          </w:tblCellMar>
        </w:tblPrEx>
        <w:trPr>
          <w:trHeight w:val="466" w:hRule="atLeast"/>
        </w:trPr>
        <w:tc>
          <w:tcPr>
            <w:tcW w:w="670"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3"/>
              <w:jc w:val="center"/>
              <w:rPr>
                <w:rFonts w:ascii="Times New Roman" w:hAnsi="Times New Roman" w:eastAsia="Times New Roman"/>
                <w:sz w:val="32"/>
              </w:rPr>
            </w:pPr>
            <w:r>
              <w:rPr>
                <w:rFonts w:ascii="Times New Roman" w:hAnsi="Times New Roman"/>
              </w:rPr>
              <w:t xml:space="preserve">1 </w:t>
            </w:r>
          </w:p>
        </w:tc>
        <w:tc>
          <w:tcPr>
            <w:tcW w:w="709" w:type="dxa"/>
            <w:tcBorders>
              <w:top w:val="single" w:color="000000" w:sz="4" w:space="0"/>
              <w:left w:val="single" w:color="000000" w:sz="4" w:space="0"/>
              <w:bottom w:val="single" w:color="000000" w:sz="4" w:space="0"/>
              <w:right w:val="single" w:color="000000" w:sz="4" w:space="0"/>
            </w:tcBorders>
            <w:vAlign w:val="center"/>
          </w:tcPr>
          <w:p>
            <w:pPr>
              <w:jc w:val="center"/>
            </w:pPr>
            <w:r>
              <w:rPr>
                <w:rFonts w:hint="eastAsia"/>
              </w:rPr>
              <w:t>新建</w:t>
            </w:r>
          </w:p>
        </w:tc>
        <w:tc>
          <w:tcPr>
            <w:tcW w:w="1559" w:type="dxa"/>
            <w:tcBorders>
              <w:top w:val="single" w:color="000000" w:sz="4" w:space="0"/>
              <w:left w:val="single" w:color="000000" w:sz="4" w:space="0"/>
              <w:bottom w:val="single" w:color="000000" w:sz="4" w:space="0"/>
              <w:right w:val="single" w:color="000000" w:sz="4" w:space="0"/>
            </w:tcBorders>
            <w:vAlign w:val="center"/>
          </w:tcPr>
          <w:p>
            <w:pPr>
              <w:jc w:val="center"/>
            </w:pPr>
            <w:r>
              <w:rPr>
                <w:rFonts w:hint="eastAsia"/>
              </w:rPr>
              <w:t>洛碛镇太洪岗村达泥坎供水工程</w:t>
            </w:r>
          </w:p>
        </w:tc>
        <w:tc>
          <w:tcPr>
            <w:tcW w:w="851" w:type="dxa"/>
            <w:tcBorders>
              <w:top w:val="single" w:color="000000" w:sz="4" w:space="0"/>
              <w:left w:val="single" w:color="000000" w:sz="4" w:space="0"/>
              <w:bottom w:val="single" w:color="000000" w:sz="4" w:space="0"/>
              <w:right w:val="single" w:color="000000" w:sz="4" w:space="0"/>
            </w:tcBorders>
            <w:vAlign w:val="center"/>
          </w:tcPr>
          <w:p>
            <w:pPr>
              <w:jc w:val="center"/>
            </w:pPr>
            <w:r>
              <w:rPr>
                <w:rFonts w:hint="eastAsia"/>
              </w:rPr>
              <w:t>洛碛镇</w:t>
            </w:r>
          </w:p>
        </w:tc>
        <w:tc>
          <w:tcPr>
            <w:tcW w:w="4678" w:type="dxa"/>
            <w:tcBorders>
              <w:top w:val="single" w:color="000000" w:sz="4" w:space="0"/>
              <w:left w:val="single" w:color="000000" w:sz="4" w:space="0"/>
              <w:bottom w:val="single" w:color="000000" w:sz="4" w:space="0"/>
              <w:right w:val="single" w:color="000000" w:sz="4" w:space="0"/>
            </w:tcBorders>
            <w:vAlign w:val="center"/>
          </w:tcPr>
          <w:p>
            <w:pPr>
              <w:jc w:val="center"/>
            </w:pPr>
            <w:r>
              <w:rPr>
                <w:rFonts w:hint="eastAsia"/>
              </w:rPr>
              <w:t>新建集中式供水工程，包含管网等全套设施。</w:t>
            </w:r>
          </w:p>
        </w:tc>
        <w:tc>
          <w:tcPr>
            <w:tcW w:w="850" w:type="dxa"/>
            <w:tcBorders>
              <w:top w:val="single" w:color="000000" w:sz="4" w:space="0"/>
              <w:left w:val="single" w:color="000000" w:sz="4" w:space="0"/>
              <w:bottom w:val="single" w:color="000000" w:sz="4" w:space="0"/>
              <w:right w:val="single" w:color="000000" w:sz="4" w:space="0"/>
            </w:tcBorders>
            <w:vAlign w:val="center"/>
          </w:tcPr>
          <w:p>
            <w:pPr>
              <w:jc w:val="center"/>
            </w:pPr>
            <w:r>
              <w:t>2021</w:t>
            </w:r>
            <w:r>
              <w:rPr>
                <w:rFonts w:hint="eastAsia"/>
              </w:rPr>
              <w:t>年</w:t>
            </w:r>
          </w:p>
        </w:tc>
        <w:tc>
          <w:tcPr>
            <w:tcW w:w="851" w:type="dxa"/>
            <w:tcBorders>
              <w:top w:val="single" w:color="000000" w:sz="4" w:space="0"/>
              <w:left w:val="single" w:color="000000" w:sz="4" w:space="0"/>
              <w:bottom w:val="single" w:color="000000" w:sz="4" w:space="0"/>
              <w:right w:val="single" w:color="000000" w:sz="4" w:space="0"/>
            </w:tcBorders>
            <w:vAlign w:val="center"/>
          </w:tcPr>
          <w:p>
            <w:pPr>
              <w:jc w:val="center"/>
            </w:pPr>
            <w:r>
              <w:rPr>
                <w:rFonts w:hint="eastAsia"/>
              </w:rPr>
              <w:t>区水利局</w:t>
            </w:r>
          </w:p>
        </w:tc>
        <w:tc>
          <w:tcPr>
            <w:tcW w:w="709"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50"/>
              <w:jc w:val="center"/>
              <w:rPr>
                <w:rFonts w:ascii="Times New Roman" w:hAnsi="Times New Roman" w:eastAsia="Times New Roman"/>
                <w:sz w:val="32"/>
              </w:rPr>
            </w:pPr>
            <w:r>
              <w:t>500</w:t>
            </w:r>
          </w:p>
        </w:tc>
        <w:tc>
          <w:tcPr>
            <w:tcW w:w="709"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53"/>
              <w:jc w:val="center"/>
              <w:rPr>
                <w:rFonts w:ascii="Times New Roman" w:hAnsi="Times New Roman" w:eastAsia="Times New Roman"/>
                <w:sz w:val="32"/>
              </w:rPr>
            </w:pPr>
          </w:p>
        </w:tc>
        <w:tc>
          <w:tcPr>
            <w:tcW w:w="709"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53"/>
              <w:jc w:val="center"/>
              <w:rPr>
                <w:rFonts w:ascii="Times New Roman" w:hAnsi="Times New Roman" w:eastAsia="Times New Roman"/>
                <w:sz w:val="24"/>
                <w:szCs w:val="24"/>
              </w:rPr>
            </w:pPr>
            <w:r>
              <w:rPr>
                <w:rFonts w:hint="eastAsia" w:ascii="Malgun Gothic Semilight" w:hAnsi="Malgun Gothic Semilight" w:eastAsia="Malgun Gothic Semilight" w:cs="Malgun Gothic Semilight"/>
                <w:sz w:val="24"/>
                <w:szCs w:val="24"/>
              </w:rPr>
              <w:t>√</w:t>
            </w:r>
          </w:p>
        </w:tc>
        <w:tc>
          <w:tcPr>
            <w:tcW w:w="708"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53"/>
              <w:jc w:val="center"/>
              <w:rPr>
                <w:rFonts w:ascii="Times New Roman" w:hAnsi="Times New Roman" w:eastAsia="Times New Roman"/>
                <w:sz w:val="32"/>
              </w:rPr>
            </w:pPr>
          </w:p>
        </w:tc>
        <w:tc>
          <w:tcPr>
            <w:tcW w:w="993" w:type="dxa"/>
            <w:vMerge w:val="restart"/>
            <w:tcBorders>
              <w:top w:val="single" w:color="000000" w:sz="4" w:space="0"/>
              <w:left w:val="single" w:color="000000" w:sz="4" w:space="0"/>
              <w:right w:val="single" w:color="000000" w:sz="4" w:space="0"/>
            </w:tcBorders>
            <w:vAlign w:val="center"/>
          </w:tcPr>
          <w:p>
            <w:pPr>
              <w:jc w:val="center"/>
              <w:rPr>
                <w:rFonts w:ascii="Times New Roman" w:hAnsi="Times New Roman" w:eastAsia="Times New Roman"/>
                <w:sz w:val="32"/>
              </w:rPr>
            </w:pPr>
            <w:r>
              <w:rPr>
                <w:rFonts w:hint="eastAsia"/>
              </w:rPr>
              <w:t>已列入《重庆市渝北区“十四五”水安全保障规划报告》</w:t>
            </w:r>
          </w:p>
        </w:tc>
      </w:tr>
      <w:tr>
        <w:tblPrEx>
          <w:tblCellMar>
            <w:top w:w="0" w:type="dxa"/>
            <w:left w:w="0" w:type="dxa"/>
            <w:bottom w:w="0" w:type="dxa"/>
            <w:right w:w="5" w:type="dxa"/>
          </w:tblCellMar>
        </w:tblPrEx>
        <w:trPr>
          <w:trHeight w:val="463" w:hRule="atLeast"/>
        </w:trPr>
        <w:tc>
          <w:tcPr>
            <w:tcW w:w="670"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3"/>
              <w:jc w:val="center"/>
              <w:rPr>
                <w:rFonts w:ascii="Times New Roman" w:hAnsi="Times New Roman" w:eastAsia="Times New Roman"/>
                <w:sz w:val="32"/>
              </w:rPr>
            </w:pPr>
            <w:r>
              <w:rPr>
                <w:rFonts w:ascii="Times New Roman" w:hAnsi="Times New Roman"/>
              </w:rPr>
              <w:t>2</w:t>
            </w:r>
          </w:p>
        </w:tc>
        <w:tc>
          <w:tcPr>
            <w:tcW w:w="709" w:type="dxa"/>
            <w:tcBorders>
              <w:top w:val="single" w:color="000000" w:sz="4" w:space="0"/>
              <w:left w:val="single" w:color="000000" w:sz="4" w:space="0"/>
              <w:bottom w:val="single" w:color="000000" w:sz="4" w:space="0"/>
              <w:right w:val="single" w:color="000000" w:sz="4" w:space="0"/>
            </w:tcBorders>
            <w:vAlign w:val="center"/>
          </w:tcPr>
          <w:p>
            <w:pPr>
              <w:jc w:val="center"/>
            </w:pPr>
            <w:r>
              <w:rPr>
                <w:rFonts w:hint="eastAsia"/>
              </w:rPr>
              <w:t>新建</w:t>
            </w:r>
          </w:p>
        </w:tc>
        <w:tc>
          <w:tcPr>
            <w:tcW w:w="1559" w:type="dxa"/>
            <w:tcBorders>
              <w:top w:val="single" w:color="000000" w:sz="4" w:space="0"/>
              <w:left w:val="single" w:color="000000" w:sz="4" w:space="0"/>
              <w:bottom w:val="single" w:color="000000" w:sz="4" w:space="0"/>
              <w:right w:val="single" w:color="000000" w:sz="4" w:space="0"/>
            </w:tcBorders>
            <w:vAlign w:val="center"/>
          </w:tcPr>
          <w:p>
            <w:pPr>
              <w:jc w:val="center"/>
            </w:pPr>
            <w:r>
              <w:rPr>
                <w:rFonts w:hint="eastAsia"/>
              </w:rPr>
              <w:t>大盛镇仙女洞水厂水源补给及扩网工程</w:t>
            </w:r>
          </w:p>
        </w:tc>
        <w:tc>
          <w:tcPr>
            <w:tcW w:w="851" w:type="dxa"/>
            <w:tcBorders>
              <w:top w:val="single" w:color="000000" w:sz="4" w:space="0"/>
              <w:left w:val="single" w:color="000000" w:sz="4" w:space="0"/>
              <w:bottom w:val="single" w:color="000000" w:sz="4" w:space="0"/>
              <w:right w:val="single" w:color="000000" w:sz="4" w:space="0"/>
            </w:tcBorders>
            <w:vAlign w:val="center"/>
          </w:tcPr>
          <w:p>
            <w:pPr>
              <w:jc w:val="center"/>
            </w:pPr>
            <w:r>
              <w:rPr>
                <w:rFonts w:hint="eastAsia"/>
              </w:rPr>
              <w:t>大盛镇</w:t>
            </w:r>
          </w:p>
        </w:tc>
        <w:tc>
          <w:tcPr>
            <w:tcW w:w="4678" w:type="dxa"/>
            <w:tcBorders>
              <w:top w:val="single" w:color="000000" w:sz="4" w:space="0"/>
              <w:left w:val="single" w:color="000000" w:sz="4" w:space="0"/>
              <w:bottom w:val="single" w:color="000000" w:sz="4" w:space="0"/>
              <w:right w:val="single" w:color="000000" w:sz="4" w:space="0"/>
            </w:tcBorders>
            <w:vAlign w:val="center"/>
          </w:tcPr>
          <w:p>
            <w:pPr>
              <w:jc w:val="center"/>
            </w:pPr>
            <w:r>
              <w:rPr>
                <w:rFonts w:hint="eastAsia"/>
              </w:rPr>
              <w:t>拟建山坪塘</w:t>
            </w:r>
            <w:r>
              <w:t>1</w:t>
            </w:r>
            <w:r>
              <w:rPr>
                <w:rFonts w:hint="eastAsia"/>
              </w:rPr>
              <w:t>座对仙女洞水厂水源进行补给，对仙女洞水厂进行扩网，覆盖菊花坝村和天险洞村目前还未被仙女洞水厂覆盖的区域。</w:t>
            </w:r>
          </w:p>
        </w:tc>
        <w:tc>
          <w:tcPr>
            <w:tcW w:w="850" w:type="dxa"/>
            <w:tcBorders>
              <w:top w:val="single" w:color="000000" w:sz="4" w:space="0"/>
              <w:left w:val="single" w:color="000000" w:sz="4" w:space="0"/>
              <w:bottom w:val="single" w:color="000000" w:sz="4" w:space="0"/>
              <w:right w:val="single" w:color="000000" w:sz="4" w:space="0"/>
            </w:tcBorders>
            <w:vAlign w:val="center"/>
          </w:tcPr>
          <w:p>
            <w:pPr>
              <w:jc w:val="center"/>
            </w:pPr>
            <w:r>
              <w:t>2021</w:t>
            </w:r>
            <w:r>
              <w:rPr>
                <w:rFonts w:hint="eastAsia"/>
              </w:rPr>
              <w:t>年</w:t>
            </w:r>
          </w:p>
        </w:tc>
        <w:tc>
          <w:tcPr>
            <w:tcW w:w="851" w:type="dxa"/>
            <w:tcBorders>
              <w:top w:val="single" w:color="000000" w:sz="4" w:space="0"/>
              <w:left w:val="single" w:color="000000" w:sz="4" w:space="0"/>
              <w:bottom w:val="single" w:color="000000" w:sz="4" w:space="0"/>
              <w:right w:val="single" w:color="000000" w:sz="4" w:space="0"/>
            </w:tcBorders>
            <w:vAlign w:val="center"/>
          </w:tcPr>
          <w:p>
            <w:pPr>
              <w:jc w:val="center"/>
            </w:pPr>
            <w:r>
              <w:rPr>
                <w:rFonts w:hint="eastAsia"/>
              </w:rPr>
              <w:t>区水利局</w:t>
            </w:r>
          </w:p>
        </w:tc>
        <w:tc>
          <w:tcPr>
            <w:tcW w:w="709"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50"/>
              <w:jc w:val="center"/>
              <w:rPr>
                <w:rFonts w:ascii="Times New Roman" w:hAnsi="Times New Roman" w:eastAsia="Times New Roman"/>
                <w:sz w:val="32"/>
              </w:rPr>
            </w:pPr>
            <w:r>
              <w:t>800</w:t>
            </w:r>
          </w:p>
        </w:tc>
        <w:tc>
          <w:tcPr>
            <w:tcW w:w="709"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53"/>
              <w:jc w:val="center"/>
              <w:rPr>
                <w:rFonts w:ascii="Times New Roman" w:hAnsi="Times New Roman" w:eastAsia="Times New Roman"/>
                <w:sz w:val="32"/>
              </w:rPr>
            </w:pPr>
          </w:p>
        </w:tc>
        <w:tc>
          <w:tcPr>
            <w:tcW w:w="709"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53"/>
              <w:jc w:val="center"/>
              <w:rPr>
                <w:rFonts w:ascii="Times New Roman" w:hAnsi="Times New Roman" w:eastAsia="Times New Roman"/>
                <w:sz w:val="24"/>
                <w:szCs w:val="24"/>
              </w:rPr>
            </w:pPr>
            <w:r>
              <w:rPr>
                <w:rFonts w:ascii="Times New Roman" w:hAnsi="Times New Roman" w:eastAsia="Times New Roman"/>
                <w:sz w:val="24"/>
                <w:szCs w:val="24"/>
              </w:rPr>
              <w:t>√</w:t>
            </w:r>
          </w:p>
        </w:tc>
        <w:tc>
          <w:tcPr>
            <w:tcW w:w="708"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53"/>
              <w:jc w:val="center"/>
              <w:rPr>
                <w:rFonts w:ascii="Times New Roman" w:hAnsi="Times New Roman" w:eastAsia="Times New Roman"/>
                <w:sz w:val="32"/>
              </w:rPr>
            </w:pPr>
          </w:p>
        </w:tc>
        <w:tc>
          <w:tcPr>
            <w:tcW w:w="993" w:type="dxa"/>
            <w:vMerge w:val="continue"/>
            <w:tcBorders>
              <w:left w:val="single" w:color="000000" w:sz="4" w:space="0"/>
              <w:right w:val="single" w:color="000000" w:sz="4" w:space="0"/>
            </w:tcBorders>
            <w:vAlign w:val="center"/>
          </w:tcPr>
          <w:p>
            <w:pPr>
              <w:spacing w:line="259" w:lineRule="auto"/>
              <w:ind w:left="52"/>
              <w:jc w:val="center"/>
              <w:rPr>
                <w:rFonts w:ascii="Times New Roman" w:hAnsi="Times New Roman" w:eastAsia="Times New Roman"/>
                <w:sz w:val="32"/>
              </w:rPr>
            </w:pPr>
          </w:p>
        </w:tc>
      </w:tr>
      <w:tr>
        <w:tblPrEx>
          <w:tblCellMar>
            <w:top w:w="0" w:type="dxa"/>
            <w:left w:w="0" w:type="dxa"/>
            <w:bottom w:w="0" w:type="dxa"/>
            <w:right w:w="5" w:type="dxa"/>
          </w:tblCellMar>
        </w:tblPrEx>
        <w:trPr>
          <w:trHeight w:val="466" w:hRule="atLeast"/>
        </w:trPr>
        <w:tc>
          <w:tcPr>
            <w:tcW w:w="670"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202"/>
              <w:jc w:val="left"/>
              <w:rPr>
                <w:rFonts w:ascii="Times New Roman" w:hAnsi="Times New Roman" w:eastAsia="Times New Roman"/>
                <w:sz w:val="32"/>
              </w:rPr>
            </w:pPr>
            <w:r>
              <w:rPr>
                <w:rFonts w:ascii="Times New Roman" w:hAnsi="Times New Roman"/>
              </w:rPr>
              <w:t>3</w:t>
            </w:r>
          </w:p>
        </w:tc>
        <w:tc>
          <w:tcPr>
            <w:tcW w:w="709"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50"/>
              <w:jc w:val="center"/>
              <w:rPr>
                <w:rFonts w:ascii="Times New Roman" w:hAnsi="Times New Roman" w:eastAsia="Times New Roman"/>
                <w:sz w:val="32"/>
              </w:rPr>
            </w:pPr>
            <w:r>
              <w:rPr>
                <w:rFonts w:hint="eastAsia"/>
              </w:rPr>
              <w:t>新建</w:t>
            </w:r>
          </w:p>
        </w:tc>
        <w:tc>
          <w:tcPr>
            <w:tcW w:w="1559" w:type="dxa"/>
            <w:tcBorders>
              <w:top w:val="single" w:color="000000" w:sz="4" w:space="0"/>
              <w:left w:val="single" w:color="000000" w:sz="4" w:space="0"/>
              <w:bottom w:val="single" w:color="000000" w:sz="4" w:space="0"/>
              <w:right w:val="single" w:color="000000" w:sz="4" w:space="0"/>
            </w:tcBorders>
            <w:vAlign w:val="center"/>
          </w:tcPr>
          <w:p>
            <w:pPr>
              <w:jc w:val="center"/>
            </w:pPr>
            <w:r>
              <w:rPr>
                <w:rFonts w:hint="eastAsia"/>
              </w:rPr>
              <w:t>大盛镇顺龙水厂水源补给及扩网工程</w:t>
            </w:r>
          </w:p>
        </w:tc>
        <w:tc>
          <w:tcPr>
            <w:tcW w:w="851" w:type="dxa"/>
            <w:tcBorders>
              <w:top w:val="single" w:color="000000" w:sz="4" w:space="0"/>
              <w:left w:val="single" w:color="000000" w:sz="4" w:space="0"/>
              <w:bottom w:val="single" w:color="000000" w:sz="4" w:space="0"/>
              <w:right w:val="single" w:color="000000" w:sz="4" w:space="0"/>
            </w:tcBorders>
            <w:vAlign w:val="center"/>
          </w:tcPr>
          <w:p>
            <w:pPr>
              <w:jc w:val="center"/>
            </w:pPr>
            <w:r>
              <w:rPr>
                <w:rFonts w:hint="eastAsia"/>
              </w:rPr>
              <w:t>大盛镇</w:t>
            </w:r>
          </w:p>
        </w:tc>
        <w:tc>
          <w:tcPr>
            <w:tcW w:w="4678" w:type="dxa"/>
            <w:tcBorders>
              <w:top w:val="single" w:color="000000" w:sz="4" w:space="0"/>
              <w:left w:val="single" w:color="000000" w:sz="4" w:space="0"/>
              <w:bottom w:val="single" w:color="000000" w:sz="4" w:space="0"/>
              <w:right w:val="single" w:color="000000" w:sz="4" w:space="0"/>
            </w:tcBorders>
            <w:vAlign w:val="center"/>
          </w:tcPr>
          <w:p>
            <w:pPr>
              <w:jc w:val="center"/>
            </w:pPr>
            <w:r>
              <w:rPr>
                <w:rFonts w:hint="eastAsia"/>
              </w:rPr>
              <w:t>从东河取水对水厂水源进行补给，新建提水泵房一座，配套水泵及机电设备等。新建提水主管</w:t>
            </w:r>
            <w:r>
              <w:t>4.2km</w:t>
            </w:r>
            <w:r>
              <w:rPr>
                <w:rFonts w:hint="eastAsia"/>
              </w:rPr>
              <w:t>。新建并网工程管网</w:t>
            </w:r>
            <w:r>
              <w:t>10km</w:t>
            </w:r>
            <w:r>
              <w:rPr>
                <w:rFonts w:hint="eastAsia"/>
              </w:rPr>
              <w:t>及增压设备</w:t>
            </w:r>
            <w:r>
              <w:t>1</w:t>
            </w:r>
            <w:r>
              <w:rPr>
                <w:rFonts w:hint="eastAsia"/>
              </w:rPr>
              <w:t>套将顺龙水厂进行扩网，覆盖隆盛村目前饮水保障率低的区域及顺龙</w:t>
            </w:r>
            <w:r>
              <w:t>5</w:t>
            </w:r>
            <w:r>
              <w:rPr>
                <w:rFonts w:hint="eastAsia"/>
              </w:rPr>
              <w:t>社，总人口约</w:t>
            </w:r>
            <w:r>
              <w:t>1200</w:t>
            </w:r>
            <w:r>
              <w:rPr>
                <w:rFonts w:hint="eastAsia"/>
              </w:rPr>
              <w:t>人。</w:t>
            </w:r>
          </w:p>
        </w:tc>
        <w:tc>
          <w:tcPr>
            <w:tcW w:w="850" w:type="dxa"/>
            <w:tcBorders>
              <w:top w:val="single" w:color="000000" w:sz="4" w:space="0"/>
              <w:left w:val="single" w:color="000000" w:sz="4" w:space="0"/>
              <w:bottom w:val="single" w:color="000000" w:sz="4" w:space="0"/>
              <w:right w:val="single" w:color="000000" w:sz="4" w:space="0"/>
            </w:tcBorders>
            <w:vAlign w:val="center"/>
          </w:tcPr>
          <w:p>
            <w:pPr>
              <w:jc w:val="center"/>
            </w:pPr>
            <w:r>
              <w:t>2021</w:t>
            </w:r>
            <w:r>
              <w:rPr>
                <w:rFonts w:hint="eastAsia"/>
              </w:rPr>
              <w:t>年</w:t>
            </w:r>
          </w:p>
        </w:tc>
        <w:tc>
          <w:tcPr>
            <w:tcW w:w="851" w:type="dxa"/>
            <w:tcBorders>
              <w:top w:val="single" w:color="000000" w:sz="4" w:space="0"/>
              <w:left w:val="single" w:color="000000" w:sz="4" w:space="0"/>
              <w:bottom w:val="single" w:color="000000" w:sz="4" w:space="0"/>
              <w:right w:val="single" w:color="000000" w:sz="4" w:space="0"/>
            </w:tcBorders>
            <w:vAlign w:val="center"/>
          </w:tcPr>
          <w:p>
            <w:pPr>
              <w:jc w:val="center"/>
            </w:pPr>
            <w:r>
              <w:rPr>
                <w:rFonts w:hint="eastAsia"/>
              </w:rPr>
              <w:t>区水利局</w:t>
            </w:r>
          </w:p>
        </w:tc>
        <w:tc>
          <w:tcPr>
            <w:tcW w:w="709"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50"/>
              <w:jc w:val="center"/>
              <w:rPr>
                <w:rFonts w:ascii="Times New Roman" w:hAnsi="Times New Roman" w:eastAsia="Times New Roman"/>
                <w:sz w:val="32"/>
              </w:rPr>
            </w:pPr>
            <w:r>
              <w:t>800</w:t>
            </w:r>
          </w:p>
        </w:tc>
        <w:tc>
          <w:tcPr>
            <w:tcW w:w="709"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53"/>
              <w:jc w:val="center"/>
              <w:rPr>
                <w:rFonts w:ascii="Times New Roman" w:hAnsi="Times New Roman" w:eastAsia="Times New Roman"/>
                <w:sz w:val="32"/>
              </w:rPr>
            </w:pPr>
          </w:p>
        </w:tc>
        <w:tc>
          <w:tcPr>
            <w:tcW w:w="709"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53"/>
              <w:jc w:val="center"/>
              <w:rPr>
                <w:rFonts w:ascii="Times New Roman" w:hAnsi="Times New Roman" w:eastAsia="Times New Roman"/>
                <w:sz w:val="24"/>
                <w:szCs w:val="24"/>
              </w:rPr>
            </w:pPr>
            <w:r>
              <w:rPr>
                <w:rFonts w:ascii="Times New Roman" w:hAnsi="Times New Roman" w:eastAsia="Times New Roman"/>
                <w:sz w:val="24"/>
                <w:szCs w:val="24"/>
              </w:rPr>
              <w:t>√</w:t>
            </w:r>
          </w:p>
        </w:tc>
        <w:tc>
          <w:tcPr>
            <w:tcW w:w="708"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53"/>
              <w:jc w:val="center"/>
              <w:rPr>
                <w:rFonts w:ascii="Times New Roman" w:hAnsi="Times New Roman" w:eastAsia="Times New Roman"/>
                <w:sz w:val="32"/>
              </w:rPr>
            </w:pPr>
          </w:p>
        </w:tc>
        <w:tc>
          <w:tcPr>
            <w:tcW w:w="993" w:type="dxa"/>
            <w:vMerge w:val="continue"/>
            <w:tcBorders>
              <w:left w:val="single" w:color="000000" w:sz="4" w:space="0"/>
              <w:right w:val="single" w:color="000000" w:sz="4" w:space="0"/>
            </w:tcBorders>
            <w:vAlign w:val="center"/>
          </w:tcPr>
          <w:p>
            <w:pPr>
              <w:widowControl/>
              <w:spacing w:line="259" w:lineRule="auto"/>
              <w:ind w:left="52"/>
              <w:jc w:val="center"/>
              <w:rPr>
                <w:rFonts w:ascii="Times New Roman" w:hAnsi="Times New Roman" w:eastAsia="Times New Roman"/>
                <w:sz w:val="32"/>
              </w:rPr>
            </w:pPr>
          </w:p>
        </w:tc>
      </w:tr>
      <w:tr>
        <w:tblPrEx>
          <w:tblCellMar>
            <w:top w:w="0" w:type="dxa"/>
            <w:left w:w="0" w:type="dxa"/>
            <w:bottom w:w="0" w:type="dxa"/>
            <w:right w:w="5" w:type="dxa"/>
          </w:tblCellMar>
        </w:tblPrEx>
        <w:trPr>
          <w:trHeight w:val="466" w:hRule="atLeast"/>
        </w:trPr>
        <w:tc>
          <w:tcPr>
            <w:tcW w:w="670"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202"/>
              <w:jc w:val="left"/>
              <w:rPr>
                <w:rFonts w:ascii="Times New Roman" w:hAnsi="Times New Roman"/>
              </w:rPr>
            </w:pPr>
            <w:r>
              <w:rPr>
                <w:rFonts w:ascii="Times New Roman" w:hAnsi="Times New Roman"/>
              </w:rPr>
              <w:t>4</w:t>
            </w:r>
          </w:p>
        </w:tc>
        <w:tc>
          <w:tcPr>
            <w:tcW w:w="709"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50"/>
              <w:jc w:val="center"/>
            </w:pPr>
            <w:r>
              <w:rPr>
                <w:rFonts w:hint="eastAsia"/>
              </w:rPr>
              <w:t>新建</w:t>
            </w:r>
          </w:p>
        </w:tc>
        <w:tc>
          <w:tcPr>
            <w:tcW w:w="1559" w:type="dxa"/>
            <w:tcBorders>
              <w:top w:val="single" w:color="000000" w:sz="4" w:space="0"/>
              <w:left w:val="single" w:color="000000" w:sz="4" w:space="0"/>
              <w:bottom w:val="single" w:color="000000" w:sz="4" w:space="0"/>
              <w:right w:val="single" w:color="000000" w:sz="4" w:space="0"/>
            </w:tcBorders>
            <w:vAlign w:val="center"/>
          </w:tcPr>
          <w:p>
            <w:pPr>
              <w:jc w:val="center"/>
            </w:pPr>
            <w:r>
              <w:rPr>
                <w:rFonts w:hint="eastAsia"/>
              </w:rPr>
              <w:t>茨竹镇中河场镇管网改造工程</w:t>
            </w:r>
          </w:p>
        </w:tc>
        <w:tc>
          <w:tcPr>
            <w:tcW w:w="851" w:type="dxa"/>
            <w:tcBorders>
              <w:top w:val="single" w:color="000000" w:sz="4" w:space="0"/>
              <w:left w:val="single" w:color="000000" w:sz="4" w:space="0"/>
              <w:bottom w:val="single" w:color="000000" w:sz="4" w:space="0"/>
              <w:right w:val="single" w:color="000000" w:sz="4" w:space="0"/>
            </w:tcBorders>
            <w:vAlign w:val="center"/>
          </w:tcPr>
          <w:p>
            <w:pPr>
              <w:jc w:val="center"/>
            </w:pPr>
            <w:r>
              <w:rPr>
                <w:rFonts w:hint="eastAsia"/>
              </w:rPr>
              <w:t>茨竹镇</w:t>
            </w:r>
          </w:p>
        </w:tc>
        <w:tc>
          <w:tcPr>
            <w:tcW w:w="4678" w:type="dxa"/>
            <w:tcBorders>
              <w:top w:val="single" w:color="000000" w:sz="4" w:space="0"/>
              <w:left w:val="single" w:color="000000" w:sz="4" w:space="0"/>
              <w:bottom w:val="single" w:color="000000" w:sz="4" w:space="0"/>
              <w:right w:val="single" w:color="000000" w:sz="4" w:space="0"/>
            </w:tcBorders>
            <w:vAlign w:val="center"/>
          </w:tcPr>
          <w:p>
            <w:pPr>
              <w:jc w:val="center"/>
            </w:pPr>
            <w:r>
              <w:rPr>
                <w:rFonts w:hint="eastAsia"/>
              </w:rPr>
              <w:t>新建涂塑钢管主管，管径</w:t>
            </w:r>
            <w:r>
              <w:t>DN150</w:t>
            </w:r>
            <w:r>
              <w:rPr>
                <w:rFonts w:hint="eastAsia"/>
              </w:rPr>
              <w:t>～</w:t>
            </w:r>
            <w:r>
              <w:t>DN40</w:t>
            </w:r>
            <w:r>
              <w:rPr>
                <w:rFonts w:hint="eastAsia"/>
              </w:rPr>
              <w:t>，其中</w:t>
            </w:r>
            <w:r>
              <w:t>DN150</w:t>
            </w:r>
            <w:r>
              <w:rPr>
                <w:rFonts w:hint="eastAsia"/>
              </w:rPr>
              <w:t>管道长</w:t>
            </w:r>
            <w:r>
              <w:t>430m</w:t>
            </w:r>
            <w:r>
              <w:rPr>
                <w:rFonts w:hint="eastAsia"/>
              </w:rPr>
              <w:t>、</w:t>
            </w:r>
            <w:r>
              <w:t>DN100</w:t>
            </w:r>
            <w:r>
              <w:rPr>
                <w:rFonts w:hint="eastAsia"/>
              </w:rPr>
              <w:t>管道长</w:t>
            </w:r>
            <w:r>
              <w:t>900m</w:t>
            </w:r>
            <w:r>
              <w:rPr>
                <w:rFonts w:hint="eastAsia"/>
              </w:rPr>
              <w:t>、</w:t>
            </w:r>
            <w:r>
              <w:t>DN65</w:t>
            </w:r>
            <w:r>
              <w:rPr>
                <w:rFonts w:hint="eastAsia"/>
              </w:rPr>
              <w:t>管道长</w:t>
            </w:r>
            <w:r>
              <w:t>760m</w:t>
            </w:r>
            <w:r>
              <w:rPr>
                <w:rFonts w:hint="eastAsia"/>
              </w:rPr>
              <w:t>、</w:t>
            </w:r>
            <w:r>
              <w:t>DN40</w:t>
            </w:r>
            <w:r>
              <w:rPr>
                <w:rFonts w:hint="eastAsia"/>
              </w:rPr>
              <w:t>管道长</w:t>
            </w:r>
            <w:r>
              <w:t>820m</w:t>
            </w:r>
            <w:r>
              <w:rPr>
                <w:rFonts w:hint="eastAsia"/>
              </w:rPr>
              <w:t>；支管及入户管为</w:t>
            </w:r>
            <w:r>
              <w:t>PE</w:t>
            </w:r>
            <w:r>
              <w:rPr>
                <w:rFonts w:hint="eastAsia"/>
              </w:rPr>
              <w:t>管，支管</w:t>
            </w:r>
            <w:r>
              <w:t>DN32</w:t>
            </w:r>
            <w:r>
              <w:rPr>
                <w:rFonts w:hint="eastAsia"/>
              </w:rPr>
              <w:t>，长约</w:t>
            </w:r>
            <w:r>
              <w:t>1000m</w:t>
            </w:r>
            <w:r>
              <w:rPr>
                <w:rFonts w:hint="eastAsia"/>
              </w:rPr>
              <w:t>，入户管</w:t>
            </w:r>
            <w:r>
              <w:t>DN20</w:t>
            </w:r>
            <w:r>
              <w:rPr>
                <w:rFonts w:hint="eastAsia"/>
              </w:rPr>
              <w:t>，长约</w:t>
            </w:r>
            <w:r>
              <w:t>3000m</w:t>
            </w:r>
            <w:r>
              <w:rPr>
                <w:rFonts w:hint="eastAsia"/>
              </w:rPr>
              <w:t>；新建闸阀井约</w:t>
            </w:r>
            <w:r>
              <w:t>30</w:t>
            </w:r>
            <w:r>
              <w:rPr>
                <w:rFonts w:hint="eastAsia"/>
              </w:rPr>
              <w:t>座，新建给水栓</w:t>
            </w:r>
            <w:r>
              <w:t>15</w:t>
            </w:r>
            <w:r>
              <w:rPr>
                <w:rFonts w:hint="eastAsia"/>
              </w:rPr>
              <w:t>座；更换入户水表组约</w:t>
            </w:r>
            <w:r>
              <w:t>300</w:t>
            </w:r>
            <w:r>
              <w:rPr>
                <w:rFonts w:hint="eastAsia"/>
              </w:rPr>
              <w:t>套。场镇供水现状规模为</w:t>
            </w:r>
            <w:r>
              <w:t>355m3/d</w:t>
            </w:r>
          </w:p>
        </w:tc>
        <w:tc>
          <w:tcPr>
            <w:tcW w:w="850" w:type="dxa"/>
            <w:tcBorders>
              <w:top w:val="single" w:color="000000" w:sz="4" w:space="0"/>
              <w:left w:val="single" w:color="000000" w:sz="4" w:space="0"/>
              <w:bottom w:val="single" w:color="000000" w:sz="4" w:space="0"/>
              <w:right w:val="single" w:color="000000" w:sz="4" w:space="0"/>
            </w:tcBorders>
            <w:vAlign w:val="center"/>
          </w:tcPr>
          <w:p>
            <w:pPr>
              <w:jc w:val="center"/>
            </w:pPr>
            <w:r>
              <w:t>2021</w:t>
            </w:r>
            <w:r>
              <w:rPr>
                <w:rFonts w:hint="eastAsia"/>
              </w:rPr>
              <w:t>年</w:t>
            </w:r>
          </w:p>
        </w:tc>
        <w:tc>
          <w:tcPr>
            <w:tcW w:w="851" w:type="dxa"/>
            <w:tcBorders>
              <w:top w:val="single" w:color="000000" w:sz="4" w:space="0"/>
              <w:left w:val="single" w:color="000000" w:sz="4" w:space="0"/>
              <w:bottom w:val="single" w:color="000000" w:sz="4" w:space="0"/>
              <w:right w:val="single" w:color="000000" w:sz="4" w:space="0"/>
            </w:tcBorders>
            <w:vAlign w:val="center"/>
          </w:tcPr>
          <w:p>
            <w:pPr>
              <w:jc w:val="center"/>
            </w:pPr>
            <w:r>
              <w:rPr>
                <w:rFonts w:hint="eastAsia"/>
              </w:rPr>
              <w:t>区水利局</w:t>
            </w:r>
          </w:p>
        </w:tc>
        <w:tc>
          <w:tcPr>
            <w:tcW w:w="709" w:type="dxa"/>
            <w:tcBorders>
              <w:top w:val="single" w:color="000000" w:sz="4" w:space="0"/>
              <w:left w:val="single" w:color="000000" w:sz="4" w:space="0"/>
              <w:bottom w:val="single" w:color="000000" w:sz="4" w:space="0"/>
              <w:right w:val="single" w:color="000000" w:sz="4" w:space="0"/>
            </w:tcBorders>
            <w:vAlign w:val="center"/>
          </w:tcPr>
          <w:p>
            <w:pPr>
              <w:jc w:val="center"/>
            </w:pPr>
            <w:r>
              <w:t>334</w:t>
            </w:r>
          </w:p>
        </w:tc>
        <w:tc>
          <w:tcPr>
            <w:tcW w:w="709"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53"/>
              <w:jc w:val="center"/>
              <w:rPr>
                <w:rFonts w:ascii="Times New Roman" w:hAnsi="Times New Roman"/>
              </w:rPr>
            </w:pPr>
          </w:p>
        </w:tc>
        <w:tc>
          <w:tcPr>
            <w:tcW w:w="709"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53"/>
              <w:jc w:val="center"/>
              <w:rPr>
                <w:rFonts w:ascii="Times New Roman" w:hAnsi="Times New Roman" w:eastAsia="Times New Roman"/>
                <w:sz w:val="24"/>
                <w:szCs w:val="24"/>
              </w:rPr>
            </w:pPr>
            <w:r>
              <w:rPr>
                <w:rFonts w:ascii="Times New Roman" w:hAnsi="Times New Roman" w:eastAsia="Times New Roman"/>
                <w:sz w:val="24"/>
                <w:szCs w:val="24"/>
              </w:rPr>
              <w:t>√</w:t>
            </w:r>
          </w:p>
        </w:tc>
        <w:tc>
          <w:tcPr>
            <w:tcW w:w="708"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53"/>
              <w:jc w:val="center"/>
              <w:rPr>
                <w:rFonts w:ascii="Times New Roman" w:hAnsi="Times New Roman"/>
              </w:rPr>
            </w:pPr>
          </w:p>
        </w:tc>
        <w:tc>
          <w:tcPr>
            <w:tcW w:w="993" w:type="dxa"/>
            <w:vMerge w:val="continue"/>
            <w:tcBorders>
              <w:left w:val="single" w:color="000000" w:sz="4" w:space="0"/>
              <w:bottom w:val="single" w:color="000000" w:sz="4" w:space="0"/>
              <w:right w:val="single" w:color="000000" w:sz="4" w:space="0"/>
            </w:tcBorders>
            <w:vAlign w:val="center"/>
          </w:tcPr>
          <w:p>
            <w:pPr>
              <w:widowControl/>
              <w:spacing w:line="259" w:lineRule="auto"/>
              <w:ind w:left="52"/>
              <w:jc w:val="center"/>
              <w:rPr>
                <w:rFonts w:ascii="Times New Roman" w:hAnsi="Times New Roman"/>
              </w:rPr>
            </w:pPr>
          </w:p>
        </w:tc>
      </w:tr>
      <w:tr>
        <w:tblPrEx>
          <w:tblCellMar>
            <w:top w:w="0" w:type="dxa"/>
            <w:left w:w="0" w:type="dxa"/>
            <w:bottom w:w="0" w:type="dxa"/>
            <w:right w:w="5" w:type="dxa"/>
          </w:tblCellMar>
        </w:tblPrEx>
        <w:trPr>
          <w:trHeight w:val="466" w:hRule="atLeast"/>
        </w:trPr>
        <w:tc>
          <w:tcPr>
            <w:tcW w:w="670"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202"/>
              <w:jc w:val="left"/>
              <w:rPr>
                <w:rFonts w:ascii="Times New Roman" w:hAnsi="Times New Roman"/>
              </w:rPr>
            </w:pPr>
            <w:r>
              <w:rPr>
                <w:rFonts w:ascii="Times New Roman" w:hAnsi="Times New Roman"/>
              </w:rPr>
              <w:t>5</w:t>
            </w:r>
          </w:p>
        </w:tc>
        <w:tc>
          <w:tcPr>
            <w:tcW w:w="709"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50"/>
              <w:jc w:val="center"/>
            </w:pPr>
            <w:r>
              <w:rPr>
                <w:rFonts w:hint="eastAsia"/>
              </w:rPr>
              <w:t>新建</w:t>
            </w:r>
          </w:p>
        </w:tc>
        <w:tc>
          <w:tcPr>
            <w:tcW w:w="1559" w:type="dxa"/>
            <w:tcBorders>
              <w:top w:val="single" w:color="000000" w:sz="4" w:space="0"/>
              <w:left w:val="single" w:color="000000" w:sz="4" w:space="0"/>
              <w:bottom w:val="single" w:color="000000" w:sz="4" w:space="0"/>
              <w:right w:val="single" w:color="000000" w:sz="4" w:space="0"/>
            </w:tcBorders>
            <w:vAlign w:val="center"/>
          </w:tcPr>
          <w:p>
            <w:pPr>
              <w:jc w:val="center"/>
            </w:pPr>
            <w:r>
              <w:rPr>
                <w:rFonts w:hint="eastAsia"/>
              </w:rPr>
              <w:t>两岔水厂（西新村、黄印村）扩网工程</w:t>
            </w:r>
          </w:p>
        </w:tc>
        <w:tc>
          <w:tcPr>
            <w:tcW w:w="851" w:type="dxa"/>
            <w:tcBorders>
              <w:top w:val="single" w:color="000000" w:sz="4" w:space="0"/>
              <w:left w:val="single" w:color="000000" w:sz="4" w:space="0"/>
              <w:bottom w:val="single" w:color="000000" w:sz="4" w:space="0"/>
              <w:right w:val="single" w:color="000000" w:sz="4" w:space="0"/>
            </w:tcBorders>
            <w:vAlign w:val="center"/>
          </w:tcPr>
          <w:p>
            <w:pPr>
              <w:jc w:val="center"/>
            </w:pPr>
            <w:r>
              <w:rPr>
                <w:rFonts w:hint="eastAsia"/>
              </w:rPr>
              <w:t>统景镇</w:t>
            </w:r>
          </w:p>
        </w:tc>
        <w:tc>
          <w:tcPr>
            <w:tcW w:w="4678" w:type="dxa"/>
            <w:tcBorders>
              <w:top w:val="single" w:color="000000" w:sz="4" w:space="0"/>
              <w:left w:val="single" w:color="000000" w:sz="4" w:space="0"/>
              <w:bottom w:val="single" w:color="000000" w:sz="4" w:space="0"/>
              <w:right w:val="single" w:color="000000" w:sz="4" w:space="0"/>
            </w:tcBorders>
            <w:vAlign w:val="center"/>
          </w:tcPr>
          <w:p>
            <w:pPr>
              <w:jc w:val="center"/>
            </w:pPr>
            <w:r>
              <w:rPr>
                <w:rFonts w:hint="eastAsia"/>
              </w:rPr>
              <w:t>在印盒村</w:t>
            </w:r>
            <w:r>
              <w:t>PE90</w:t>
            </w:r>
            <w:r>
              <w:rPr>
                <w:rFonts w:hint="eastAsia"/>
              </w:rPr>
              <w:t>管处开接口，安装</w:t>
            </w:r>
            <w:r>
              <w:t>PE90</w:t>
            </w:r>
            <w:r>
              <w:rPr>
                <w:rFonts w:hint="eastAsia"/>
              </w:rPr>
              <w:t>管</w:t>
            </w:r>
            <w:r>
              <w:t>8000</w:t>
            </w:r>
            <w:r>
              <w:rPr>
                <w:rFonts w:hint="eastAsia"/>
              </w:rPr>
              <w:t>米、</w:t>
            </w:r>
            <w:r>
              <w:t>PE75</w:t>
            </w:r>
            <w:r>
              <w:rPr>
                <w:rFonts w:hint="eastAsia"/>
              </w:rPr>
              <w:t>管</w:t>
            </w:r>
            <w:r>
              <w:t>6000</w:t>
            </w:r>
            <w:r>
              <w:rPr>
                <w:rFonts w:hint="eastAsia"/>
              </w:rPr>
              <w:t>米、</w:t>
            </w:r>
            <w:r>
              <w:t>PE32</w:t>
            </w:r>
            <w:r>
              <w:rPr>
                <w:rFonts w:hint="eastAsia"/>
              </w:rPr>
              <w:t>管</w:t>
            </w:r>
            <w:r>
              <w:t>10000</w:t>
            </w:r>
            <w:r>
              <w:rPr>
                <w:rFonts w:hint="eastAsia"/>
              </w:rPr>
              <w:t>米、</w:t>
            </w:r>
            <w:r>
              <w:t>PE20</w:t>
            </w:r>
            <w:r>
              <w:rPr>
                <w:rFonts w:hint="eastAsia"/>
              </w:rPr>
              <w:t>管</w:t>
            </w:r>
            <w:r>
              <w:t>10000</w:t>
            </w:r>
            <w:r>
              <w:rPr>
                <w:rFonts w:hint="eastAsia"/>
              </w:rPr>
              <w:t>米。</w:t>
            </w:r>
          </w:p>
        </w:tc>
        <w:tc>
          <w:tcPr>
            <w:tcW w:w="850" w:type="dxa"/>
            <w:tcBorders>
              <w:top w:val="single" w:color="000000" w:sz="4" w:space="0"/>
              <w:left w:val="single" w:color="000000" w:sz="4" w:space="0"/>
              <w:bottom w:val="single" w:color="000000" w:sz="4" w:space="0"/>
              <w:right w:val="single" w:color="000000" w:sz="4" w:space="0"/>
            </w:tcBorders>
            <w:vAlign w:val="center"/>
          </w:tcPr>
          <w:p>
            <w:pPr>
              <w:jc w:val="center"/>
            </w:pPr>
            <w:r>
              <w:t>2021</w:t>
            </w:r>
            <w:r>
              <w:rPr>
                <w:rFonts w:hint="eastAsia"/>
              </w:rPr>
              <w:t>年</w:t>
            </w:r>
          </w:p>
        </w:tc>
        <w:tc>
          <w:tcPr>
            <w:tcW w:w="851" w:type="dxa"/>
            <w:tcBorders>
              <w:top w:val="single" w:color="000000" w:sz="4" w:space="0"/>
              <w:left w:val="single" w:color="000000" w:sz="4" w:space="0"/>
              <w:bottom w:val="single" w:color="000000" w:sz="4" w:space="0"/>
              <w:right w:val="single" w:color="000000" w:sz="4" w:space="0"/>
            </w:tcBorders>
            <w:vAlign w:val="center"/>
          </w:tcPr>
          <w:p>
            <w:pPr>
              <w:jc w:val="center"/>
            </w:pPr>
            <w:r>
              <w:rPr>
                <w:rFonts w:hint="eastAsia"/>
              </w:rPr>
              <w:t>区水利局</w:t>
            </w:r>
          </w:p>
        </w:tc>
        <w:tc>
          <w:tcPr>
            <w:tcW w:w="709" w:type="dxa"/>
            <w:tcBorders>
              <w:top w:val="single" w:color="000000" w:sz="4" w:space="0"/>
              <w:left w:val="single" w:color="000000" w:sz="4" w:space="0"/>
              <w:bottom w:val="single" w:color="000000" w:sz="4" w:space="0"/>
              <w:right w:val="single" w:color="000000" w:sz="4" w:space="0"/>
            </w:tcBorders>
            <w:vAlign w:val="center"/>
          </w:tcPr>
          <w:p>
            <w:pPr>
              <w:jc w:val="center"/>
            </w:pPr>
            <w:r>
              <w:t>200</w:t>
            </w:r>
          </w:p>
        </w:tc>
        <w:tc>
          <w:tcPr>
            <w:tcW w:w="709"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53"/>
              <w:jc w:val="center"/>
              <w:rPr>
                <w:rFonts w:ascii="Times New Roman" w:hAnsi="Times New Roman"/>
              </w:rPr>
            </w:pPr>
          </w:p>
        </w:tc>
        <w:tc>
          <w:tcPr>
            <w:tcW w:w="709"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53"/>
              <w:jc w:val="center"/>
              <w:rPr>
                <w:rFonts w:ascii="Times New Roman" w:hAnsi="Times New Roman"/>
                <w:sz w:val="24"/>
                <w:szCs w:val="24"/>
              </w:rPr>
            </w:pPr>
            <w:r>
              <w:rPr>
                <w:rFonts w:ascii="Times New Roman" w:hAnsi="Times New Roman" w:eastAsia="Times New Roman"/>
                <w:sz w:val="24"/>
                <w:szCs w:val="24"/>
              </w:rPr>
              <w:t>√</w:t>
            </w:r>
          </w:p>
        </w:tc>
        <w:tc>
          <w:tcPr>
            <w:tcW w:w="708"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53"/>
              <w:jc w:val="center"/>
              <w:rPr>
                <w:rFonts w:ascii="Times New Roman" w:hAnsi="Times New Roman"/>
              </w:rPr>
            </w:pPr>
          </w:p>
        </w:tc>
        <w:tc>
          <w:tcPr>
            <w:tcW w:w="993" w:type="dxa"/>
            <w:vMerge w:val="restart"/>
            <w:tcBorders>
              <w:top w:val="single" w:color="000000" w:sz="4" w:space="0"/>
              <w:left w:val="single" w:color="000000" w:sz="4" w:space="0"/>
              <w:right w:val="single" w:color="000000" w:sz="4" w:space="0"/>
            </w:tcBorders>
            <w:vAlign w:val="center"/>
          </w:tcPr>
          <w:p>
            <w:pPr>
              <w:widowControl/>
              <w:spacing w:line="259" w:lineRule="auto"/>
              <w:ind w:left="52"/>
              <w:jc w:val="center"/>
              <w:rPr>
                <w:rFonts w:ascii="Times New Roman" w:hAnsi="Times New Roman"/>
              </w:rPr>
            </w:pPr>
            <w:r>
              <w:rPr>
                <w:rFonts w:hint="eastAsia" w:ascii="宋体" w:hAnsi="宋体" w:cs="宋体"/>
              </w:rPr>
              <w:t>已列入《重庆市渝北区</w:t>
            </w:r>
            <w:r>
              <w:rPr>
                <w:rFonts w:ascii="Times New Roman" w:hAnsi="Times New Roman"/>
              </w:rPr>
              <w:t>“</w:t>
            </w:r>
            <w:r>
              <w:rPr>
                <w:rFonts w:hint="eastAsia" w:ascii="宋体" w:hAnsi="宋体" w:cs="宋体"/>
              </w:rPr>
              <w:t>十四五</w:t>
            </w:r>
            <w:r>
              <w:rPr>
                <w:rFonts w:ascii="Times New Roman" w:hAnsi="Times New Roman"/>
              </w:rPr>
              <w:t>”</w:t>
            </w:r>
            <w:r>
              <w:rPr>
                <w:rFonts w:hint="eastAsia" w:ascii="宋体" w:hAnsi="宋体" w:cs="宋体"/>
              </w:rPr>
              <w:t>水安全保障规划报告》</w:t>
            </w:r>
          </w:p>
        </w:tc>
      </w:tr>
      <w:tr>
        <w:tblPrEx>
          <w:tblCellMar>
            <w:top w:w="0" w:type="dxa"/>
            <w:left w:w="0" w:type="dxa"/>
            <w:bottom w:w="0" w:type="dxa"/>
            <w:right w:w="5" w:type="dxa"/>
          </w:tblCellMar>
        </w:tblPrEx>
        <w:trPr>
          <w:trHeight w:val="466" w:hRule="atLeast"/>
        </w:trPr>
        <w:tc>
          <w:tcPr>
            <w:tcW w:w="670"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202"/>
              <w:jc w:val="left"/>
              <w:rPr>
                <w:rFonts w:ascii="Times New Roman" w:hAnsi="Times New Roman"/>
              </w:rPr>
            </w:pPr>
            <w:r>
              <w:rPr>
                <w:rFonts w:ascii="Times New Roman" w:hAnsi="Times New Roman"/>
              </w:rPr>
              <w:t>6</w:t>
            </w:r>
          </w:p>
        </w:tc>
        <w:tc>
          <w:tcPr>
            <w:tcW w:w="709"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50"/>
              <w:jc w:val="center"/>
            </w:pPr>
            <w:r>
              <w:rPr>
                <w:rFonts w:hint="eastAsia"/>
              </w:rPr>
              <w:t>新建</w:t>
            </w:r>
          </w:p>
        </w:tc>
        <w:tc>
          <w:tcPr>
            <w:tcW w:w="1559" w:type="dxa"/>
            <w:tcBorders>
              <w:top w:val="single" w:color="000000" w:sz="4" w:space="0"/>
              <w:left w:val="single" w:color="000000" w:sz="4" w:space="0"/>
              <w:bottom w:val="single" w:color="000000" w:sz="4" w:space="0"/>
              <w:right w:val="single" w:color="000000" w:sz="4" w:space="0"/>
            </w:tcBorders>
            <w:vAlign w:val="center"/>
          </w:tcPr>
          <w:p>
            <w:pPr>
              <w:jc w:val="center"/>
            </w:pPr>
            <w:r>
              <w:rPr>
                <w:rFonts w:hint="eastAsia"/>
              </w:rPr>
              <w:t>统景场镇供水主管网改造工程</w:t>
            </w:r>
          </w:p>
        </w:tc>
        <w:tc>
          <w:tcPr>
            <w:tcW w:w="851" w:type="dxa"/>
            <w:tcBorders>
              <w:top w:val="single" w:color="000000" w:sz="4" w:space="0"/>
              <w:left w:val="single" w:color="000000" w:sz="4" w:space="0"/>
              <w:bottom w:val="single" w:color="000000" w:sz="4" w:space="0"/>
              <w:right w:val="single" w:color="000000" w:sz="4" w:space="0"/>
            </w:tcBorders>
            <w:vAlign w:val="center"/>
          </w:tcPr>
          <w:p>
            <w:pPr>
              <w:jc w:val="center"/>
            </w:pPr>
            <w:r>
              <w:rPr>
                <w:rFonts w:hint="eastAsia"/>
              </w:rPr>
              <w:t>统景镇</w:t>
            </w:r>
          </w:p>
        </w:tc>
        <w:tc>
          <w:tcPr>
            <w:tcW w:w="4678" w:type="dxa"/>
            <w:tcBorders>
              <w:top w:val="single" w:color="000000" w:sz="4" w:space="0"/>
              <w:left w:val="single" w:color="000000" w:sz="4" w:space="0"/>
              <w:bottom w:val="single" w:color="000000" w:sz="4" w:space="0"/>
              <w:right w:val="single" w:color="000000" w:sz="4" w:space="0"/>
            </w:tcBorders>
            <w:vAlign w:val="center"/>
          </w:tcPr>
          <w:p>
            <w:pPr>
              <w:jc w:val="center"/>
            </w:pPr>
            <w:r>
              <w:rPr>
                <w:rFonts w:hint="eastAsia"/>
              </w:rPr>
              <w:t>将统景场镇原树枝状管网改为环状管网，将原供水管道改为球磨铸铁管。完善河坝水厂管道，纳入统景供水厂供水范围。在御临村、前锋村各建</w:t>
            </w:r>
            <w:r>
              <w:t>100m3</w:t>
            </w:r>
            <w:r>
              <w:rPr>
                <w:rFonts w:hint="eastAsia"/>
              </w:rPr>
              <w:t>高位蓄水池共</w:t>
            </w:r>
            <w:r>
              <w:t>2</w:t>
            </w:r>
            <w:r>
              <w:rPr>
                <w:rFonts w:hint="eastAsia"/>
              </w:rPr>
              <w:t>座、管理房</w:t>
            </w:r>
            <w:r>
              <w:t>2</w:t>
            </w:r>
            <w:r>
              <w:rPr>
                <w:rFonts w:hint="eastAsia"/>
              </w:rPr>
              <w:t>间、增压设备</w:t>
            </w:r>
            <w:r>
              <w:t>4</w:t>
            </w:r>
            <w:r>
              <w:rPr>
                <w:rFonts w:hint="eastAsia"/>
              </w:rPr>
              <w:t>套，铺设</w:t>
            </w:r>
            <w:r>
              <w:t>DN100</w:t>
            </w:r>
            <w:r>
              <w:rPr>
                <w:rFonts w:hint="eastAsia"/>
              </w:rPr>
              <w:t>钢塑管</w:t>
            </w:r>
            <w:r>
              <w:t>3000</w:t>
            </w:r>
            <w:r>
              <w:rPr>
                <w:rFonts w:hint="eastAsia"/>
              </w:rPr>
              <w:t>米、</w:t>
            </w:r>
            <w:r>
              <w:t>DN50</w:t>
            </w:r>
            <w:r>
              <w:rPr>
                <w:rFonts w:hint="eastAsia"/>
              </w:rPr>
              <w:t>钢塑管</w:t>
            </w:r>
            <w:r>
              <w:t>10000</w:t>
            </w:r>
            <w:r>
              <w:rPr>
                <w:rFonts w:hint="eastAsia"/>
              </w:rPr>
              <w:t>米、</w:t>
            </w:r>
            <w:r>
              <w:t>PE32</w:t>
            </w:r>
            <w:r>
              <w:rPr>
                <w:rFonts w:hint="eastAsia"/>
              </w:rPr>
              <w:t>管</w:t>
            </w:r>
            <w:r>
              <w:t>5000</w:t>
            </w:r>
            <w:r>
              <w:rPr>
                <w:rFonts w:hint="eastAsia"/>
              </w:rPr>
              <w:t>米、</w:t>
            </w:r>
            <w:r>
              <w:t>PE20</w:t>
            </w:r>
            <w:r>
              <w:rPr>
                <w:rFonts w:hint="eastAsia"/>
              </w:rPr>
              <w:t>管</w:t>
            </w:r>
            <w:r>
              <w:t>80000</w:t>
            </w:r>
            <w:r>
              <w:rPr>
                <w:rFonts w:hint="eastAsia"/>
              </w:rPr>
              <w:t>米。</w:t>
            </w:r>
          </w:p>
        </w:tc>
        <w:tc>
          <w:tcPr>
            <w:tcW w:w="850" w:type="dxa"/>
            <w:tcBorders>
              <w:top w:val="single" w:color="000000" w:sz="4" w:space="0"/>
              <w:left w:val="single" w:color="000000" w:sz="4" w:space="0"/>
              <w:bottom w:val="single" w:color="000000" w:sz="4" w:space="0"/>
              <w:right w:val="single" w:color="000000" w:sz="4" w:space="0"/>
            </w:tcBorders>
            <w:vAlign w:val="center"/>
          </w:tcPr>
          <w:p>
            <w:pPr>
              <w:jc w:val="center"/>
            </w:pPr>
            <w:r>
              <w:t>2021</w:t>
            </w:r>
            <w:r>
              <w:rPr>
                <w:rFonts w:hint="eastAsia"/>
              </w:rPr>
              <w:t>年</w:t>
            </w:r>
          </w:p>
        </w:tc>
        <w:tc>
          <w:tcPr>
            <w:tcW w:w="851" w:type="dxa"/>
            <w:tcBorders>
              <w:top w:val="single" w:color="000000" w:sz="4" w:space="0"/>
              <w:left w:val="single" w:color="000000" w:sz="4" w:space="0"/>
              <w:bottom w:val="single" w:color="000000" w:sz="4" w:space="0"/>
              <w:right w:val="single" w:color="000000" w:sz="4" w:space="0"/>
            </w:tcBorders>
            <w:vAlign w:val="center"/>
          </w:tcPr>
          <w:p>
            <w:pPr>
              <w:jc w:val="center"/>
            </w:pPr>
            <w:r>
              <w:rPr>
                <w:rFonts w:hint="eastAsia"/>
              </w:rPr>
              <w:t>区水利局</w:t>
            </w:r>
          </w:p>
        </w:tc>
        <w:tc>
          <w:tcPr>
            <w:tcW w:w="709" w:type="dxa"/>
            <w:tcBorders>
              <w:top w:val="single" w:color="000000" w:sz="4" w:space="0"/>
              <w:left w:val="single" w:color="000000" w:sz="4" w:space="0"/>
              <w:bottom w:val="single" w:color="000000" w:sz="4" w:space="0"/>
              <w:right w:val="single" w:color="000000" w:sz="4" w:space="0"/>
            </w:tcBorders>
            <w:vAlign w:val="center"/>
          </w:tcPr>
          <w:p>
            <w:pPr>
              <w:jc w:val="center"/>
            </w:pPr>
            <w:r>
              <w:t>2500</w:t>
            </w:r>
          </w:p>
        </w:tc>
        <w:tc>
          <w:tcPr>
            <w:tcW w:w="709"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53"/>
              <w:jc w:val="center"/>
              <w:rPr>
                <w:rFonts w:ascii="Times New Roman" w:hAnsi="Times New Roman"/>
              </w:rPr>
            </w:pPr>
          </w:p>
        </w:tc>
        <w:tc>
          <w:tcPr>
            <w:tcW w:w="709"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53"/>
              <w:jc w:val="center"/>
              <w:rPr>
                <w:rFonts w:ascii="Times New Roman" w:hAnsi="Times New Roman"/>
                <w:sz w:val="24"/>
                <w:szCs w:val="24"/>
              </w:rPr>
            </w:pPr>
            <w:r>
              <w:rPr>
                <w:rFonts w:ascii="Times New Roman" w:hAnsi="Times New Roman" w:eastAsia="Times New Roman"/>
                <w:sz w:val="24"/>
                <w:szCs w:val="24"/>
              </w:rPr>
              <w:t>√</w:t>
            </w:r>
          </w:p>
        </w:tc>
        <w:tc>
          <w:tcPr>
            <w:tcW w:w="708"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53"/>
              <w:jc w:val="center"/>
              <w:rPr>
                <w:rFonts w:ascii="Times New Roman" w:hAnsi="Times New Roman"/>
              </w:rPr>
            </w:pPr>
          </w:p>
        </w:tc>
        <w:tc>
          <w:tcPr>
            <w:tcW w:w="993" w:type="dxa"/>
            <w:vMerge w:val="continue"/>
            <w:tcBorders>
              <w:left w:val="single" w:color="000000" w:sz="4" w:space="0"/>
              <w:right w:val="single" w:color="000000" w:sz="4" w:space="0"/>
            </w:tcBorders>
            <w:vAlign w:val="center"/>
          </w:tcPr>
          <w:p>
            <w:pPr>
              <w:widowControl/>
              <w:spacing w:line="259" w:lineRule="auto"/>
              <w:ind w:left="52"/>
              <w:jc w:val="center"/>
              <w:rPr>
                <w:rFonts w:ascii="Times New Roman" w:hAnsi="Times New Roman"/>
              </w:rPr>
            </w:pPr>
          </w:p>
        </w:tc>
      </w:tr>
      <w:tr>
        <w:tblPrEx>
          <w:tblCellMar>
            <w:top w:w="0" w:type="dxa"/>
            <w:left w:w="0" w:type="dxa"/>
            <w:bottom w:w="0" w:type="dxa"/>
            <w:right w:w="5" w:type="dxa"/>
          </w:tblCellMar>
        </w:tblPrEx>
        <w:trPr>
          <w:trHeight w:val="466" w:hRule="atLeast"/>
        </w:trPr>
        <w:tc>
          <w:tcPr>
            <w:tcW w:w="670"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202"/>
              <w:jc w:val="left"/>
              <w:rPr>
                <w:rFonts w:ascii="Times New Roman" w:hAnsi="Times New Roman"/>
              </w:rPr>
            </w:pPr>
            <w:r>
              <w:rPr>
                <w:rFonts w:ascii="Times New Roman" w:hAnsi="Times New Roman"/>
              </w:rPr>
              <w:t>7</w:t>
            </w:r>
          </w:p>
        </w:tc>
        <w:tc>
          <w:tcPr>
            <w:tcW w:w="709"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50"/>
              <w:jc w:val="center"/>
            </w:pPr>
            <w:r>
              <w:rPr>
                <w:rFonts w:hint="eastAsia"/>
              </w:rPr>
              <w:t>新建</w:t>
            </w:r>
          </w:p>
        </w:tc>
        <w:tc>
          <w:tcPr>
            <w:tcW w:w="1559" w:type="dxa"/>
            <w:tcBorders>
              <w:top w:val="single" w:color="000000" w:sz="4" w:space="0"/>
              <w:left w:val="single" w:color="000000" w:sz="4" w:space="0"/>
              <w:bottom w:val="single" w:color="000000" w:sz="4" w:space="0"/>
              <w:right w:val="single" w:color="000000" w:sz="4" w:space="0"/>
            </w:tcBorders>
            <w:vAlign w:val="center"/>
          </w:tcPr>
          <w:p>
            <w:pPr>
              <w:jc w:val="center"/>
            </w:pPr>
            <w:r>
              <w:rPr>
                <w:rFonts w:hint="eastAsia"/>
              </w:rPr>
              <w:t>古路水厂场镇管网改造工程</w:t>
            </w:r>
          </w:p>
        </w:tc>
        <w:tc>
          <w:tcPr>
            <w:tcW w:w="851" w:type="dxa"/>
            <w:tcBorders>
              <w:top w:val="single" w:color="000000" w:sz="4" w:space="0"/>
              <w:left w:val="single" w:color="000000" w:sz="4" w:space="0"/>
              <w:bottom w:val="single" w:color="000000" w:sz="4" w:space="0"/>
              <w:right w:val="single" w:color="000000" w:sz="4" w:space="0"/>
            </w:tcBorders>
            <w:vAlign w:val="center"/>
          </w:tcPr>
          <w:p>
            <w:pPr>
              <w:jc w:val="center"/>
            </w:pPr>
            <w:r>
              <w:rPr>
                <w:rFonts w:hint="eastAsia"/>
              </w:rPr>
              <w:t>古路镇</w:t>
            </w:r>
          </w:p>
        </w:tc>
        <w:tc>
          <w:tcPr>
            <w:tcW w:w="4678" w:type="dxa"/>
            <w:tcBorders>
              <w:top w:val="single" w:color="000000" w:sz="4" w:space="0"/>
              <w:left w:val="single" w:color="000000" w:sz="4" w:space="0"/>
              <w:bottom w:val="single" w:color="000000" w:sz="4" w:space="0"/>
              <w:right w:val="single" w:color="000000" w:sz="4" w:space="0"/>
            </w:tcBorders>
            <w:vAlign w:val="center"/>
          </w:tcPr>
          <w:p>
            <w:pPr>
              <w:jc w:val="center"/>
            </w:pPr>
            <w:r>
              <w:rPr>
                <w:rFonts w:hint="eastAsia"/>
              </w:rPr>
              <w:t>对场镇供水主管道、支管道、表桩（包含水表）更换，供水主管采用球墨铸铁管，支管采用钢塑复合管。</w:t>
            </w:r>
          </w:p>
        </w:tc>
        <w:tc>
          <w:tcPr>
            <w:tcW w:w="850" w:type="dxa"/>
            <w:tcBorders>
              <w:top w:val="single" w:color="000000" w:sz="4" w:space="0"/>
              <w:left w:val="single" w:color="000000" w:sz="4" w:space="0"/>
              <w:bottom w:val="single" w:color="000000" w:sz="4" w:space="0"/>
              <w:right w:val="single" w:color="000000" w:sz="4" w:space="0"/>
            </w:tcBorders>
            <w:vAlign w:val="center"/>
          </w:tcPr>
          <w:p>
            <w:pPr>
              <w:jc w:val="center"/>
            </w:pPr>
            <w:r>
              <w:t>2021</w:t>
            </w:r>
            <w:r>
              <w:rPr>
                <w:rFonts w:hint="eastAsia"/>
              </w:rPr>
              <w:t>年</w:t>
            </w:r>
          </w:p>
        </w:tc>
        <w:tc>
          <w:tcPr>
            <w:tcW w:w="851" w:type="dxa"/>
            <w:tcBorders>
              <w:top w:val="single" w:color="000000" w:sz="4" w:space="0"/>
              <w:left w:val="single" w:color="000000" w:sz="4" w:space="0"/>
              <w:bottom w:val="single" w:color="000000" w:sz="4" w:space="0"/>
              <w:right w:val="single" w:color="000000" w:sz="4" w:space="0"/>
            </w:tcBorders>
            <w:vAlign w:val="center"/>
          </w:tcPr>
          <w:p>
            <w:pPr>
              <w:jc w:val="center"/>
            </w:pPr>
            <w:r>
              <w:rPr>
                <w:rFonts w:hint="eastAsia"/>
              </w:rPr>
              <w:t>区水利局</w:t>
            </w:r>
          </w:p>
        </w:tc>
        <w:tc>
          <w:tcPr>
            <w:tcW w:w="709" w:type="dxa"/>
            <w:tcBorders>
              <w:top w:val="single" w:color="000000" w:sz="4" w:space="0"/>
              <w:left w:val="single" w:color="000000" w:sz="4" w:space="0"/>
              <w:bottom w:val="single" w:color="000000" w:sz="4" w:space="0"/>
              <w:right w:val="single" w:color="000000" w:sz="4" w:space="0"/>
            </w:tcBorders>
            <w:vAlign w:val="center"/>
          </w:tcPr>
          <w:p>
            <w:pPr>
              <w:jc w:val="center"/>
            </w:pPr>
            <w:r>
              <w:t>256</w:t>
            </w:r>
          </w:p>
        </w:tc>
        <w:tc>
          <w:tcPr>
            <w:tcW w:w="709"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53"/>
              <w:jc w:val="center"/>
              <w:rPr>
                <w:rFonts w:ascii="Times New Roman" w:hAnsi="Times New Roman"/>
              </w:rPr>
            </w:pPr>
          </w:p>
        </w:tc>
        <w:tc>
          <w:tcPr>
            <w:tcW w:w="709"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53"/>
              <w:jc w:val="center"/>
              <w:rPr>
                <w:rFonts w:ascii="Times New Roman" w:hAnsi="Times New Roman"/>
                <w:sz w:val="24"/>
                <w:szCs w:val="24"/>
              </w:rPr>
            </w:pPr>
            <w:r>
              <w:rPr>
                <w:rFonts w:ascii="Times New Roman" w:hAnsi="Times New Roman" w:eastAsia="Times New Roman"/>
                <w:sz w:val="24"/>
                <w:szCs w:val="24"/>
              </w:rPr>
              <w:t>√</w:t>
            </w:r>
          </w:p>
        </w:tc>
        <w:tc>
          <w:tcPr>
            <w:tcW w:w="708"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53"/>
              <w:jc w:val="center"/>
              <w:rPr>
                <w:rFonts w:ascii="Times New Roman" w:hAnsi="Times New Roman"/>
              </w:rPr>
            </w:pPr>
          </w:p>
        </w:tc>
        <w:tc>
          <w:tcPr>
            <w:tcW w:w="993" w:type="dxa"/>
            <w:vMerge w:val="continue"/>
            <w:tcBorders>
              <w:left w:val="single" w:color="000000" w:sz="4" w:space="0"/>
              <w:right w:val="single" w:color="000000" w:sz="4" w:space="0"/>
            </w:tcBorders>
            <w:vAlign w:val="center"/>
          </w:tcPr>
          <w:p>
            <w:pPr>
              <w:widowControl/>
              <w:spacing w:line="259" w:lineRule="auto"/>
              <w:ind w:left="52"/>
              <w:jc w:val="center"/>
              <w:rPr>
                <w:rFonts w:ascii="Times New Roman" w:hAnsi="Times New Roman"/>
              </w:rPr>
            </w:pPr>
          </w:p>
        </w:tc>
      </w:tr>
      <w:tr>
        <w:tblPrEx>
          <w:tblCellMar>
            <w:top w:w="0" w:type="dxa"/>
            <w:left w:w="0" w:type="dxa"/>
            <w:bottom w:w="0" w:type="dxa"/>
            <w:right w:w="5" w:type="dxa"/>
          </w:tblCellMar>
        </w:tblPrEx>
        <w:trPr>
          <w:trHeight w:val="466" w:hRule="atLeast"/>
        </w:trPr>
        <w:tc>
          <w:tcPr>
            <w:tcW w:w="670"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202"/>
              <w:jc w:val="left"/>
              <w:rPr>
                <w:rFonts w:ascii="Times New Roman" w:hAnsi="Times New Roman"/>
              </w:rPr>
            </w:pPr>
            <w:r>
              <w:rPr>
                <w:rFonts w:ascii="Times New Roman" w:hAnsi="Times New Roman"/>
              </w:rPr>
              <w:t>8</w:t>
            </w:r>
          </w:p>
        </w:tc>
        <w:tc>
          <w:tcPr>
            <w:tcW w:w="709"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50"/>
              <w:jc w:val="center"/>
            </w:pPr>
            <w:r>
              <w:rPr>
                <w:rFonts w:hint="eastAsia"/>
              </w:rPr>
              <w:t>新建</w:t>
            </w:r>
          </w:p>
        </w:tc>
        <w:tc>
          <w:tcPr>
            <w:tcW w:w="1559" w:type="dxa"/>
            <w:tcBorders>
              <w:top w:val="single" w:color="000000" w:sz="4" w:space="0"/>
              <w:left w:val="single" w:color="000000" w:sz="4" w:space="0"/>
              <w:bottom w:val="single" w:color="000000" w:sz="4" w:space="0"/>
              <w:right w:val="single" w:color="000000" w:sz="4" w:space="0"/>
            </w:tcBorders>
            <w:vAlign w:val="center"/>
          </w:tcPr>
          <w:p>
            <w:pPr>
              <w:jc w:val="center"/>
            </w:pPr>
            <w:r>
              <w:rPr>
                <w:rFonts w:hint="eastAsia"/>
              </w:rPr>
              <w:t>古路镇希望村管网安装工程</w:t>
            </w:r>
          </w:p>
        </w:tc>
        <w:tc>
          <w:tcPr>
            <w:tcW w:w="851" w:type="dxa"/>
            <w:tcBorders>
              <w:top w:val="single" w:color="000000" w:sz="4" w:space="0"/>
              <w:left w:val="single" w:color="000000" w:sz="4" w:space="0"/>
              <w:bottom w:val="single" w:color="000000" w:sz="4" w:space="0"/>
              <w:right w:val="single" w:color="000000" w:sz="4" w:space="0"/>
            </w:tcBorders>
            <w:vAlign w:val="center"/>
          </w:tcPr>
          <w:p>
            <w:pPr>
              <w:jc w:val="center"/>
            </w:pPr>
            <w:r>
              <w:rPr>
                <w:rFonts w:hint="eastAsia"/>
              </w:rPr>
              <w:t>古路镇</w:t>
            </w:r>
          </w:p>
        </w:tc>
        <w:tc>
          <w:tcPr>
            <w:tcW w:w="4678" w:type="dxa"/>
            <w:tcBorders>
              <w:top w:val="single" w:color="000000" w:sz="4" w:space="0"/>
              <w:left w:val="single" w:color="000000" w:sz="4" w:space="0"/>
              <w:bottom w:val="single" w:color="000000" w:sz="4" w:space="0"/>
              <w:right w:val="single" w:color="000000" w:sz="4" w:space="0"/>
            </w:tcBorders>
            <w:vAlign w:val="center"/>
          </w:tcPr>
          <w:p>
            <w:pPr>
              <w:jc w:val="center"/>
            </w:pPr>
            <w:r>
              <w:t>1</w:t>
            </w:r>
            <w:r>
              <w:rPr>
                <w:rFonts w:hint="eastAsia"/>
              </w:rPr>
              <w:t>、工程拟建加压泵房</w:t>
            </w:r>
            <w:r>
              <w:t>1</w:t>
            </w:r>
            <w:r>
              <w:rPr>
                <w:rFonts w:hint="eastAsia"/>
              </w:rPr>
              <w:t>座，增压泵</w:t>
            </w:r>
            <w:r>
              <w:t>2</w:t>
            </w:r>
            <w:r>
              <w:rPr>
                <w:rFonts w:hint="eastAsia"/>
              </w:rPr>
              <w:t>台（一备一用），配套配电、控制等设备；</w:t>
            </w:r>
            <w:r>
              <w:t>2</w:t>
            </w:r>
            <w:r>
              <w:rPr>
                <w:rFonts w:hint="eastAsia"/>
              </w:rPr>
              <w:t>、新建供水主管管材为涂塑钢管，管径为</w:t>
            </w:r>
            <w:r>
              <w:t>DN50</w:t>
            </w:r>
            <w:r>
              <w:rPr>
                <w:rFonts w:hint="eastAsia"/>
              </w:rPr>
              <w:t>，管长</w:t>
            </w:r>
            <w:r>
              <w:t>3500m</w:t>
            </w:r>
            <w:r>
              <w:rPr>
                <w:rFonts w:hint="eastAsia"/>
              </w:rPr>
              <w:t>；</w:t>
            </w:r>
            <w:r>
              <w:t>3</w:t>
            </w:r>
            <w:r>
              <w:rPr>
                <w:rFonts w:hint="eastAsia"/>
              </w:rPr>
              <w:t>、新建高位蓄水池一座，水池容积</w:t>
            </w:r>
            <w:r>
              <w:t>20m3</w:t>
            </w:r>
            <w:r>
              <w:rPr>
                <w:rFonts w:hint="eastAsia"/>
              </w:rPr>
              <w:t>。</w:t>
            </w:r>
            <w:r>
              <w:t>4</w:t>
            </w:r>
            <w:r>
              <w:rPr>
                <w:rFonts w:hint="eastAsia"/>
              </w:rPr>
              <w:t>、新建配水主管为</w:t>
            </w:r>
            <w:r>
              <w:t>PE</w:t>
            </w:r>
            <w:r>
              <w:rPr>
                <w:rFonts w:hint="eastAsia"/>
              </w:rPr>
              <w:t>管，管径</w:t>
            </w:r>
            <w:r>
              <w:t>DN50</w:t>
            </w:r>
            <w:r>
              <w:rPr>
                <w:rFonts w:hint="eastAsia"/>
              </w:rPr>
              <w:t>，管度</w:t>
            </w:r>
            <w:r>
              <w:t>400m</w:t>
            </w:r>
            <w:r>
              <w:rPr>
                <w:rFonts w:hint="eastAsia"/>
              </w:rPr>
              <w:t>；配水支管为</w:t>
            </w:r>
            <w:r>
              <w:t>PE</w:t>
            </w:r>
            <w:r>
              <w:rPr>
                <w:rFonts w:hint="eastAsia"/>
              </w:rPr>
              <w:t>管，管径</w:t>
            </w:r>
            <w:r>
              <w:t>DN40~DN20</w:t>
            </w:r>
            <w:r>
              <w:rPr>
                <w:rFonts w:hint="eastAsia"/>
              </w:rPr>
              <w:t>，管长共计约</w:t>
            </w:r>
            <w:r>
              <w:t>3000m</w:t>
            </w:r>
            <w:r>
              <w:rPr>
                <w:rFonts w:hint="eastAsia"/>
              </w:rPr>
              <w:t>；入户管为</w:t>
            </w:r>
            <w:r>
              <w:t>PE</w:t>
            </w:r>
            <w:r>
              <w:rPr>
                <w:rFonts w:hint="eastAsia"/>
              </w:rPr>
              <w:t>管，管径</w:t>
            </w:r>
            <w:r>
              <w:t>DN20</w:t>
            </w:r>
            <w:r>
              <w:rPr>
                <w:rFonts w:hint="eastAsia"/>
              </w:rPr>
              <w:t>，长度约</w:t>
            </w:r>
            <w:r>
              <w:t>1300m</w:t>
            </w:r>
            <w:r>
              <w:rPr>
                <w:rFonts w:hint="eastAsia"/>
              </w:rPr>
              <w:t>；配套阀表共计约</w:t>
            </w:r>
            <w:r>
              <w:t>66</w:t>
            </w:r>
            <w:r>
              <w:rPr>
                <w:rFonts w:hint="eastAsia"/>
              </w:rPr>
              <w:t>套。为改善古路镇希望村</w:t>
            </w:r>
            <w:r>
              <w:t>1</w:t>
            </w:r>
            <w:r>
              <w:rPr>
                <w:rFonts w:hint="eastAsia"/>
              </w:rPr>
              <w:t>、</w:t>
            </w:r>
            <w:r>
              <w:t>2</w:t>
            </w:r>
            <w:r>
              <w:rPr>
                <w:rFonts w:hint="eastAsia"/>
              </w:rPr>
              <w:t>、</w:t>
            </w:r>
            <w:r>
              <w:t>3</w:t>
            </w:r>
            <w:r>
              <w:rPr>
                <w:rFonts w:hint="eastAsia"/>
              </w:rPr>
              <w:t>社约</w:t>
            </w:r>
            <w:r>
              <w:t>200</w:t>
            </w:r>
            <w:r>
              <w:rPr>
                <w:rFonts w:hint="eastAsia"/>
              </w:rPr>
              <w:t>人的饮水安全问题，供水工程设计规模为</w:t>
            </w:r>
            <w:r>
              <w:t>30m3/d</w:t>
            </w:r>
            <w:r>
              <w:rPr>
                <w:rFonts w:hint="eastAsia"/>
              </w:rPr>
              <w:t>。</w:t>
            </w:r>
          </w:p>
        </w:tc>
        <w:tc>
          <w:tcPr>
            <w:tcW w:w="850" w:type="dxa"/>
            <w:tcBorders>
              <w:top w:val="single" w:color="000000" w:sz="4" w:space="0"/>
              <w:left w:val="single" w:color="000000" w:sz="4" w:space="0"/>
              <w:bottom w:val="single" w:color="000000" w:sz="4" w:space="0"/>
              <w:right w:val="single" w:color="000000" w:sz="4" w:space="0"/>
            </w:tcBorders>
            <w:vAlign w:val="center"/>
          </w:tcPr>
          <w:p>
            <w:pPr>
              <w:jc w:val="center"/>
            </w:pPr>
            <w:r>
              <w:t>2021</w:t>
            </w:r>
            <w:r>
              <w:rPr>
                <w:rFonts w:hint="eastAsia"/>
              </w:rPr>
              <w:t>年</w:t>
            </w:r>
          </w:p>
        </w:tc>
        <w:tc>
          <w:tcPr>
            <w:tcW w:w="851" w:type="dxa"/>
            <w:tcBorders>
              <w:top w:val="single" w:color="000000" w:sz="4" w:space="0"/>
              <w:left w:val="single" w:color="000000" w:sz="4" w:space="0"/>
              <w:bottom w:val="single" w:color="000000" w:sz="4" w:space="0"/>
              <w:right w:val="single" w:color="000000" w:sz="4" w:space="0"/>
            </w:tcBorders>
            <w:vAlign w:val="center"/>
          </w:tcPr>
          <w:p>
            <w:pPr>
              <w:jc w:val="center"/>
            </w:pPr>
            <w:r>
              <w:rPr>
                <w:rFonts w:hint="eastAsia"/>
              </w:rPr>
              <w:t>区水利局</w:t>
            </w:r>
          </w:p>
        </w:tc>
        <w:tc>
          <w:tcPr>
            <w:tcW w:w="709" w:type="dxa"/>
            <w:tcBorders>
              <w:top w:val="single" w:color="000000" w:sz="4" w:space="0"/>
              <w:left w:val="single" w:color="000000" w:sz="4" w:space="0"/>
              <w:bottom w:val="single" w:color="000000" w:sz="4" w:space="0"/>
              <w:right w:val="single" w:color="000000" w:sz="4" w:space="0"/>
            </w:tcBorders>
            <w:vAlign w:val="center"/>
          </w:tcPr>
          <w:p>
            <w:pPr>
              <w:jc w:val="center"/>
            </w:pPr>
            <w:r>
              <w:t>164</w:t>
            </w:r>
          </w:p>
        </w:tc>
        <w:tc>
          <w:tcPr>
            <w:tcW w:w="709"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53"/>
              <w:jc w:val="center"/>
              <w:rPr>
                <w:rFonts w:ascii="Times New Roman" w:hAnsi="Times New Roman"/>
              </w:rPr>
            </w:pPr>
          </w:p>
        </w:tc>
        <w:tc>
          <w:tcPr>
            <w:tcW w:w="709"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53"/>
              <w:jc w:val="center"/>
              <w:rPr>
                <w:rFonts w:ascii="Times New Roman" w:hAnsi="Times New Roman"/>
                <w:sz w:val="24"/>
                <w:szCs w:val="24"/>
              </w:rPr>
            </w:pPr>
            <w:r>
              <w:rPr>
                <w:rFonts w:ascii="Times New Roman" w:hAnsi="Times New Roman" w:eastAsia="Times New Roman"/>
                <w:sz w:val="24"/>
                <w:szCs w:val="24"/>
              </w:rPr>
              <w:t>√</w:t>
            </w:r>
          </w:p>
        </w:tc>
        <w:tc>
          <w:tcPr>
            <w:tcW w:w="708"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53"/>
              <w:jc w:val="center"/>
              <w:rPr>
                <w:rFonts w:ascii="Times New Roman" w:hAnsi="Times New Roman"/>
              </w:rPr>
            </w:pPr>
          </w:p>
        </w:tc>
        <w:tc>
          <w:tcPr>
            <w:tcW w:w="993" w:type="dxa"/>
            <w:vMerge w:val="continue"/>
            <w:tcBorders>
              <w:left w:val="single" w:color="000000" w:sz="4" w:space="0"/>
              <w:bottom w:val="single" w:color="000000" w:sz="4" w:space="0"/>
              <w:right w:val="single" w:color="000000" w:sz="4" w:space="0"/>
            </w:tcBorders>
            <w:vAlign w:val="center"/>
          </w:tcPr>
          <w:p>
            <w:pPr>
              <w:widowControl/>
              <w:spacing w:line="259" w:lineRule="auto"/>
              <w:ind w:left="52"/>
              <w:jc w:val="center"/>
              <w:rPr>
                <w:rFonts w:ascii="Times New Roman" w:hAnsi="Times New Roman"/>
              </w:rPr>
            </w:pPr>
          </w:p>
        </w:tc>
      </w:tr>
      <w:tr>
        <w:tblPrEx>
          <w:tblCellMar>
            <w:top w:w="0" w:type="dxa"/>
            <w:left w:w="0" w:type="dxa"/>
            <w:bottom w:w="0" w:type="dxa"/>
            <w:right w:w="5" w:type="dxa"/>
          </w:tblCellMar>
        </w:tblPrEx>
        <w:trPr>
          <w:trHeight w:val="466" w:hRule="atLeast"/>
        </w:trPr>
        <w:tc>
          <w:tcPr>
            <w:tcW w:w="670"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202"/>
              <w:jc w:val="left"/>
              <w:rPr>
                <w:rFonts w:ascii="Times New Roman" w:hAnsi="Times New Roman"/>
              </w:rPr>
            </w:pPr>
            <w:r>
              <w:rPr>
                <w:rFonts w:ascii="Times New Roman" w:hAnsi="Times New Roman"/>
              </w:rPr>
              <w:t>9</w:t>
            </w:r>
          </w:p>
        </w:tc>
        <w:tc>
          <w:tcPr>
            <w:tcW w:w="709" w:type="dxa"/>
            <w:tcBorders>
              <w:top w:val="single" w:color="000000" w:sz="4" w:space="0"/>
              <w:left w:val="single" w:color="000000" w:sz="4" w:space="0"/>
              <w:bottom w:val="single" w:color="000000" w:sz="4" w:space="0"/>
              <w:right w:val="single" w:color="000000" w:sz="4" w:space="0"/>
            </w:tcBorders>
            <w:vAlign w:val="center"/>
          </w:tcPr>
          <w:p>
            <w:pPr>
              <w:jc w:val="center"/>
            </w:pPr>
            <w:r>
              <w:rPr>
                <w:rFonts w:hint="eastAsia"/>
              </w:rPr>
              <w:t>新建</w:t>
            </w:r>
          </w:p>
        </w:tc>
        <w:tc>
          <w:tcPr>
            <w:tcW w:w="1559" w:type="dxa"/>
            <w:tcBorders>
              <w:top w:val="single" w:color="000000" w:sz="4" w:space="0"/>
              <w:left w:val="single" w:color="000000" w:sz="4" w:space="0"/>
              <w:bottom w:val="single" w:color="000000" w:sz="4" w:space="0"/>
              <w:right w:val="single" w:color="000000" w:sz="4" w:space="0"/>
            </w:tcBorders>
            <w:vAlign w:val="center"/>
          </w:tcPr>
          <w:p>
            <w:pPr>
              <w:jc w:val="center"/>
            </w:pPr>
            <w:r>
              <w:rPr>
                <w:rFonts w:hint="eastAsia"/>
              </w:rPr>
              <w:t>玉峰山自来水管网户表改造</w:t>
            </w:r>
          </w:p>
        </w:tc>
        <w:tc>
          <w:tcPr>
            <w:tcW w:w="851" w:type="dxa"/>
            <w:tcBorders>
              <w:top w:val="single" w:color="000000" w:sz="4" w:space="0"/>
              <w:left w:val="single" w:color="000000" w:sz="4" w:space="0"/>
              <w:bottom w:val="single" w:color="000000" w:sz="4" w:space="0"/>
              <w:right w:val="single" w:color="000000" w:sz="4" w:space="0"/>
            </w:tcBorders>
            <w:vAlign w:val="center"/>
          </w:tcPr>
          <w:p>
            <w:pPr>
              <w:jc w:val="center"/>
            </w:pPr>
            <w:r>
              <w:rPr>
                <w:rFonts w:hint="eastAsia"/>
              </w:rPr>
              <w:t>玉峰山镇</w:t>
            </w:r>
          </w:p>
        </w:tc>
        <w:tc>
          <w:tcPr>
            <w:tcW w:w="4678" w:type="dxa"/>
            <w:tcBorders>
              <w:top w:val="single" w:color="000000" w:sz="4" w:space="0"/>
              <w:left w:val="single" w:color="000000" w:sz="4" w:space="0"/>
              <w:bottom w:val="single" w:color="000000" w:sz="4" w:space="0"/>
              <w:right w:val="single" w:color="000000" w:sz="4" w:space="0"/>
            </w:tcBorders>
            <w:vAlign w:val="center"/>
          </w:tcPr>
          <w:p>
            <w:pPr>
              <w:jc w:val="center"/>
            </w:pPr>
            <w:r>
              <w:rPr>
                <w:rFonts w:hint="eastAsia"/>
              </w:rPr>
              <w:t>自来水管网改造约</w:t>
            </w:r>
            <w:r>
              <w:t>40000</w:t>
            </w:r>
            <w:r>
              <w:rPr>
                <w:rFonts w:hint="eastAsia"/>
              </w:rPr>
              <w:t>米，户表改造</w:t>
            </w:r>
            <w:r>
              <w:t>3300</w:t>
            </w:r>
            <w:r>
              <w:rPr>
                <w:rFonts w:hint="eastAsia"/>
              </w:rPr>
              <w:t>户。</w:t>
            </w:r>
          </w:p>
        </w:tc>
        <w:tc>
          <w:tcPr>
            <w:tcW w:w="850" w:type="dxa"/>
            <w:tcBorders>
              <w:top w:val="single" w:color="000000" w:sz="4" w:space="0"/>
              <w:left w:val="single" w:color="000000" w:sz="4" w:space="0"/>
              <w:bottom w:val="single" w:color="000000" w:sz="4" w:space="0"/>
              <w:right w:val="single" w:color="000000" w:sz="4" w:space="0"/>
            </w:tcBorders>
            <w:vAlign w:val="center"/>
          </w:tcPr>
          <w:p>
            <w:pPr>
              <w:jc w:val="center"/>
            </w:pPr>
            <w:r>
              <w:t>2021</w:t>
            </w:r>
            <w:r>
              <w:rPr>
                <w:rFonts w:hint="eastAsia"/>
              </w:rPr>
              <w:t>年</w:t>
            </w:r>
          </w:p>
        </w:tc>
        <w:tc>
          <w:tcPr>
            <w:tcW w:w="851" w:type="dxa"/>
            <w:tcBorders>
              <w:top w:val="single" w:color="000000" w:sz="4" w:space="0"/>
              <w:left w:val="single" w:color="000000" w:sz="4" w:space="0"/>
              <w:bottom w:val="single" w:color="000000" w:sz="4" w:space="0"/>
              <w:right w:val="single" w:color="000000" w:sz="4" w:space="0"/>
            </w:tcBorders>
            <w:vAlign w:val="center"/>
          </w:tcPr>
          <w:p>
            <w:pPr>
              <w:jc w:val="center"/>
            </w:pPr>
            <w:r>
              <w:rPr>
                <w:rFonts w:hint="eastAsia"/>
              </w:rPr>
              <w:t>区水利局</w:t>
            </w:r>
          </w:p>
        </w:tc>
        <w:tc>
          <w:tcPr>
            <w:tcW w:w="709" w:type="dxa"/>
            <w:tcBorders>
              <w:top w:val="single" w:color="000000" w:sz="4" w:space="0"/>
              <w:left w:val="single" w:color="000000" w:sz="4" w:space="0"/>
              <w:bottom w:val="single" w:color="000000" w:sz="4" w:space="0"/>
              <w:right w:val="single" w:color="000000" w:sz="4" w:space="0"/>
            </w:tcBorders>
            <w:vAlign w:val="center"/>
          </w:tcPr>
          <w:p>
            <w:pPr>
              <w:jc w:val="center"/>
            </w:pPr>
            <w:r>
              <w:t>800</w:t>
            </w:r>
          </w:p>
        </w:tc>
        <w:tc>
          <w:tcPr>
            <w:tcW w:w="709"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53"/>
              <w:jc w:val="center"/>
              <w:rPr>
                <w:rFonts w:ascii="Times New Roman" w:hAnsi="Times New Roman"/>
              </w:rPr>
            </w:pPr>
          </w:p>
        </w:tc>
        <w:tc>
          <w:tcPr>
            <w:tcW w:w="709"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53"/>
              <w:jc w:val="center"/>
              <w:rPr>
                <w:rFonts w:ascii="Times New Roman" w:hAnsi="Times New Roman"/>
                <w:sz w:val="24"/>
                <w:szCs w:val="24"/>
              </w:rPr>
            </w:pPr>
            <w:r>
              <w:rPr>
                <w:rFonts w:ascii="Times New Roman" w:hAnsi="Times New Roman" w:eastAsia="Times New Roman"/>
                <w:sz w:val="24"/>
                <w:szCs w:val="24"/>
              </w:rPr>
              <w:t>√</w:t>
            </w:r>
          </w:p>
        </w:tc>
        <w:tc>
          <w:tcPr>
            <w:tcW w:w="708" w:type="dxa"/>
            <w:tcBorders>
              <w:top w:val="single" w:color="000000" w:sz="4" w:space="0"/>
              <w:left w:val="single" w:color="000000" w:sz="4" w:space="0"/>
              <w:bottom w:val="single" w:color="auto" w:sz="4" w:space="0"/>
              <w:right w:val="single" w:color="000000" w:sz="4" w:space="0"/>
            </w:tcBorders>
            <w:vAlign w:val="center"/>
          </w:tcPr>
          <w:p>
            <w:pPr>
              <w:widowControl/>
              <w:spacing w:line="259" w:lineRule="auto"/>
              <w:ind w:left="53"/>
              <w:jc w:val="center"/>
              <w:rPr>
                <w:rFonts w:ascii="Times New Roman" w:hAnsi="Times New Roman"/>
              </w:rPr>
            </w:pPr>
          </w:p>
        </w:tc>
        <w:tc>
          <w:tcPr>
            <w:tcW w:w="993" w:type="dxa"/>
            <w:vMerge w:val="restart"/>
            <w:tcBorders>
              <w:top w:val="single" w:color="000000" w:sz="4" w:space="0"/>
              <w:left w:val="single" w:color="000000" w:sz="4" w:space="0"/>
              <w:right w:val="single" w:color="000000" w:sz="4" w:space="0"/>
            </w:tcBorders>
            <w:vAlign w:val="center"/>
          </w:tcPr>
          <w:p>
            <w:pPr>
              <w:spacing w:line="259" w:lineRule="auto"/>
              <w:ind w:left="52"/>
              <w:jc w:val="center"/>
              <w:rPr>
                <w:rFonts w:ascii="Times New Roman" w:hAnsi="Times New Roman"/>
              </w:rPr>
            </w:pPr>
            <w:r>
              <w:rPr>
                <w:rFonts w:hint="eastAsia" w:ascii="宋体" w:hAnsi="宋体" w:cs="宋体"/>
              </w:rPr>
              <w:t>已列入《重庆市渝北区</w:t>
            </w:r>
            <w:r>
              <w:rPr>
                <w:rFonts w:ascii="Times New Roman" w:hAnsi="Times New Roman"/>
              </w:rPr>
              <w:t>“</w:t>
            </w:r>
            <w:r>
              <w:rPr>
                <w:rFonts w:hint="eastAsia" w:ascii="宋体" w:hAnsi="宋体" w:cs="宋体"/>
              </w:rPr>
              <w:t>十四五</w:t>
            </w:r>
            <w:r>
              <w:rPr>
                <w:rFonts w:ascii="Times New Roman" w:hAnsi="Times New Roman"/>
              </w:rPr>
              <w:t>”</w:t>
            </w:r>
            <w:r>
              <w:rPr>
                <w:rFonts w:hint="eastAsia" w:ascii="宋体" w:hAnsi="宋体" w:cs="宋体"/>
              </w:rPr>
              <w:t>水安全保障规划报告》</w:t>
            </w:r>
          </w:p>
        </w:tc>
      </w:tr>
      <w:tr>
        <w:tblPrEx>
          <w:tblCellMar>
            <w:top w:w="0" w:type="dxa"/>
            <w:left w:w="0" w:type="dxa"/>
            <w:bottom w:w="0" w:type="dxa"/>
            <w:right w:w="5" w:type="dxa"/>
          </w:tblCellMar>
        </w:tblPrEx>
        <w:trPr>
          <w:trHeight w:val="466" w:hRule="atLeast"/>
        </w:trPr>
        <w:tc>
          <w:tcPr>
            <w:tcW w:w="670"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202"/>
              <w:jc w:val="left"/>
              <w:rPr>
                <w:rFonts w:ascii="Times New Roman" w:hAnsi="Times New Roman"/>
              </w:rPr>
            </w:pPr>
            <w:r>
              <w:rPr>
                <w:rFonts w:ascii="Times New Roman" w:hAnsi="Times New Roman"/>
              </w:rPr>
              <w:t>10</w:t>
            </w:r>
          </w:p>
        </w:tc>
        <w:tc>
          <w:tcPr>
            <w:tcW w:w="709" w:type="dxa"/>
            <w:tcBorders>
              <w:top w:val="single" w:color="000000" w:sz="4" w:space="0"/>
              <w:left w:val="single" w:color="000000" w:sz="4" w:space="0"/>
              <w:bottom w:val="single" w:color="000000" w:sz="4" w:space="0"/>
              <w:right w:val="single" w:color="000000" w:sz="4" w:space="0"/>
            </w:tcBorders>
            <w:vAlign w:val="center"/>
          </w:tcPr>
          <w:p>
            <w:pPr>
              <w:jc w:val="center"/>
            </w:pPr>
            <w:r>
              <w:rPr>
                <w:rFonts w:hint="eastAsia"/>
              </w:rPr>
              <w:t>新建</w:t>
            </w:r>
          </w:p>
        </w:tc>
        <w:tc>
          <w:tcPr>
            <w:tcW w:w="1559" w:type="dxa"/>
            <w:tcBorders>
              <w:top w:val="single" w:color="000000" w:sz="4" w:space="0"/>
              <w:left w:val="single" w:color="000000" w:sz="4" w:space="0"/>
              <w:bottom w:val="single" w:color="000000" w:sz="4" w:space="0"/>
              <w:right w:val="single" w:color="000000" w:sz="4" w:space="0"/>
            </w:tcBorders>
            <w:vAlign w:val="center"/>
          </w:tcPr>
          <w:p>
            <w:pPr>
              <w:jc w:val="center"/>
            </w:pPr>
            <w:r>
              <w:rPr>
                <w:rFonts w:hint="eastAsia"/>
              </w:rPr>
              <w:t>兴隆镇场镇主管网改造工程</w:t>
            </w:r>
          </w:p>
        </w:tc>
        <w:tc>
          <w:tcPr>
            <w:tcW w:w="851" w:type="dxa"/>
            <w:tcBorders>
              <w:top w:val="single" w:color="000000" w:sz="4" w:space="0"/>
              <w:left w:val="single" w:color="000000" w:sz="4" w:space="0"/>
              <w:bottom w:val="single" w:color="000000" w:sz="4" w:space="0"/>
              <w:right w:val="single" w:color="000000" w:sz="4" w:space="0"/>
            </w:tcBorders>
            <w:vAlign w:val="center"/>
          </w:tcPr>
          <w:p>
            <w:pPr>
              <w:jc w:val="center"/>
            </w:pPr>
            <w:r>
              <w:rPr>
                <w:rFonts w:hint="eastAsia"/>
              </w:rPr>
              <w:t>兴隆镇</w:t>
            </w:r>
          </w:p>
        </w:tc>
        <w:tc>
          <w:tcPr>
            <w:tcW w:w="4678" w:type="dxa"/>
            <w:tcBorders>
              <w:top w:val="single" w:color="000000" w:sz="4" w:space="0"/>
              <w:left w:val="single" w:color="000000" w:sz="4" w:space="0"/>
              <w:bottom w:val="single" w:color="000000" w:sz="4" w:space="0"/>
              <w:right w:val="single" w:color="000000" w:sz="4" w:space="0"/>
            </w:tcBorders>
            <w:vAlign w:val="center"/>
          </w:tcPr>
          <w:p>
            <w:pPr>
              <w:jc w:val="center"/>
            </w:pPr>
            <w:r>
              <w:rPr>
                <w:rFonts w:hint="eastAsia"/>
              </w:rPr>
              <w:t>兴隆镇场镇管网多修建于</w:t>
            </w:r>
            <w:r>
              <w:t>20</w:t>
            </w:r>
            <w:r>
              <w:rPr>
                <w:rFonts w:hint="eastAsia"/>
              </w:rPr>
              <w:t>世纪初，现状老化破损较严重，本项目拟新建场镇范围内供水主管、支管、入户管及入户水表组等附属设施等。</w:t>
            </w:r>
          </w:p>
        </w:tc>
        <w:tc>
          <w:tcPr>
            <w:tcW w:w="850" w:type="dxa"/>
            <w:tcBorders>
              <w:top w:val="single" w:color="000000" w:sz="4" w:space="0"/>
              <w:left w:val="single" w:color="000000" w:sz="4" w:space="0"/>
              <w:bottom w:val="single" w:color="000000" w:sz="4" w:space="0"/>
              <w:right w:val="single" w:color="000000" w:sz="4" w:space="0"/>
            </w:tcBorders>
            <w:vAlign w:val="center"/>
          </w:tcPr>
          <w:p>
            <w:pPr>
              <w:jc w:val="center"/>
            </w:pPr>
            <w:r>
              <w:t>2022</w:t>
            </w:r>
            <w:r>
              <w:rPr>
                <w:rFonts w:hint="eastAsia"/>
              </w:rPr>
              <w:t>年</w:t>
            </w:r>
          </w:p>
        </w:tc>
        <w:tc>
          <w:tcPr>
            <w:tcW w:w="851" w:type="dxa"/>
            <w:tcBorders>
              <w:top w:val="single" w:color="000000" w:sz="4" w:space="0"/>
              <w:left w:val="single" w:color="000000" w:sz="4" w:space="0"/>
              <w:bottom w:val="single" w:color="000000" w:sz="4" w:space="0"/>
              <w:right w:val="single" w:color="000000" w:sz="4" w:space="0"/>
            </w:tcBorders>
            <w:vAlign w:val="center"/>
          </w:tcPr>
          <w:p>
            <w:pPr>
              <w:jc w:val="center"/>
            </w:pPr>
            <w:r>
              <w:rPr>
                <w:rFonts w:hint="eastAsia"/>
              </w:rPr>
              <w:t>区水利局</w:t>
            </w:r>
          </w:p>
        </w:tc>
        <w:tc>
          <w:tcPr>
            <w:tcW w:w="709" w:type="dxa"/>
            <w:tcBorders>
              <w:top w:val="single" w:color="000000" w:sz="4" w:space="0"/>
              <w:left w:val="single" w:color="000000" w:sz="4" w:space="0"/>
              <w:bottom w:val="single" w:color="000000" w:sz="4" w:space="0"/>
              <w:right w:val="single" w:color="000000" w:sz="4" w:space="0"/>
            </w:tcBorders>
            <w:vAlign w:val="center"/>
          </w:tcPr>
          <w:p>
            <w:pPr>
              <w:jc w:val="center"/>
            </w:pPr>
            <w:r>
              <w:t>800</w:t>
            </w:r>
          </w:p>
        </w:tc>
        <w:tc>
          <w:tcPr>
            <w:tcW w:w="709"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53"/>
              <w:jc w:val="center"/>
              <w:rPr>
                <w:rFonts w:ascii="Times New Roman" w:hAnsi="Times New Roman"/>
              </w:rPr>
            </w:pPr>
          </w:p>
        </w:tc>
        <w:tc>
          <w:tcPr>
            <w:tcW w:w="709" w:type="dxa"/>
            <w:tcBorders>
              <w:top w:val="single" w:color="000000" w:sz="4" w:space="0"/>
              <w:left w:val="single" w:color="000000" w:sz="4" w:space="0"/>
              <w:bottom w:val="single" w:color="000000" w:sz="4" w:space="0"/>
              <w:right w:val="single" w:color="auto" w:sz="4" w:space="0"/>
            </w:tcBorders>
            <w:vAlign w:val="center"/>
          </w:tcPr>
          <w:p>
            <w:pPr>
              <w:widowControl/>
              <w:spacing w:line="259" w:lineRule="auto"/>
              <w:ind w:left="53"/>
              <w:jc w:val="center"/>
              <w:rPr>
                <w:rFonts w:ascii="Times New Roman" w:hAnsi="Times New Roman"/>
                <w:sz w:val="24"/>
                <w:szCs w:val="24"/>
              </w:rPr>
            </w:pPr>
            <w:r>
              <w:rPr>
                <w:rFonts w:ascii="Times New Roman" w:hAnsi="Times New Roman" w:eastAsia="Times New Roman"/>
                <w:sz w:val="24"/>
                <w:szCs w:val="24"/>
              </w:rPr>
              <w:t>√</w:t>
            </w:r>
          </w:p>
        </w:tc>
        <w:tc>
          <w:tcPr>
            <w:tcW w:w="708" w:type="dxa"/>
            <w:tcBorders>
              <w:top w:val="single" w:color="auto" w:sz="4" w:space="0"/>
              <w:left w:val="single" w:color="auto" w:sz="4" w:space="0"/>
              <w:bottom w:val="single" w:color="auto" w:sz="4" w:space="0"/>
              <w:right w:val="single" w:color="000000" w:sz="4" w:space="0"/>
            </w:tcBorders>
            <w:vAlign w:val="center"/>
          </w:tcPr>
          <w:p>
            <w:pPr>
              <w:widowControl/>
              <w:spacing w:line="259" w:lineRule="auto"/>
              <w:ind w:left="53"/>
              <w:jc w:val="center"/>
              <w:rPr>
                <w:rFonts w:ascii="Times New Roman" w:hAnsi="Times New Roman"/>
              </w:rPr>
            </w:pPr>
          </w:p>
        </w:tc>
        <w:tc>
          <w:tcPr>
            <w:tcW w:w="993" w:type="dxa"/>
            <w:vMerge w:val="continue"/>
            <w:tcBorders>
              <w:left w:val="single" w:color="000000" w:sz="4" w:space="0"/>
              <w:right w:val="single" w:color="000000" w:sz="4" w:space="0"/>
            </w:tcBorders>
            <w:vAlign w:val="center"/>
          </w:tcPr>
          <w:p>
            <w:pPr>
              <w:widowControl/>
              <w:spacing w:line="259" w:lineRule="auto"/>
              <w:ind w:left="52"/>
              <w:jc w:val="center"/>
              <w:rPr>
                <w:rFonts w:ascii="Times New Roman" w:hAnsi="Times New Roman"/>
              </w:rPr>
            </w:pPr>
          </w:p>
        </w:tc>
      </w:tr>
      <w:tr>
        <w:tblPrEx>
          <w:tblCellMar>
            <w:top w:w="0" w:type="dxa"/>
            <w:left w:w="0" w:type="dxa"/>
            <w:bottom w:w="0" w:type="dxa"/>
            <w:right w:w="5" w:type="dxa"/>
          </w:tblCellMar>
        </w:tblPrEx>
        <w:trPr>
          <w:trHeight w:val="466" w:hRule="atLeast"/>
        </w:trPr>
        <w:tc>
          <w:tcPr>
            <w:tcW w:w="670"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202"/>
              <w:jc w:val="left"/>
              <w:rPr>
                <w:rFonts w:ascii="Times New Roman" w:hAnsi="Times New Roman"/>
              </w:rPr>
            </w:pPr>
            <w:r>
              <w:rPr>
                <w:rFonts w:ascii="Times New Roman" w:hAnsi="Times New Roman"/>
              </w:rPr>
              <w:t>11</w:t>
            </w:r>
          </w:p>
        </w:tc>
        <w:tc>
          <w:tcPr>
            <w:tcW w:w="709" w:type="dxa"/>
            <w:tcBorders>
              <w:top w:val="single" w:color="000000" w:sz="4" w:space="0"/>
              <w:left w:val="single" w:color="000000" w:sz="4" w:space="0"/>
              <w:bottom w:val="single" w:color="000000" w:sz="4" w:space="0"/>
              <w:right w:val="single" w:color="000000" w:sz="4" w:space="0"/>
            </w:tcBorders>
            <w:vAlign w:val="center"/>
          </w:tcPr>
          <w:p>
            <w:pPr>
              <w:jc w:val="center"/>
            </w:pPr>
            <w:r>
              <w:rPr>
                <w:rFonts w:hint="eastAsia"/>
              </w:rPr>
              <w:t>新建</w:t>
            </w:r>
          </w:p>
        </w:tc>
        <w:tc>
          <w:tcPr>
            <w:tcW w:w="1559" w:type="dxa"/>
            <w:tcBorders>
              <w:top w:val="single" w:color="000000" w:sz="4" w:space="0"/>
              <w:left w:val="single" w:color="000000" w:sz="4" w:space="0"/>
              <w:bottom w:val="single" w:color="000000" w:sz="4" w:space="0"/>
              <w:right w:val="single" w:color="000000" w:sz="4" w:space="0"/>
            </w:tcBorders>
            <w:vAlign w:val="center"/>
          </w:tcPr>
          <w:p>
            <w:pPr>
              <w:jc w:val="center"/>
            </w:pPr>
            <w:r>
              <w:rPr>
                <w:rFonts w:hint="eastAsia"/>
              </w:rPr>
              <w:t>木耳、石鞋场镇管网改造工程</w:t>
            </w:r>
          </w:p>
        </w:tc>
        <w:tc>
          <w:tcPr>
            <w:tcW w:w="851" w:type="dxa"/>
            <w:tcBorders>
              <w:top w:val="single" w:color="000000" w:sz="4" w:space="0"/>
              <w:left w:val="single" w:color="000000" w:sz="4" w:space="0"/>
              <w:bottom w:val="single" w:color="000000" w:sz="4" w:space="0"/>
              <w:right w:val="single" w:color="000000" w:sz="4" w:space="0"/>
            </w:tcBorders>
            <w:vAlign w:val="center"/>
          </w:tcPr>
          <w:p>
            <w:pPr>
              <w:jc w:val="center"/>
            </w:pPr>
            <w:r>
              <w:rPr>
                <w:rFonts w:hint="eastAsia"/>
              </w:rPr>
              <w:t>木耳镇</w:t>
            </w:r>
          </w:p>
        </w:tc>
        <w:tc>
          <w:tcPr>
            <w:tcW w:w="4678" w:type="dxa"/>
            <w:tcBorders>
              <w:top w:val="single" w:color="000000" w:sz="4" w:space="0"/>
              <w:left w:val="single" w:color="000000" w:sz="4" w:space="0"/>
              <w:bottom w:val="single" w:color="000000" w:sz="4" w:space="0"/>
              <w:right w:val="single" w:color="000000" w:sz="4" w:space="0"/>
            </w:tcBorders>
            <w:vAlign w:val="center"/>
          </w:tcPr>
          <w:p>
            <w:pPr>
              <w:jc w:val="center"/>
            </w:pPr>
            <w:r>
              <w:rPr>
                <w:rFonts w:hint="eastAsia"/>
              </w:rPr>
              <w:t>木耳、石鞋场镇部分管网多修建于</w:t>
            </w:r>
            <w:r>
              <w:t>20</w:t>
            </w:r>
            <w:r>
              <w:rPr>
                <w:rFonts w:hint="eastAsia"/>
              </w:rPr>
              <w:t>世纪初，现状老化破损较严重，本项目拟新建场镇范围内的供水主管、支管、入户管及入户水表组等附属设施等。</w:t>
            </w:r>
          </w:p>
        </w:tc>
        <w:tc>
          <w:tcPr>
            <w:tcW w:w="850" w:type="dxa"/>
            <w:tcBorders>
              <w:top w:val="single" w:color="000000" w:sz="4" w:space="0"/>
              <w:left w:val="single" w:color="000000" w:sz="4" w:space="0"/>
              <w:bottom w:val="single" w:color="000000" w:sz="4" w:space="0"/>
              <w:right w:val="single" w:color="000000" w:sz="4" w:space="0"/>
            </w:tcBorders>
            <w:vAlign w:val="center"/>
          </w:tcPr>
          <w:p>
            <w:pPr>
              <w:jc w:val="center"/>
            </w:pPr>
            <w:r>
              <w:t>2022</w:t>
            </w:r>
            <w:r>
              <w:rPr>
                <w:rFonts w:hint="eastAsia"/>
              </w:rPr>
              <w:t>年</w:t>
            </w:r>
          </w:p>
        </w:tc>
        <w:tc>
          <w:tcPr>
            <w:tcW w:w="851" w:type="dxa"/>
            <w:tcBorders>
              <w:top w:val="single" w:color="000000" w:sz="4" w:space="0"/>
              <w:left w:val="single" w:color="000000" w:sz="4" w:space="0"/>
              <w:bottom w:val="single" w:color="000000" w:sz="4" w:space="0"/>
              <w:right w:val="single" w:color="000000" w:sz="4" w:space="0"/>
            </w:tcBorders>
            <w:vAlign w:val="center"/>
          </w:tcPr>
          <w:p>
            <w:pPr>
              <w:jc w:val="center"/>
            </w:pPr>
            <w:r>
              <w:rPr>
                <w:rFonts w:hint="eastAsia"/>
              </w:rPr>
              <w:t>区水利局</w:t>
            </w:r>
          </w:p>
        </w:tc>
        <w:tc>
          <w:tcPr>
            <w:tcW w:w="709" w:type="dxa"/>
            <w:tcBorders>
              <w:top w:val="single" w:color="000000" w:sz="4" w:space="0"/>
              <w:left w:val="single" w:color="000000" w:sz="4" w:space="0"/>
              <w:bottom w:val="single" w:color="000000" w:sz="4" w:space="0"/>
              <w:right w:val="single" w:color="000000" w:sz="4" w:space="0"/>
            </w:tcBorders>
            <w:vAlign w:val="center"/>
          </w:tcPr>
          <w:p>
            <w:pPr>
              <w:jc w:val="center"/>
            </w:pPr>
            <w:r>
              <w:t>500</w:t>
            </w:r>
          </w:p>
        </w:tc>
        <w:tc>
          <w:tcPr>
            <w:tcW w:w="709"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53"/>
              <w:jc w:val="center"/>
              <w:rPr>
                <w:rFonts w:ascii="Times New Roman" w:hAnsi="Times New Roman"/>
              </w:rPr>
            </w:pPr>
          </w:p>
        </w:tc>
        <w:tc>
          <w:tcPr>
            <w:tcW w:w="709" w:type="dxa"/>
            <w:tcBorders>
              <w:top w:val="single" w:color="000000" w:sz="4" w:space="0"/>
              <w:left w:val="single" w:color="000000" w:sz="4" w:space="0"/>
              <w:bottom w:val="single" w:color="000000" w:sz="4" w:space="0"/>
              <w:right w:val="single" w:color="auto" w:sz="4" w:space="0"/>
            </w:tcBorders>
            <w:vAlign w:val="center"/>
          </w:tcPr>
          <w:p>
            <w:pPr>
              <w:widowControl/>
              <w:spacing w:line="259" w:lineRule="auto"/>
              <w:ind w:left="53"/>
              <w:jc w:val="center"/>
              <w:rPr>
                <w:rFonts w:ascii="Times New Roman" w:hAnsi="Times New Roman"/>
                <w:sz w:val="24"/>
                <w:szCs w:val="24"/>
              </w:rPr>
            </w:pPr>
            <w:r>
              <w:rPr>
                <w:rFonts w:ascii="Times New Roman" w:hAnsi="Times New Roman" w:eastAsia="Times New Roman"/>
                <w:sz w:val="24"/>
                <w:szCs w:val="24"/>
              </w:rPr>
              <w:t>√</w:t>
            </w:r>
          </w:p>
        </w:tc>
        <w:tc>
          <w:tcPr>
            <w:tcW w:w="708" w:type="dxa"/>
            <w:tcBorders>
              <w:top w:val="single" w:color="auto" w:sz="4" w:space="0"/>
              <w:left w:val="single" w:color="auto" w:sz="4" w:space="0"/>
              <w:bottom w:val="single" w:color="auto" w:sz="4" w:space="0"/>
              <w:right w:val="single" w:color="000000" w:sz="4" w:space="0"/>
            </w:tcBorders>
            <w:vAlign w:val="center"/>
          </w:tcPr>
          <w:p>
            <w:pPr>
              <w:widowControl/>
              <w:spacing w:line="259" w:lineRule="auto"/>
              <w:ind w:left="53"/>
              <w:jc w:val="center"/>
              <w:rPr>
                <w:rFonts w:ascii="Times New Roman" w:hAnsi="Times New Roman"/>
              </w:rPr>
            </w:pPr>
          </w:p>
        </w:tc>
        <w:tc>
          <w:tcPr>
            <w:tcW w:w="993" w:type="dxa"/>
            <w:vMerge w:val="continue"/>
            <w:tcBorders>
              <w:left w:val="single" w:color="000000" w:sz="4" w:space="0"/>
              <w:right w:val="single" w:color="000000" w:sz="4" w:space="0"/>
            </w:tcBorders>
            <w:vAlign w:val="center"/>
          </w:tcPr>
          <w:p>
            <w:pPr>
              <w:widowControl/>
              <w:spacing w:line="259" w:lineRule="auto"/>
              <w:ind w:left="52"/>
              <w:jc w:val="center"/>
              <w:rPr>
                <w:rFonts w:ascii="Times New Roman" w:hAnsi="Times New Roman"/>
              </w:rPr>
            </w:pPr>
          </w:p>
        </w:tc>
      </w:tr>
      <w:tr>
        <w:tblPrEx>
          <w:tblCellMar>
            <w:top w:w="0" w:type="dxa"/>
            <w:left w:w="0" w:type="dxa"/>
            <w:bottom w:w="0" w:type="dxa"/>
            <w:right w:w="5" w:type="dxa"/>
          </w:tblCellMar>
        </w:tblPrEx>
        <w:trPr>
          <w:trHeight w:val="466" w:hRule="atLeast"/>
        </w:trPr>
        <w:tc>
          <w:tcPr>
            <w:tcW w:w="670"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202"/>
              <w:jc w:val="left"/>
              <w:rPr>
                <w:rFonts w:ascii="Times New Roman" w:hAnsi="Times New Roman"/>
              </w:rPr>
            </w:pPr>
            <w:r>
              <w:rPr>
                <w:rFonts w:ascii="Times New Roman" w:hAnsi="Times New Roman"/>
              </w:rPr>
              <w:t>12</w:t>
            </w:r>
          </w:p>
        </w:tc>
        <w:tc>
          <w:tcPr>
            <w:tcW w:w="709" w:type="dxa"/>
            <w:tcBorders>
              <w:top w:val="single" w:color="000000" w:sz="4" w:space="0"/>
              <w:left w:val="single" w:color="000000" w:sz="4" w:space="0"/>
              <w:bottom w:val="single" w:color="000000" w:sz="4" w:space="0"/>
              <w:right w:val="single" w:color="000000" w:sz="4" w:space="0"/>
            </w:tcBorders>
            <w:vAlign w:val="center"/>
          </w:tcPr>
          <w:p>
            <w:pPr>
              <w:jc w:val="center"/>
            </w:pPr>
            <w:r>
              <w:rPr>
                <w:rFonts w:hint="eastAsia"/>
              </w:rPr>
              <w:t>新建</w:t>
            </w:r>
          </w:p>
        </w:tc>
        <w:tc>
          <w:tcPr>
            <w:tcW w:w="1559" w:type="dxa"/>
            <w:tcBorders>
              <w:top w:val="single" w:color="000000" w:sz="4" w:space="0"/>
              <w:left w:val="single" w:color="000000" w:sz="4" w:space="0"/>
              <w:bottom w:val="single" w:color="000000" w:sz="4" w:space="0"/>
              <w:right w:val="single" w:color="000000" w:sz="4" w:space="0"/>
            </w:tcBorders>
            <w:vAlign w:val="center"/>
          </w:tcPr>
          <w:p>
            <w:pPr>
              <w:jc w:val="center"/>
            </w:pPr>
            <w:r>
              <w:rPr>
                <w:rFonts w:hint="eastAsia"/>
              </w:rPr>
              <w:t>放牛坪水厂扩网工程（并南天门水厂）</w:t>
            </w:r>
          </w:p>
        </w:tc>
        <w:tc>
          <w:tcPr>
            <w:tcW w:w="851" w:type="dxa"/>
            <w:tcBorders>
              <w:top w:val="single" w:color="000000" w:sz="4" w:space="0"/>
              <w:left w:val="single" w:color="000000" w:sz="4" w:space="0"/>
              <w:bottom w:val="single" w:color="000000" w:sz="4" w:space="0"/>
              <w:right w:val="single" w:color="000000" w:sz="4" w:space="0"/>
            </w:tcBorders>
            <w:vAlign w:val="center"/>
          </w:tcPr>
          <w:p>
            <w:pPr>
              <w:jc w:val="center"/>
            </w:pPr>
            <w:r>
              <w:rPr>
                <w:rFonts w:hint="eastAsia"/>
              </w:rPr>
              <w:t>兴隆镇</w:t>
            </w:r>
          </w:p>
        </w:tc>
        <w:tc>
          <w:tcPr>
            <w:tcW w:w="4678" w:type="dxa"/>
            <w:tcBorders>
              <w:top w:val="single" w:color="000000" w:sz="4" w:space="0"/>
              <w:left w:val="single" w:color="000000" w:sz="4" w:space="0"/>
              <w:bottom w:val="single" w:color="000000" w:sz="4" w:space="0"/>
              <w:right w:val="single" w:color="000000" w:sz="4" w:space="0"/>
            </w:tcBorders>
            <w:vAlign w:val="center"/>
          </w:tcPr>
          <w:p>
            <w:pPr>
              <w:jc w:val="center"/>
            </w:pPr>
            <w:r>
              <w:rPr>
                <w:rFonts w:hint="eastAsia"/>
              </w:rPr>
              <w:t>利用水源地水量有保障的放牛坪水厂提水至高位水池后扩网覆盖水源地水量保障率较低的南天门水厂，并覆盖南天门村高位小型集中式供水工程供区。</w:t>
            </w:r>
          </w:p>
        </w:tc>
        <w:tc>
          <w:tcPr>
            <w:tcW w:w="850" w:type="dxa"/>
            <w:tcBorders>
              <w:top w:val="single" w:color="000000" w:sz="4" w:space="0"/>
              <w:left w:val="single" w:color="000000" w:sz="4" w:space="0"/>
              <w:bottom w:val="single" w:color="000000" w:sz="4" w:space="0"/>
              <w:right w:val="single" w:color="000000" w:sz="4" w:space="0"/>
            </w:tcBorders>
            <w:vAlign w:val="center"/>
          </w:tcPr>
          <w:p>
            <w:pPr>
              <w:jc w:val="center"/>
            </w:pPr>
            <w:r>
              <w:t>2023</w:t>
            </w:r>
            <w:r>
              <w:rPr>
                <w:rFonts w:hint="eastAsia"/>
              </w:rPr>
              <w:t>年</w:t>
            </w:r>
          </w:p>
        </w:tc>
        <w:tc>
          <w:tcPr>
            <w:tcW w:w="851" w:type="dxa"/>
            <w:tcBorders>
              <w:top w:val="single" w:color="000000" w:sz="4" w:space="0"/>
              <w:left w:val="single" w:color="000000" w:sz="4" w:space="0"/>
              <w:bottom w:val="single" w:color="000000" w:sz="4" w:space="0"/>
              <w:right w:val="single" w:color="000000" w:sz="4" w:space="0"/>
            </w:tcBorders>
            <w:vAlign w:val="center"/>
          </w:tcPr>
          <w:p>
            <w:pPr>
              <w:jc w:val="center"/>
            </w:pPr>
            <w:r>
              <w:rPr>
                <w:rFonts w:hint="eastAsia"/>
              </w:rPr>
              <w:t>区水利局</w:t>
            </w:r>
          </w:p>
        </w:tc>
        <w:tc>
          <w:tcPr>
            <w:tcW w:w="709" w:type="dxa"/>
            <w:tcBorders>
              <w:top w:val="single" w:color="000000" w:sz="4" w:space="0"/>
              <w:left w:val="single" w:color="000000" w:sz="4" w:space="0"/>
              <w:bottom w:val="single" w:color="000000" w:sz="4" w:space="0"/>
              <w:right w:val="single" w:color="000000" w:sz="4" w:space="0"/>
            </w:tcBorders>
            <w:vAlign w:val="center"/>
          </w:tcPr>
          <w:p>
            <w:pPr>
              <w:jc w:val="center"/>
            </w:pPr>
            <w:r>
              <w:t>300</w:t>
            </w:r>
          </w:p>
        </w:tc>
        <w:tc>
          <w:tcPr>
            <w:tcW w:w="709"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53"/>
              <w:jc w:val="center"/>
              <w:rPr>
                <w:rFonts w:ascii="Times New Roman" w:hAnsi="Times New Roman"/>
              </w:rPr>
            </w:pPr>
          </w:p>
        </w:tc>
        <w:tc>
          <w:tcPr>
            <w:tcW w:w="709" w:type="dxa"/>
            <w:tcBorders>
              <w:top w:val="single" w:color="000000" w:sz="4" w:space="0"/>
              <w:left w:val="single" w:color="000000" w:sz="4" w:space="0"/>
              <w:bottom w:val="single" w:color="000000" w:sz="4" w:space="0"/>
              <w:right w:val="single" w:color="auto" w:sz="4" w:space="0"/>
            </w:tcBorders>
            <w:vAlign w:val="center"/>
          </w:tcPr>
          <w:p>
            <w:pPr>
              <w:widowControl/>
              <w:spacing w:line="259" w:lineRule="auto"/>
              <w:ind w:left="53"/>
              <w:jc w:val="center"/>
              <w:rPr>
                <w:rFonts w:ascii="Times New Roman" w:hAnsi="Times New Roman"/>
                <w:sz w:val="24"/>
                <w:szCs w:val="24"/>
              </w:rPr>
            </w:pPr>
            <w:r>
              <w:rPr>
                <w:rFonts w:ascii="Times New Roman" w:hAnsi="Times New Roman" w:eastAsia="Times New Roman"/>
                <w:sz w:val="24"/>
                <w:szCs w:val="24"/>
              </w:rPr>
              <w:t>√</w:t>
            </w:r>
          </w:p>
        </w:tc>
        <w:tc>
          <w:tcPr>
            <w:tcW w:w="708" w:type="dxa"/>
            <w:tcBorders>
              <w:top w:val="single" w:color="auto" w:sz="4" w:space="0"/>
              <w:left w:val="single" w:color="auto" w:sz="4" w:space="0"/>
              <w:bottom w:val="single" w:color="auto" w:sz="4" w:space="0"/>
              <w:right w:val="single" w:color="000000" w:sz="4" w:space="0"/>
            </w:tcBorders>
            <w:vAlign w:val="center"/>
          </w:tcPr>
          <w:p>
            <w:pPr>
              <w:widowControl/>
              <w:spacing w:line="259" w:lineRule="auto"/>
              <w:ind w:left="53"/>
              <w:jc w:val="center"/>
              <w:rPr>
                <w:rFonts w:ascii="Times New Roman" w:hAnsi="Times New Roman"/>
              </w:rPr>
            </w:pPr>
          </w:p>
        </w:tc>
        <w:tc>
          <w:tcPr>
            <w:tcW w:w="993" w:type="dxa"/>
            <w:vMerge w:val="continue"/>
            <w:tcBorders>
              <w:left w:val="single" w:color="000000" w:sz="4" w:space="0"/>
              <w:right w:val="single" w:color="000000" w:sz="4" w:space="0"/>
            </w:tcBorders>
            <w:vAlign w:val="center"/>
          </w:tcPr>
          <w:p>
            <w:pPr>
              <w:widowControl/>
              <w:spacing w:line="259" w:lineRule="auto"/>
              <w:ind w:left="52"/>
              <w:jc w:val="center"/>
              <w:rPr>
                <w:rFonts w:ascii="Times New Roman" w:hAnsi="Times New Roman"/>
              </w:rPr>
            </w:pPr>
          </w:p>
        </w:tc>
      </w:tr>
      <w:tr>
        <w:tblPrEx>
          <w:tblCellMar>
            <w:top w:w="0" w:type="dxa"/>
            <w:left w:w="0" w:type="dxa"/>
            <w:bottom w:w="0" w:type="dxa"/>
            <w:right w:w="5" w:type="dxa"/>
          </w:tblCellMar>
        </w:tblPrEx>
        <w:trPr>
          <w:trHeight w:val="466" w:hRule="atLeast"/>
        </w:trPr>
        <w:tc>
          <w:tcPr>
            <w:tcW w:w="670"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202"/>
              <w:jc w:val="left"/>
              <w:rPr>
                <w:rFonts w:ascii="Times New Roman" w:hAnsi="Times New Roman"/>
              </w:rPr>
            </w:pPr>
            <w:r>
              <w:rPr>
                <w:rFonts w:ascii="Times New Roman" w:hAnsi="Times New Roman"/>
              </w:rPr>
              <w:t>13</w:t>
            </w:r>
          </w:p>
        </w:tc>
        <w:tc>
          <w:tcPr>
            <w:tcW w:w="709" w:type="dxa"/>
            <w:tcBorders>
              <w:top w:val="single" w:color="000000" w:sz="4" w:space="0"/>
              <w:left w:val="single" w:color="000000" w:sz="4" w:space="0"/>
              <w:bottom w:val="single" w:color="000000" w:sz="4" w:space="0"/>
              <w:right w:val="single" w:color="000000" w:sz="4" w:space="0"/>
            </w:tcBorders>
            <w:vAlign w:val="center"/>
          </w:tcPr>
          <w:p>
            <w:pPr>
              <w:jc w:val="center"/>
            </w:pPr>
            <w:r>
              <w:rPr>
                <w:rFonts w:hint="eastAsia"/>
              </w:rPr>
              <w:t>新建</w:t>
            </w:r>
          </w:p>
        </w:tc>
        <w:tc>
          <w:tcPr>
            <w:tcW w:w="1559" w:type="dxa"/>
            <w:tcBorders>
              <w:top w:val="single" w:color="000000" w:sz="4" w:space="0"/>
              <w:left w:val="single" w:color="000000" w:sz="4" w:space="0"/>
              <w:bottom w:val="single" w:color="000000" w:sz="4" w:space="0"/>
              <w:right w:val="single" w:color="000000" w:sz="4" w:space="0"/>
            </w:tcBorders>
            <w:vAlign w:val="center"/>
          </w:tcPr>
          <w:p>
            <w:pPr>
              <w:jc w:val="center"/>
            </w:pPr>
            <w:r>
              <w:rPr>
                <w:rFonts w:hint="eastAsia"/>
              </w:rPr>
              <w:t>茨竹水厂扩网工程（并两岔湖水厂）</w:t>
            </w:r>
          </w:p>
        </w:tc>
        <w:tc>
          <w:tcPr>
            <w:tcW w:w="851" w:type="dxa"/>
            <w:tcBorders>
              <w:top w:val="single" w:color="000000" w:sz="4" w:space="0"/>
              <w:left w:val="single" w:color="000000" w:sz="4" w:space="0"/>
              <w:bottom w:val="single" w:color="000000" w:sz="4" w:space="0"/>
              <w:right w:val="single" w:color="000000" w:sz="4" w:space="0"/>
            </w:tcBorders>
            <w:vAlign w:val="center"/>
          </w:tcPr>
          <w:p>
            <w:pPr>
              <w:jc w:val="center"/>
            </w:pPr>
            <w:r>
              <w:rPr>
                <w:rFonts w:hint="eastAsia"/>
              </w:rPr>
              <w:t>大湾镇</w:t>
            </w:r>
          </w:p>
        </w:tc>
        <w:tc>
          <w:tcPr>
            <w:tcW w:w="4678" w:type="dxa"/>
            <w:tcBorders>
              <w:top w:val="single" w:color="000000" w:sz="4" w:space="0"/>
              <w:left w:val="single" w:color="000000" w:sz="4" w:space="0"/>
              <w:bottom w:val="single" w:color="000000" w:sz="4" w:space="0"/>
              <w:right w:val="single" w:color="000000" w:sz="4" w:space="0"/>
            </w:tcBorders>
            <w:vAlign w:val="center"/>
          </w:tcPr>
          <w:p>
            <w:pPr>
              <w:jc w:val="center"/>
            </w:pPr>
            <w:r>
              <w:rPr>
                <w:rFonts w:hint="eastAsia"/>
              </w:rPr>
              <w:t>取消两岔湖水厂取水、制水过程，采用茨竹水厂成品水供至厂区并覆盖两岔湖水厂供区，优化供水工程格局，统一管理。</w:t>
            </w:r>
          </w:p>
        </w:tc>
        <w:tc>
          <w:tcPr>
            <w:tcW w:w="850" w:type="dxa"/>
            <w:tcBorders>
              <w:top w:val="single" w:color="000000" w:sz="4" w:space="0"/>
              <w:left w:val="single" w:color="000000" w:sz="4" w:space="0"/>
              <w:bottom w:val="single" w:color="000000" w:sz="4" w:space="0"/>
              <w:right w:val="single" w:color="000000" w:sz="4" w:space="0"/>
            </w:tcBorders>
            <w:vAlign w:val="center"/>
          </w:tcPr>
          <w:p>
            <w:pPr>
              <w:jc w:val="center"/>
            </w:pPr>
            <w:r>
              <w:t>2023</w:t>
            </w:r>
            <w:r>
              <w:rPr>
                <w:rFonts w:hint="eastAsia"/>
              </w:rPr>
              <w:t>年</w:t>
            </w:r>
          </w:p>
        </w:tc>
        <w:tc>
          <w:tcPr>
            <w:tcW w:w="851" w:type="dxa"/>
            <w:tcBorders>
              <w:top w:val="single" w:color="000000" w:sz="4" w:space="0"/>
              <w:left w:val="single" w:color="000000" w:sz="4" w:space="0"/>
              <w:bottom w:val="single" w:color="000000" w:sz="4" w:space="0"/>
              <w:right w:val="single" w:color="000000" w:sz="4" w:space="0"/>
            </w:tcBorders>
            <w:vAlign w:val="center"/>
          </w:tcPr>
          <w:p>
            <w:pPr>
              <w:jc w:val="center"/>
            </w:pPr>
            <w:r>
              <w:rPr>
                <w:rFonts w:hint="eastAsia"/>
              </w:rPr>
              <w:t>区水利局</w:t>
            </w:r>
          </w:p>
        </w:tc>
        <w:tc>
          <w:tcPr>
            <w:tcW w:w="709" w:type="dxa"/>
            <w:tcBorders>
              <w:top w:val="single" w:color="000000" w:sz="4" w:space="0"/>
              <w:left w:val="single" w:color="000000" w:sz="4" w:space="0"/>
              <w:bottom w:val="single" w:color="000000" w:sz="4" w:space="0"/>
              <w:right w:val="single" w:color="000000" w:sz="4" w:space="0"/>
            </w:tcBorders>
            <w:vAlign w:val="center"/>
          </w:tcPr>
          <w:p>
            <w:pPr>
              <w:jc w:val="center"/>
            </w:pPr>
            <w:r>
              <w:t>300</w:t>
            </w:r>
          </w:p>
        </w:tc>
        <w:tc>
          <w:tcPr>
            <w:tcW w:w="709"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53"/>
              <w:jc w:val="center"/>
              <w:rPr>
                <w:rFonts w:ascii="Times New Roman" w:hAnsi="Times New Roman"/>
              </w:rPr>
            </w:pPr>
          </w:p>
        </w:tc>
        <w:tc>
          <w:tcPr>
            <w:tcW w:w="709" w:type="dxa"/>
            <w:tcBorders>
              <w:top w:val="single" w:color="000000" w:sz="4" w:space="0"/>
              <w:left w:val="single" w:color="000000" w:sz="4" w:space="0"/>
              <w:bottom w:val="single" w:color="000000" w:sz="4" w:space="0"/>
              <w:right w:val="single" w:color="auto" w:sz="4" w:space="0"/>
            </w:tcBorders>
            <w:vAlign w:val="center"/>
          </w:tcPr>
          <w:p>
            <w:pPr>
              <w:widowControl/>
              <w:spacing w:line="259" w:lineRule="auto"/>
              <w:ind w:left="53"/>
              <w:jc w:val="center"/>
              <w:rPr>
                <w:rFonts w:ascii="Times New Roman" w:hAnsi="Times New Roman"/>
                <w:sz w:val="24"/>
                <w:szCs w:val="24"/>
              </w:rPr>
            </w:pPr>
            <w:r>
              <w:rPr>
                <w:rFonts w:ascii="Times New Roman" w:hAnsi="Times New Roman" w:eastAsia="Times New Roman"/>
                <w:sz w:val="24"/>
                <w:szCs w:val="24"/>
              </w:rPr>
              <w:t>√</w:t>
            </w:r>
          </w:p>
        </w:tc>
        <w:tc>
          <w:tcPr>
            <w:tcW w:w="708" w:type="dxa"/>
            <w:tcBorders>
              <w:top w:val="single" w:color="auto" w:sz="4" w:space="0"/>
              <w:left w:val="single" w:color="auto" w:sz="4" w:space="0"/>
              <w:bottom w:val="single" w:color="auto" w:sz="4" w:space="0"/>
              <w:right w:val="single" w:color="000000" w:sz="4" w:space="0"/>
            </w:tcBorders>
            <w:vAlign w:val="center"/>
          </w:tcPr>
          <w:p>
            <w:pPr>
              <w:widowControl/>
              <w:spacing w:line="259" w:lineRule="auto"/>
              <w:ind w:left="53"/>
              <w:jc w:val="center"/>
              <w:rPr>
                <w:rFonts w:ascii="Times New Roman" w:hAnsi="Times New Roman"/>
              </w:rPr>
            </w:pPr>
          </w:p>
        </w:tc>
        <w:tc>
          <w:tcPr>
            <w:tcW w:w="993" w:type="dxa"/>
            <w:vMerge w:val="continue"/>
            <w:tcBorders>
              <w:left w:val="single" w:color="000000" w:sz="4" w:space="0"/>
              <w:right w:val="single" w:color="000000" w:sz="4" w:space="0"/>
            </w:tcBorders>
            <w:vAlign w:val="center"/>
          </w:tcPr>
          <w:p>
            <w:pPr>
              <w:widowControl/>
              <w:spacing w:line="259" w:lineRule="auto"/>
              <w:ind w:left="52"/>
              <w:jc w:val="center"/>
              <w:rPr>
                <w:rFonts w:ascii="Times New Roman" w:hAnsi="Times New Roman"/>
              </w:rPr>
            </w:pPr>
          </w:p>
        </w:tc>
      </w:tr>
      <w:tr>
        <w:tblPrEx>
          <w:tblCellMar>
            <w:top w:w="0" w:type="dxa"/>
            <w:left w:w="0" w:type="dxa"/>
            <w:bottom w:w="0" w:type="dxa"/>
            <w:right w:w="5" w:type="dxa"/>
          </w:tblCellMar>
        </w:tblPrEx>
        <w:trPr>
          <w:trHeight w:val="466" w:hRule="atLeast"/>
        </w:trPr>
        <w:tc>
          <w:tcPr>
            <w:tcW w:w="670"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202"/>
              <w:jc w:val="left"/>
              <w:rPr>
                <w:rFonts w:ascii="Times New Roman" w:hAnsi="Times New Roman"/>
              </w:rPr>
            </w:pPr>
            <w:r>
              <w:rPr>
                <w:rFonts w:ascii="Times New Roman" w:hAnsi="Times New Roman"/>
              </w:rPr>
              <w:t>14</w:t>
            </w:r>
          </w:p>
        </w:tc>
        <w:tc>
          <w:tcPr>
            <w:tcW w:w="709" w:type="dxa"/>
            <w:tcBorders>
              <w:top w:val="single" w:color="000000" w:sz="4" w:space="0"/>
              <w:left w:val="single" w:color="000000" w:sz="4" w:space="0"/>
              <w:bottom w:val="single" w:color="000000" w:sz="4" w:space="0"/>
              <w:right w:val="single" w:color="000000" w:sz="4" w:space="0"/>
            </w:tcBorders>
            <w:vAlign w:val="center"/>
          </w:tcPr>
          <w:p>
            <w:pPr>
              <w:jc w:val="center"/>
            </w:pPr>
            <w:r>
              <w:rPr>
                <w:rFonts w:hint="eastAsia"/>
              </w:rPr>
              <w:t>新建</w:t>
            </w:r>
          </w:p>
        </w:tc>
        <w:tc>
          <w:tcPr>
            <w:tcW w:w="1559" w:type="dxa"/>
            <w:tcBorders>
              <w:top w:val="single" w:color="000000" w:sz="4" w:space="0"/>
              <w:left w:val="single" w:color="000000" w:sz="4" w:space="0"/>
              <w:bottom w:val="single" w:color="000000" w:sz="4" w:space="0"/>
              <w:right w:val="single" w:color="000000" w:sz="4" w:space="0"/>
            </w:tcBorders>
            <w:vAlign w:val="center"/>
          </w:tcPr>
          <w:p>
            <w:pPr>
              <w:jc w:val="center"/>
            </w:pPr>
            <w:r>
              <w:rPr>
                <w:rFonts w:hint="eastAsia"/>
              </w:rPr>
              <w:t>大盛镇场镇管网改造工程</w:t>
            </w:r>
          </w:p>
        </w:tc>
        <w:tc>
          <w:tcPr>
            <w:tcW w:w="851" w:type="dxa"/>
            <w:tcBorders>
              <w:top w:val="single" w:color="000000" w:sz="4" w:space="0"/>
              <w:left w:val="single" w:color="000000" w:sz="4" w:space="0"/>
              <w:bottom w:val="single" w:color="000000" w:sz="4" w:space="0"/>
              <w:right w:val="single" w:color="000000" w:sz="4" w:space="0"/>
            </w:tcBorders>
            <w:vAlign w:val="center"/>
          </w:tcPr>
          <w:p>
            <w:pPr>
              <w:jc w:val="center"/>
            </w:pPr>
            <w:r>
              <w:rPr>
                <w:rFonts w:hint="eastAsia"/>
              </w:rPr>
              <w:t>大盛镇</w:t>
            </w:r>
          </w:p>
        </w:tc>
        <w:tc>
          <w:tcPr>
            <w:tcW w:w="4678" w:type="dxa"/>
            <w:tcBorders>
              <w:top w:val="single" w:color="000000" w:sz="4" w:space="0"/>
              <w:left w:val="single" w:color="000000" w:sz="4" w:space="0"/>
              <w:bottom w:val="single" w:color="000000" w:sz="4" w:space="0"/>
              <w:right w:val="single" w:color="000000" w:sz="4" w:space="0"/>
            </w:tcBorders>
            <w:vAlign w:val="center"/>
          </w:tcPr>
          <w:p>
            <w:pPr>
              <w:jc w:val="center"/>
            </w:pPr>
            <w:r>
              <w:rPr>
                <w:rFonts w:hint="eastAsia"/>
              </w:rPr>
              <w:t>场镇部分管网多修建于</w:t>
            </w:r>
            <w:r>
              <w:t>20</w:t>
            </w:r>
            <w:r>
              <w:rPr>
                <w:rFonts w:hint="eastAsia"/>
              </w:rPr>
              <w:t>世纪初，现状老化破损较严重，本项目拟新建场镇范围内的供水主管、支管、入户管及入户水表组等附属设施等。</w:t>
            </w:r>
          </w:p>
        </w:tc>
        <w:tc>
          <w:tcPr>
            <w:tcW w:w="850" w:type="dxa"/>
            <w:tcBorders>
              <w:top w:val="single" w:color="000000" w:sz="4" w:space="0"/>
              <w:left w:val="single" w:color="000000" w:sz="4" w:space="0"/>
              <w:bottom w:val="single" w:color="000000" w:sz="4" w:space="0"/>
              <w:right w:val="single" w:color="000000" w:sz="4" w:space="0"/>
            </w:tcBorders>
            <w:vAlign w:val="center"/>
          </w:tcPr>
          <w:p>
            <w:pPr>
              <w:jc w:val="center"/>
            </w:pPr>
            <w:r>
              <w:t>2023</w:t>
            </w:r>
            <w:r>
              <w:rPr>
                <w:rFonts w:hint="eastAsia"/>
              </w:rPr>
              <w:t>年</w:t>
            </w:r>
          </w:p>
        </w:tc>
        <w:tc>
          <w:tcPr>
            <w:tcW w:w="851" w:type="dxa"/>
            <w:tcBorders>
              <w:top w:val="single" w:color="000000" w:sz="4" w:space="0"/>
              <w:left w:val="single" w:color="000000" w:sz="4" w:space="0"/>
              <w:bottom w:val="single" w:color="000000" w:sz="4" w:space="0"/>
              <w:right w:val="single" w:color="000000" w:sz="4" w:space="0"/>
            </w:tcBorders>
            <w:vAlign w:val="center"/>
          </w:tcPr>
          <w:p>
            <w:pPr>
              <w:jc w:val="center"/>
            </w:pPr>
            <w:r>
              <w:rPr>
                <w:rFonts w:hint="eastAsia"/>
              </w:rPr>
              <w:t>区水利局</w:t>
            </w:r>
          </w:p>
        </w:tc>
        <w:tc>
          <w:tcPr>
            <w:tcW w:w="709" w:type="dxa"/>
            <w:tcBorders>
              <w:top w:val="single" w:color="000000" w:sz="4" w:space="0"/>
              <w:left w:val="single" w:color="000000" w:sz="4" w:space="0"/>
              <w:bottom w:val="single" w:color="000000" w:sz="4" w:space="0"/>
              <w:right w:val="single" w:color="000000" w:sz="4" w:space="0"/>
            </w:tcBorders>
            <w:vAlign w:val="center"/>
          </w:tcPr>
          <w:p>
            <w:pPr>
              <w:jc w:val="center"/>
            </w:pPr>
            <w:r>
              <w:t>600</w:t>
            </w:r>
          </w:p>
        </w:tc>
        <w:tc>
          <w:tcPr>
            <w:tcW w:w="709"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53"/>
              <w:jc w:val="center"/>
              <w:rPr>
                <w:rFonts w:ascii="Times New Roman" w:hAnsi="Times New Roman"/>
              </w:rPr>
            </w:pPr>
          </w:p>
        </w:tc>
        <w:tc>
          <w:tcPr>
            <w:tcW w:w="709" w:type="dxa"/>
            <w:tcBorders>
              <w:top w:val="single" w:color="000000" w:sz="4" w:space="0"/>
              <w:left w:val="single" w:color="000000" w:sz="4" w:space="0"/>
              <w:bottom w:val="single" w:color="000000" w:sz="4" w:space="0"/>
              <w:right w:val="single" w:color="auto" w:sz="4" w:space="0"/>
            </w:tcBorders>
            <w:vAlign w:val="center"/>
          </w:tcPr>
          <w:p>
            <w:pPr>
              <w:widowControl/>
              <w:spacing w:line="259" w:lineRule="auto"/>
              <w:ind w:left="53"/>
              <w:jc w:val="center"/>
              <w:rPr>
                <w:rFonts w:ascii="Times New Roman" w:hAnsi="Times New Roman"/>
                <w:sz w:val="24"/>
                <w:szCs w:val="24"/>
              </w:rPr>
            </w:pPr>
            <w:r>
              <w:rPr>
                <w:rFonts w:ascii="Times New Roman" w:hAnsi="Times New Roman" w:eastAsia="Times New Roman"/>
                <w:sz w:val="24"/>
                <w:szCs w:val="24"/>
              </w:rPr>
              <w:t>√</w:t>
            </w:r>
          </w:p>
        </w:tc>
        <w:tc>
          <w:tcPr>
            <w:tcW w:w="708" w:type="dxa"/>
            <w:tcBorders>
              <w:top w:val="single" w:color="auto" w:sz="4" w:space="0"/>
              <w:left w:val="single" w:color="auto" w:sz="4" w:space="0"/>
              <w:bottom w:val="single" w:color="auto" w:sz="4" w:space="0"/>
              <w:right w:val="single" w:color="000000" w:sz="4" w:space="0"/>
            </w:tcBorders>
            <w:vAlign w:val="center"/>
          </w:tcPr>
          <w:p>
            <w:pPr>
              <w:widowControl/>
              <w:spacing w:line="259" w:lineRule="auto"/>
              <w:ind w:left="53"/>
              <w:jc w:val="center"/>
              <w:rPr>
                <w:rFonts w:ascii="Times New Roman" w:hAnsi="Times New Roman"/>
              </w:rPr>
            </w:pPr>
          </w:p>
        </w:tc>
        <w:tc>
          <w:tcPr>
            <w:tcW w:w="993" w:type="dxa"/>
            <w:vMerge w:val="continue"/>
            <w:tcBorders>
              <w:left w:val="single" w:color="000000" w:sz="4" w:space="0"/>
              <w:right w:val="single" w:color="000000" w:sz="4" w:space="0"/>
            </w:tcBorders>
            <w:vAlign w:val="center"/>
          </w:tcPr>
          <w:p>
            <w:pPr>
              <w:widowControl/>
              <w:spacing w:line="259" w:lineRule="auto"/>
              <w:ind w:left="52"/>
              <w:jc w:val="center"/>
              <w:rPr>
                <w:rFonts w:ascii="Times New Roman" w:hAnsi="Times New Roman"/>
              </w:rPr>
            </w:pPr>
          </w:p>
        </w:tc>
      </w:tr>
      <w:tr>
        <w:tblPrEx>
          <w:tblCellMar>
            <w:top w:w="0" w:type="dxa"/>
            <w:left w:w="0" w:type="dxa"/>
            <w:bottom w:w="0" w:type="dxa"/>
            <w:right w:w="5" w:type="dxa"/>
          </w:tblCellMar>
        </w:tblPrEx>
        <w:trPr>
          <w:trHeight w:val="466" w:hRule="atLeast"/>
        </w:trPr>
        <w:tc>
          <w:tcPr>
            <w:tcW w:w="670"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202"/>
              <w:jc w:val="left"/>
              <w:rPr>
                <w:rFonts w:ascii="Times New Roman" w:hAnsi="Times New Roman"/>
              </w:rPr>
            </w:pPr>
            <w:r>
              <w:rPr>
                <w:rFonts w:ascii="Times New Roman" w:hAnsi="Times New Roman"/>
              </w:rPr>
              <w:t>15</w:t>
            </w:r>
          </w:p>
        </w:tc>
        <w:tc>
          <w:tcPr>
            <w:tcW w:w="709" w:type="dxa"/>
            <w:tcBorders>
              <w:top w:val="single" w:color="000000" w:sz="4" w:space="0"/>
              <w:left w:val="single" w:color="000000" w:sz="4" w:space="0"/>
              <w:bottom w:val="single" w:color="000000" w:sz="4" w:space="0"/>
              <w:right w:val="single" w:color="000000" w:sz="4" w:space="0"/>
            </w:tcBorders>
            <w:vAlign w:val="center"/>
          </w:tcPr>
          <w:p>
            <w:pPr>
              <w:jc w:val="center"/>
            </w:pPr>
            <w:r>
              <w:rPr>
                <w:rFonts w:hint="eastAsia"/>
              </w:rPr>
              <w:t>新建</w:t>
            </w:r>
          </w:p>
        </w:tc>
        <w:tc>
          <w:tcPr>
            <w:tcW w:w="1559" w:type="dxa"/>
            <w:tcBorders>
              <w:top w:val="single" w:color="000000" w:sz="4" w:space="0"/>
              <w:left w:val="single" w:color="000000" w:sz="4" w:space="0"/>
              <w:bottom w:val="single" w:color="000000" w:sz="4" w:space="0"/>
              <w:right w:val="single" w:color="000000" w:sz="4" w:space="0"/>
            </w:tcBorders>
            <w:vAlign w:val="center"/>
          </w:tcPr>
          <w:p>
            <w:pPr>
              <w:jc w:val="center"/>
            </w:pPr>
            <w:r>
              <w:rPr>
                <w:rFonts w:hint="eastAsia"/>
              </w:rPr>
              <w:t>张关场镇管网改造工程</w:t>
            </w:r>
          </w:p>
        </w:tc>
        <w:tc>
          <w:tcPr>
            <w:tcW w:w="851" w:type="dxa"/>
            <w:tcBorders>
              <w:top w:val="single" w:color="000000" w:sz="4" w:space="0"/>
              <w:left w:val="single" w:color="000000" w:sz="4" w:space="0"/>
              <w:bottom w:val="single" w:color="000000" w:sz="4" w:space="0"/>
              <w:right w:val="single" w:color="000000" w:sz="4" w:space="0"/>
            </w:tcBorders>
            <w:vAlign w:val="center"/>
          </w:tcPr>
          <w:p>
            <w:pPr>
              <w:jc w:val="center"/>
            </w:pPr>
            <w:r>
              <w:rPr>
                <w:rFonts w:hint="eastAsia"/>
              </w:rPr>
              <w:t>洛碛镇</w:t>
            </w:r>
          </w:p>
        </w:tc>
        <w:tc>
          <w:tcPr>
            <w:tcW w:w="4678" w:type="dxa"/>
            <w:tcBorders>
              <w:top w:val="single" w:color="000000" w:sz="4" w:space="0"/>
              <w:left w:val="single" w:color="000000" w:sz="4" w:space="0"/>
              <w:bottom w:val="single" w:color="000000" w:sz="4" w:space="0"/>
              <w:right w:val="single" w:color="000000" w:sz="4" w:space="0"/>
            </w:tcBorders>
            <w:vAlign w:val="center"/>
          </w:tcPr>
          <w:p>
            <w:pPr>
              <w:jc w:val="center"/>
            </w:pPr>
            <w:r>
              <w:rPr>
                <w:rFonts w:hint="eastAsia"/>
              </w:rPr>
              <w:t>场镇部分管网多修建于</w:t>
            </w:r>
            <w:r>
              <w:t>20</w:t>
            </w:r>
            <w:r>
              <w:rPr>
                <w:rFonts w:hint="eastAsia"/>
              </w:rPr>
              <w:t>世纪初，现状老化破损较严重，本项目拟新建场镇范围内的供水主管、支管、入户管及入户水表组等附属设施等。</w:t>
            </w:r>
          </w:p>
        </w:tc>
        <w:tc>
          <w:tcPr>
            <w:tcW w:w="850" w:type="dxa"/>
            <w:tcBorders>
              <w:top w:val="single" w:color="000000" w:sz="4" w:space="0"/>
              <w:left w:val="single" w:color="000000" w:sz="4" w:space="0"/>
              <w:bottom w:val="single" w:color="000000" w:sz="4" w:space="0"/>
              <w:right w:val="single" w:color="000000" w:sz="4" w:space="0"/>
            </w:tcBorders>
            <w:vAlign w:val="center"/>
          </w:tcPr>
          <w:p>
            <w:pPr>
              <w:jc w:val="center"/>
            </w:pPr>
            <w:r>
              <w:t>2023</w:t>
            </w:r>
            <w:r>
              <w:rPr>
                <w:rFonts w:hint="eastAsia"/>
              </w:rPr>
              <w:t>年</w:t>
            </w:r>
          </w:p>
        </w:tc>
        <w:tc>
          <w:tcPr>
            <w:tcW w:w="851" w:type="dxa"/>
            <w:tcBorders>
              <w:top w:val="single" w:color="000000" w:sz="4" w:space="0"/>
              <w:left w:val="single" w:color="000000" w:sz="4" w:space="0"/>
              <w:bottom w:val="single" w:color="000000" w:sz="4" w:space="0"/>
              <w:right w:val="single" w:color="000000" w:sz="4" w:space="0"/>
            </w:tcBorders>
            <w:vAlign w:val="center"/>
          </w:tcPr>
          <w:p>
            <w:pPr>
              <w:jc w:val="center"/>
            </w:pPr>
            <w:r>
              <w:rPr>
                <w:rFonts w:hint="eastAsia"/>
              </w:rPr>
              <w:t>区水利局</w:t>
            </w:r>
          </w:p>
        </w:tc>
        <w:tc>
          <w:tcPr>
            <w:tcW w:w="709" w:type="dxa"/>
            <w:tcBorders>
              <w:top w:val="single" w:color="000000" w:sz="4" w:space="0"/>
              <w:left w:val="single" w:color="000000" w:sz="4" w:space="0"/>
              <w:bottom w:val="single" w:color="000000" w:sz="4" w:space="0"/>
              <w:right w:val="single" w:color="000000" w:sz="4" w:space="0"/>
            </w:tcBorders>
            <w:vAlign w:val="center"/>
          </w:tcPr>
          <w:p>
            <w:pPr>
              <w:jc w:val="center"/>
            </w:pPr>
            <w:r>
              <w:t>300</w:t>
            </w:r>
          </w:p>
        </w:tc>
        <w:tc>
          <w:tcPr>
            <w:tcW w:w="709"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53"/>
              <w:jc w:val="center"/>
              <w:rPr>
                <w:rFonts w:ascii="Times New Roman" w:hAnsi="Times New Roman"/>
              </w:rPr>
            </w:pPr>
          </w:p>
        </w:tc>
        <w:tc>
          <w:tcPr>
            <w:tcW w:w="709" w:type="dxa"/>
            <w:tcBorders>
              <w:top w:val="single" w:color="000000" w:sz="4" w:space="0"/>
              <w:left w:val="single" w:color="000000" w:sz="4" w:space="0"/>
              <w:bottom w:val="single" w:color="000000" w:sz="4" w:space="0"/>
              <w:right w:val="single" w:color="auto" w:sz="4" w:space="0"/>
            </w:tcBorders>
            <w:vAlign w:val="center"/>
          </w:tcPr>
          <w:p>
            <w:pPr>
              <w:widowControl/>
              <w:spacing w:line="259" w:lineRule="auto"/>
              <w:ind w:left="53"/>
              <w:jc w:val="center"/>
              <w:rPr>
                <w:rFonts w:ascii="Times New Roman" w:hAnsi="Times New Roman"/>
                <w:sz w:val="24"/>
                <w:szCs w:val="24"/>
              </w:rPr>
            </w:pPr>
            <w:r>
              <w:rPr>
                <w:rFonts w:ascii="Times New Roman" w:hAnsi="Times New Roman" w:eastAsia="Times New Roman"/>
                <w:sz w:val="24"/>
                <w:szCs w:val="24"/>
              </w:rPr>
              <w:t>√</w:t>
            </w:r>
          </w:p>
        </w:tc>
        <w:tc>
          <w:tcPr>
            <w:tcW w:w="708" w:type="dxa"/>
            <w:tcBorders>
              <w:top w:val="single" w:color="auto" w:sz="4" w:space="0"/>
              <w:left w:val="single" w:color="auto" w:sz="4" w:space="0"/>
              <w:bottom w:val="single" w:color="auto" w:sz="4" w:space="0"/>
              <w:right w:val="single" w:color="000000" w:sz="4" w:space="0"/>
            </w:tcBorders>
            <w:vAlign w:val="center"/>
          </w:tcPr>
          <w:p>
            <w:pPr>
              <w:widowControl/>
              <w:spacing w:line="259" w:lineRule="auto"/>
              <w:ind w:left="53"/>
              <w:jc w:val="center"/>
              <w:rPr>
                <w:rFonts w:ascii="Times New Roman" w:hAnsi="Times New Roman"/>
              </w:rPr>
            </w:pPr>
          </w:p>
        </w:tc>
        <w:tc>
          <w:tcPr>
            <w:tcW w:w="993" w:type="dxa"/>
            <w:vMerge w:val="continue"/>
            <w:tcBorders>
              <w:left w:val="single" w:color="000000" w:sz="4" w:space="0"/>
              <w:right w:val="single" w:color="000000" w:sz="4" w:space="0"/>
            </w:tcBorders>
            <w:vAlign w:val="center"/>
          </w:tcPr>
          <w:p>
            <w:pPr>
              <w:widowControl/>
              <w:spacing w:line="259" w:lineRule="auto"/>
              <w:ind w:left="52"/>
              <w:jc w:val="center"/>
              <w:rPr>
                <w:rFonts w:ascii="Times New Roman" w:hAnsi="Times New Roman"/>
              </w:rPr>
            </w:pPr>
          </w:p>
        </w:tc>
      </w:tr>
      <w:tr>
        <w:tblPrEx>
          <w:tblCellMar>
            <w:top w:w="0" w:type="dxa"/>
            <w:left w:w="0" w:type="dxa"/>
            <w:bottom w:w="0" w:type="dxa"/>
            <w:right w:w="5" w:type="dxa"/>
          </w:tblCellMar>
        </w:tblPrEx>
        <w:trPr>
          <w:trHeight w:val="466" w:hRule="atLeast"/>
        </w:trPr>
        <w:tc>
          <w:tcPr>
            <w:tcW w:w="670"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202"/>
              <w:jc w:val="left"/>
              <w:rPr>
                <w:rFonts w:ascii="Times New Roman" w:hAnsi="Times New Roman"/>
              </w:rPr>
            </w:pPr>
            <w:r>
              <w:rPr>
                <w:rFonts w:ascii="Times New Roman" w:hAnsi="Times New Roman"/>
              </w:rPr>
              <w:t>16</w:t>
            </w:r>
          </w:p>
        </w:tc>
        <w:tc>
          <w:tcPr>
            <w:tcW w:w="709" w:type="dxa"/>
            <w:tcBorders>
              <w:top w:val="single" w:color="000000" w:sz="4" w:space="0"/>
              <w:left w:val="single" w:color="000000" w:sz="4" w:space="0"/>
              <w:bottom w:val="single" w:color="000000" w:sz="4" w:space="0"/>
              <w:right w:val="single" w:color="000000" w:sz="4" w:space="0"/>
            </w:tcBorders>
            <w:vAlign w:val="center"/>
          </w:tcPr>
          <w:p>
            <w:pPr>
              <w:jc w:val="center"/>
            </w:pPr>
            <w:r>
              <w:rPr>
                <w:rFonts w:hint="eastAsia"/>
              </w:rPr>
              <w:t>新建</w:t>
            </w:r>
          </w:p>
        </w:tc>
        <w:tc>
          <w:tcPr>
            <w:tcW w:w="1559" w:type="dxa"/>
            <w:tcBorders>
              <w:top w:val="single" w:color="000000" w:sz="4" w:space="0"/>
              <w:left w:val="single" w:color="000000" w:sz="4" w:space="0"/>
              <w:bottom w:val="single" w:color="000000" w:sz="4" w:space="0"/>
              <w:right w:val="single" w:color="000000" w:sz="4" w:space="0"/>
            </w:tcBorders>
            <w:vAlign w:val="center"/>
          </w:tcPr>
          <w:p>
            <w:pPr>
              <w:jc w:val="center"/>
            </w:pPr>
            <w:r>
              <w:rPr>
                <w:rFonts w:hint="eastAsia"/>
              </w:rPr>
              <w:t>永庆水厂扩网工程（并雨台山水厂）</w:t>
            </w:r>
          </w:p>
        </w:tc>
        <w:tc>
          <w:tcPr>
            <w:tcW w:w="851" w:type="dxa"/>
            <w:tcBorders>
              <w:top w:val="single" w:color="000000" w:sz="4" w:space="0"/>
              <w:left w:val="single" w:color="000000" w:sz="4" w:space="0"/>
              <w:bottom w:val="single" w:color="000000" w:sz="4" w:space="0"/>
              <w:right w:val="single" w:color="000000" w:sz="4" w:space="0"/>
            </w:tcBorders>
            <w:vAlign w:val="center"/>
          </w:tcPr>
          <w:p>
            <w:pPr>
              <w:jc w:val="center"/>
            </w:pPr>
            <w:r>
              <w:rPr>
                <w:rFonts w:hint="eastAsia"/>
              </w:rPr>
              <w:t>兴隆镇</w:t>
            </w:r>
          </w:p>
        </w:tc>
        <w:tc>
          <w:tcPr>
            <w:tcW w:w="4678" w:type="dxa"/>
            <w:tcBorders>
              <w:top w:val="single" w:color="000000" w:sz="4" w:space="0"/>
              <w:left w:val="single" w:color="000000" w:sz="4" w:space="0"/>
              <w:bottom w:val="single" w:color="000000" w:sz="4" w:space="0"/>
              <w:right w:val="single" w:color="000000" w:sz="4" w:space="0"/>
            </w:tcBorders>
            <w:vAlign w:val="center"/>
          </w:tcPr>
          <w:p>
            <w:pPr>
              <w:jc w:val="center"/>
            </w:pPr>
            <w:r>
              <w:rPr>
                <w:rFonts w:hint="eastAsia"/>
              </w:rPr>
              <w:t>取消雨台山水厂取水、制水工程，采用永庆水厂成品水供至厂区并覆盖雨台山水厂供区，优化供水工程格局，统一管理。</w:t>
            </w:r>
          </w:p>
        </w:tc>
        <w:tc>
          <w:tcPr>
            <w:tcW w:w="850" w:type="dxa"/>
            <w:tcBorders>
              <w:top w:val="single" w:color="000000" w:sz="4" w:space="0"/>
              <w:left w:val="single" w:color="000000" w:sz="4" w:space="0"/>
              <w:bottom w:val="single" w:color="000000" w:sz="4" w:space="0"/>
              <w:right w:val="single" w:color="000000" w:sz="4" w:space="0"/>
            </w:tcBorders>
            <w:vAlign w:val="center"/>
          </w:tcPr>
          <w:p>
            <w:pPr>
              <w:jc w:val="center"/>
            </w:pPr>
            <w:r>
              <w:t>2025</w:t>
            </w:r>
            <w:r>
              <w:rPr>
                <w:rFonts w:hint="eastAsia"/>
              </w:rPr>
              <w:t>年</w:t>
            </w:r>
          </w:p>
        </w:tc>
        <w:tc>
          <w:tcPr>
            <w:tcW w:w="851" w:type="dxa"/>
            <w:tcBorders>
              <w:top w:val="single" w:color="000000" w:sz="4" w:space="0"/>
              <w:left w:val="single" w:color="000000" w:sz="4" w:space="0"/>
              <w:bottom w:val="single" w:color="000000" w:sz="4" w:space="0"/>
              <w:right w:val="single" w:color="000000" w:sz="4" w:space="0"/>
            </w:tcBorders>
            <w:vAlign w:val="center"/>
          </w:tcPr>
          <w:p>
            <w:pPr>
              <w:jc w:val="center"/>
            </w:pPr>
            <w:r>
              <w:rPr>
                <w:rFonts w:hint="eastAsia"/>
              </w:rPr>
              <w:t>区水利局</w:t>
            </w:r>
          </w:p>
        </w:tc>
        <w:tc>
          <w:tcPr>
            <w:tcW w:w="709" w:type="dxa"/>
            <w:tcBorders>
              <w:top w:val="single" w:color="000000" w:sz="4" w:space="0"/>
              <w:left w:val="single" w:color="000000" w:sz="4" w:space="0"/>
              <w:bottom w:val="single" w:color="000000" w:sz="4" w:space="0"/>
              <w:right w:val="single" w:color="000000" w:sz="4" w:space="0"/>
            </w:tcBorders>
            <w:vAlign w:val="center"/>
          </w:tcPr>
          <w:p>
            <w:pPr>
              <w:jc w:val="center"/>
            </w:pPr>
            <w:r>
              <w:t>500</w:t>
            </w:r>
          </w:p>
        </w:tc>
        <w:tc>
          <w:tcPr>
            <w:tcW w:w="709"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53"/>
              <w:jc w:val="center"/>
              <w:rPr>
                <w:rFonts w:ascii="Times New Roman" w:hAnsi="Times New Roman"/>
              </w:rPr>
            </w:pPr>
          </w:p>
        </w:tc>
        <w:tc>
          <w:tcPr>
            <w:tcW w:w="709" w:type="dxa"/>
            <w:tcBorders>
              <w:top w:val="single" w:color="000000" w:sz="4" w:space="0"/>
              <w:left w:val="single" w:color="000000" w:sz="4" w:space="0"/>
              <w:bottom w:val="single" w:color="000000" w:sz="4" w:space="0"/>
              <w:right w:val="single" w:color="auto" w:sz="4" w:space="0"/>
            </w:tcBorders>
            <w:vAlign w:val="center"/>
          </w:tcPr>
          <w:p>
            <w:pPr>
              <w:widowControl/>
              <w:spacing w:line="259" w:lineRule="auto"/>
              <w:ind w:left="53"/>
              <w:jc w:val="center"/>
              <w:rPr>
                <w:rFonts w:ascii="Times New Roman" w:hAnsi="Times New Roman"/>
                <w:sz w:val="24"/>
                <w:szCs w:val="24"/>
              </w:rPr>
            </w:pPr>
            <w:r>
              <w:rPr>
                <w:rFonts w:ascii="Times New Roman" w:hAnsi="Times New Roman" w:eastAsia="Times New Roman"/>
                <w:sz w:val="24"/>
                <w:szCs w:val="24"/>
              </w:rPr>
              <w:t>√</w:t>
            </w:r>
          </w:p>
        </w:tc>
        <w:tc>
          <w:tcPr>
            <w:tcW w:w="708" w:type="dxa"/>
            <w:tcBorders>
              <w:top w:val="single" w:color="auto" w:sz="4" w:space="0"/>
              <w:left w:val="single" w:color="auto" w:sz="4" w:space="0"/>
              <w:bottom w:val="single" w:color="auto" w:sz="4" w:space="0"/>
              <w:right w:val="single" w:color="000000" w:sz="4" w:space="0"/>
            </w:tcBorders>
            <w:vAlign w:val="center"/>
          </w:tcPr>
          <w:p>
            <w:pPr>
              <w:widowControl/>
              <w:spacing w:line="259" w:lineRule="auto"/>
              <w:ind w:left="53"/>
              <w:jc w:val="center"/>
              <w:rPr>
                <w:rFonts w:ascii="Times New Roman" w:hAnsi="Times New Roman"/>
              </w:rPr>
            </w:pPr>
          </w:p>
        </w:tc>
        <w:tc>
          <w:tcPr>
            <w:tcW w:w="993" w:type="dxa"/>
            <w:vMerge w:val="continue"/>
            <w:tcBorders>
              <w:left w:val="single" w:color="000000" w:sz="4" w:space="0"/>
              <w:bottom w:val="single" w:color="auto" w:sz="4" w:space="0"/>
              <w:right w:val="single" w:color="000000" w:sz="4" w:space="0"/>
            </w:tcBorders>
            <w:vAlign w:val="center"/>
          </w:tcPr>
          <w:p>
            <w:pPr>
              <w:widowControl/>
              <w:spacing w:line="259" w:lineRule="auto"/>
              <w:ind w:left="52"/>
              <w:jc w:val="center"/>
              <w:rPr>
                <w:rFonts w:ascii="Times New Roman" w:hAnsi="Times New Roman"/>
              </w:rPr>
            </w:pPr>
          </w:p>
        </w:tc>
      </w:tr>
      <w:tr>
        <w:tblPrEx>
          <w:tblCellMar>
            <w:top w:w="0" w:type="dxa"/>
            <w:left w:w="0" w:type="dxa"/>
            <w:bottom w:w="0" w:type="dxa"/>
            <w:right w:w="5" w:type="dxa"/>
          </w:tblCellMar>
        </w:tblPrEx>
        <w:trPr>
          <w:trHeight w:val="279" w:hRule="atLeast"/>
        </w:trPr>
        <w:tc>
          <w:tcPr>
            <w:tcW w:w="670" w:type="dxa"/>
            <w:tcBorders>
              <w:top w:val="single" w:color="000000" w:sz="4" w:space="0"/>
              <w:left w:val="single" w:color="000000" w:sz="4" w:space="0"/>
              <w:bottom w:val="single" w:color="000000" w:sz="4" w:space="0"/>
              <w:right w:val="nil"/>
            </w:tcBorders>
          </w:tcPr>
          <w:p>
            <w:pPr>
              <w:widowControl/>
              <w:spacing w:after="160" w:line="259" w:lineRule="auto"/>
              <w:jc w:val="left"/>
              <w:rPr>
                <w:rFonts w:ascii="Times New Roman" w:hAnsi="Times New Roman" w:eastAsia="Times New Roman"/>
                <w:sz w:val="32"/>
              </w:rPr>
            </w:pPr>
          </w:p>
        </w:tc>
        <w:tc>
          <w:tcPr>
            <w:tcW w:w="709" w:type="dxa"/>
            <w:tcBorders>
              <w:top w:val="single" w:color="000000" w:sz="4" w:space="0"/>
              <w:left w:val="nil"/>
              <w:bottom w:val="single" w:color="000000" w:sz="4" w:space="0"/>
              <w:right w:val="single" w:color="000000" w:sz="4" w:space="0"/>
            </w:tcBorders>
            <w:vAlign w:val="center"/>
          </w:tcPr>
          <w:p>
            <w:pPr>
              <w:widowControl/>
              <w:spacing w:line="259" w:lineRule="auto"/>
              <w:ind w:left="-10"/>
              <w:jc w:val="left"/>
              <w:rPr>
                <w:rFonts w:ascii="Times New Roman" w:hAnsi="Times New Roman" w:eastAsia="Times New Roman"/>
                <w:sz w:val="32"/>
              </w:rPr>
            </w:pPr>
            <w:r>
              <w:rPr>
                <w:rFonts w:hint="eastAsia" w:ascii="Times New Roman" w:hAnsi="Times New Roman"/>
              </w:rPr>
              <w:t>合计</w:t>
            </w:r>
          </w:p>
        </w:tc>
        <w:tc>
          <w:tcPr>
            <w:tcW w:w="1559"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53"/>
              <w:jc w:val="center"/>
              <w:rPr>
                <w:rFonts w:ascii="Times New Roman" w:hAnsi="Times New Roman" w:eastAsia="Times New Roman"/>
                <w:sz w:val="32"/>
              </w:rPr>
            </w:pPr>
          </w:p>
        </w:tc>
        <w:tc>
          <w:tcPr>
            <w:tcW w:w="851"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53"/>
              <w:jc w:val="center"/>
              <w:rPr>
                <w:rFonts w:ascii="Times New Roman" w:hAnsi="Times New Roman" w:eastAsia="Times New Roman"/>
                <w:sz w:val="32"/>
              </w:rPr>
            </w:pPr>
          </w:p>
        </w:tc>
        <w:tc>
          <w:tcPr>
            <w:tcW w:w="4678"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53"/>
              <w:jc w:val="center"/>
              <w:rPr>
                <w:rFonts w:ascii="Times New Roman" w:hAnsi="Times New Roman" w:eastAsia="Times New Roman"/>
                <w:sz w:val="32"/>
              </w:rPr>
            </w:pPr>
          </w:p>
        </w:tc>
        <w:tc>
          <w:tcPr>
            <w:tcW w:w="850"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56"/>
              <w:jc w:val="center"/>
              <w:rPr>
                <w:rFonts w:ascii="Times New Roman" w:hAnsi="Times New Roman" w:eastAsia="Times New Roman"/>
                <w:sz w:val="32"/>
              </w:rPr>
            </w:pPr>
          </w:p>
        </w:tc>
        <w:tc>
          <w:tcPr>
            <w:tcW w:w="851"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50"/>
              <w:jc w:val="center"/>
              <w:rPr>
                <w:rFonts w:ascii="Times New Roman" w:hAnsi="Times New Roman" w:eastAsia="Times New Roman"/>
                <w:sz w:val="32"/>
              </w:rPr>
            </w:pPr>
          </w:p>
        </w:tc>
        <w:tc>
          <w:tcPr>
            <w:tcW w:w="709" w:type="dxa"/>
            <w:tcBorders>
              <w:top w:val="single" w:color="000000" w:sz="4" w:space="0"/>
              <w:left w:val="single" w:color="000000" w:sz="4" w:space="0"/>
              <w:bottom w:val="single" w:color="000000" w:sz="4" w:space="0"/>
              <w:right w:val="single" w:color="000000" w:sz="4" w:space="0"/>
            </w:tcBorders>
            <w:vAlign w:val="center"/>
          </w:tcPr>
          <w:p>
            <w:pPr>
              <w:jc w:val="center"/>
            </w:pPr>
            <w:r>
              <w:t>10766</w:t>
            </w:r>
          </w:p>
        </w:tc>
        <w:tc>
          <w:tcPr>
            <w:tcW w:w="709" w:type="dxa"/>
            <w:tcBorders>
              <w:top w:val="single" w:color="000000" w:sz="4" w:space="0"/>
              <w:left w:val="single" w:color="000000" w:sz="4" w:space="0"/>
              <w:bottom w:val="single" w:color="000000" w:sz="4" w:space="0"/>
              <w:right w:val="single" w:color="000000" w:sz="4" w:space="0"/>
            </w:tcBorders>
            <w:vAlign w:val="center"/>
          </w:tcPr>
          <w:p>
            <w:pPr>
              <w:jc w:val="center"/>
            </w:pPr>
          </w:p>
        </w:tc>
        <w:tc>
          <w:tcPr>
            <w:tcW w:w="709"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53"/>
              <w:jc w:val="center"/>
              <w:rPr>
                <w:rFonts w:ascii="Times New Roman" w:hAnsi="Times New Roman" w:eastAsia="Times New Roman"/>
                <w:sz w:val="32"/>
              </w:rPr>
            </w:pPr>
          </w:p>
        </w:tc>
        <w:tc>
          <w:tcPr>
            <w:tcW w:w="708"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53"/>
              <w:jc w:val="center"/>
              <w:rPr>
                <w:rFonts w:ascii="Times New Roman" w:hAnsi="Times New Roman" w:eastAsia="Times New Roman"/>
                <w:sz w:val="32"/>
              </w:rPr>
            </w:pPr>
          </w:p>
        </w:tc>
        <w:tc>
          <w:tcPr>
            <w:tcW w:w="993"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52"/>
              <w:jc w:val="center"/>
              <w:rPr>
                <w:rFonts w:ascii="Times New Roman" w:hAnsi="Times New Roman" w:eastAsia="Times New Roman"/>
                <w:sz w:val="32"/>
              </w:rPr>
            </w:pPr>
          </w:p>
        </w:tc>
      </w:tr>
    </w:tbl>
    <w:p>
      <w:pPr>
        <w:widowControl/>
        <w:spacing w:after="4" w:line="256" w:lineRule="auto"/>
        <w:ind w:left="420" w:hanging="10"/>
        <w:jc w:val="left"/>
        <w:rPr>
          <w:rFonts w:ascii="Times New Roman" w:hAnsi="Times New Roman"/>
        </w:rPr>
      </w:pPr>
    </w:p>
    <w:p>
      <w:pPr>
        <w:widowControl/>
        <w:spacing w:after="4" w:line="266" w:lineRule="auto"/>
        <w:ind w:left="-10" w:hanging="5"/>
        <w:jc w:val="left"/>
        <w:rPr>
          <w:rFonts w:ascii="微软雅黑" w:hAnsi="微软雅黑" w:eastAsia="微软雅黑" w:cs="微软雅黑"/>
          <w:sz w:val="32"/>
        </w:rPr>
      </w:pPr>
    </w:p>
    <w:p>
      <w:pPr>
        <w:widowControl/>
        <w:spacing w:after="4" w:line="266" w:lineRule="auto"/>
        <w:ind w:left="-10" w:hanging="5"/>
        <w:jc w:val="left"/>
        <w:rPr>
          <w:rFonts w:ascii="Times New Roman" w:hAnsi="Times New Roman"/>
          <w:color w:val="0070C0"/>
        </w:rPr>
      </w:pPr>
    </w:p>
    <w:p>
      <w:pPr>
        <w:widowControl/>
        <w:spacing w:after="4" w:line="266" w:lineRule="auto"/>
        <w:ind w:left="-10" w:hanging="5"/>
        <w:jc w:val="left"/>
        <w:rPr>
          <w:rFonts w:ascii="Times New Roman" w:hAnsi="Times New Roman"/>
          <w:color w:val="0070C0"/>
        </w:rPr>
      </w:pPr>
    </w:p>
    <w:p>
      <w:pPr>
        <w:widowControl/>
        <w:jc w:val="left"/>
        <w:rPr>
          <w:rFonts w:ascii="Times New Roman" w:hAnsi="Times New Roman"/>
          <w:color w:val="0070C0"/>
        </w:rPr>
      </w:pPr>
      <w:r>
        <w:rPr>
          <w:rFonts w:ascii="Times New Roman" w:hAnsi="Times New Roman"/>
          <w:color w:val="0070C0"/>
        </w:rPr>
        <w:br w:type="page"/>
      </w:r>
    </w:p>
    <w:p>
      <w:pPr>
        <w:keepNext/>
        <w:keepLines/>
        <w:widowControl/>
        <w:spacing w:line="259" w:lineRule="auto"/>
        <w:ind w:left="10" w:right="9" w:hanging="10"/>
        <w:jc w:val="center"/>
        <w:outlineLvl w:val="2"/>
        <w:rPr>
          <w:rFonts w:ascii="微软雅黑" w:hAnsi="微软雅黑" w:eastAsia="微软雅黑" w:cs="微软雅黑"/>
          <w:sz w:val="32"/>
        </w:rPr>
      </w:pPr>
      <w:bookmarkStart w:id="137" w:name="_Toc90482828"/>
      <w:r>
        <w:rPr>
          <w:rFonts w:hint="eastAsia" w:ascii="微软雅黑" w:hAnsi="微软雅黑" w:eastAsia="微软雅黑" w:cs="微软雅黑"/>
          <w:sz w:val="32"/>
        </w:rPr>
        <w:t>附表</w:t>
      </w:r>
      <w:r>
        <w:rPr>
          <w:rFonts w:ascii="微软雅黑" w:hAnsi="微软雅黑" w:eastAsia="微软雅黑" w:cs="微软雅黑"/>
          <w:sz w:val="32"/>
        </w:rPr>
        <w:t xml:space="preserve"> 3</w:t>
      </w:r>
      <w:r>
        <w:rPr>
          <w:rFonts w:hint="eastAsia" w:ascii="微软雅黑" w:hAnsi="微软雅黑" w:eastAsia="微软雅黑" w:cs="微软雅黑"/>
          <w:sz w:val="32"/>
        </w:rPr>
        <w:t>渝北区“十四五”农业节水灌溉工程</w:t>
      </w:r>
      <w:bookmarkEnd w:id="137"/>
    </w:p>
    <w:tbl>
      <w:tblPr>
        <w:tblStyle w:val="21"/>
        <w:tblW w:w="14704" w:type="dxa"/>
        <w:tblInd w:w="-108" w:type="dxa"/>
        <w:tblLayout w:type="autofit"/>
        <w:tblCellMar>
          <w:top w:w="0" w:type="dxa"/>
          <w:left w:w="0" w:type="dxa"/>
          <w:bottom w:w="0" w:type="dxa"/>
          <w:right w:w="62" w:type="dxa"/>
        </w:tblCellMar>
      </w:tblPr>
      <w:tblGrid>
        <w:gridCol w:w="648"/>
        <w:gridCol w:w="1061"/>
        <w:gridCol w:w="1064"/>
        <w:gridCol w:w="1273"/>
        <w:gridCol w:w="2507"/>
        <w:gridCol w:w="983"/>
        <w:gridCol w:w="844"/>
        <w:gridCol w:w="843"/>
        <w:gridCol w:w="844"/>
        <w:gridCol w:w="1122"/>
        <w:gridCol w:w="709"/>
        <w:gridCol w:w="1122"/>
        <w:gridCol w:w="1684"/>
      </w:tblGrid>
      <w:tr>
        <w:tblPrEx>
          <w:tblCellMar>
            <w:top w:w="0" w:type="dxa"/>
            <w:left w:w="0" w:type="dxa"/>
            <w:bottom w:w="0" w:type="dxa"/>
            <w:right w:w="62" w:type="dxa"/>
          </w:tblCellMar>
        </w:tblPrEx>
        <w:trPr>
          <w:trHeight w:val="521" w:hRule="atLeast"/>
        </w:trPr>
        <w:tc>
          <w:tcPr>
            <w:tcW w:w="652" w:type="dxa"/>
            <w:vMerge w:val="restart"/>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115"/>
              <w:jc w:val="center"/>
              <w:rPr>
                <w:rFonts w:ascii="Times New Roman" w:hAnsi="Times New Roman" w:eastAsia="Times New Roman"/>
                <w:sz w:val="32"/>
              </w:rPr>
            </w:pPr>
            <w:r>
              <w:rPr>
                <w:rFonts w:hint="eastAsia" w:ascii="Times New Roman" w:hAnsi="Times New Roman"/>
              </w:rPr>
              <w:t>序号</w:t>
            </w:r>
          </w:p>
        </w:tc>
        <w:tc>
          <w:tcPr>
            <w:tcW w:w="1072" w:type="dxa"/>
            <w:vMerge w:val="restart"/>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113"/>
              <w:jc w:val="center"/>
              <w:rPr>
                <w:rFonts w:ascii="Times New Roman" w:hAnsi="Times New Roman" w:eastAsia="Times New Roman"/>
                <w:sz w:val="32"/>
              </w:rPr>
            </w:pPr>
            <w:r>
              <w:rPr>
                <w:rFonts w:hint="eastAsia" w:ascii="Times New Roman" w:hAnsi="Times New Roman"/>
              </w:rPr>
              <w:t>项目类别</w:t>
            </w:r>
          </w:p>
        </w:tc>
        <w:tc>
          <w:tcPr>
            <w:tcW w:w="1075" w:type="dxa"/>
            <w:vMerge w:val="restart"/>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115"/>
              <w:jc w:val="center"/>
              <w:rPr>
                <w:rFonts w:ascii="Times New Roman" w:hAnsi="Times New Roman" w:eastAsia="Times New Roman"/>
                <w:sz w:val="32"/>
              </w:rPr>
            </w:pPr>
            <w:r>
              <w:rPr>
                <w:rFonts w:hint="eastAsia" w:ascii="Times New Roman" w:hAnsi="Times New Roman"/>
              </w:rPr>
              <w:t>项目名称</w:t>
            </w:r>
          </w:p>
        </w:tc>
        <w:tc>
          <w:tcPr>
            <w:tcW w:w="1287" w:type="dxa"/>
            <w:vMerge w:val="restart"/>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115"/>
              <w:jc w:val="center"/>
              <w:rPr>
                <w:rFonts w:ascii="Times New Roman" w:hAnsi="Times New Roman" w:eastAsia="Times New Roman"/>
                <w:sz w:val="32"/>
              </w:rPr>
            </w:pPr>
            <w:r>
              <w:rPr>
                <w:rFonts w:hint="eastAsia" w:ascii="Times New Roman" w:hAnsi="Times New Roman"/>
              </w:rPr>
              <w:t>项目所在地</w:t>
            </w:r>
          </w:p>
        </w:tc>
        <w:tc>
          <w:tcPr>
            <w:tcW w:w="2538" w:type="dxa"/>
            <w:vMerge w:val="restart"/>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115"/>
              <w:jc w:val="center"/>
              <w:rPr>
                <w:rFonts w:ascii="Times New Roman" w:hAnsi="Times New Roman" w:eastAsia="Times New Roman"/>
                <w:sz w:val="32"/>
              </w:rPr>
            </w:pPr>
            <w:r>
              <w:rPr>
                <w:rFonts w:hint="eastAsia" w:ascii="Times New Roman" w:hAnsi="Times New Roman"/>
              </w:rPr>
              <w:t>主要建设内容</w:t>
            </w:r>
          </w:p>
        </w:tc>
        <w:tc>
          <w:tcPr>
            <w:tcW w:w="850" w:type="dxa"/>
            <w:vMerge w:val="restart"/>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115"/>
              <w:jc w:val="center"/>
              <w:rPr>
                <w:rFonts w:ascii="Times New Roman" w:hAnsi="Times New Roman"/>
              </w:rPr>
            </w:pPr>
            <w:r>
              <w:rPr>
                <w:rFonts w:hint="eastAsia" w:ascii="Times New Roman" w:hAnsi="Times New Roman"/>
              </w:rPr>
              <w:t>建设</w:t>
            </w:r>
          </w:p>
          <w:p>
            <w:pPr>
              <w:widowControl/>
              <w:spacing w:line="259" w:lineRule="auto"/>
              <w:ind w:left="115"/>
              <w:jc w:val="center"/>
              <w:rPr>
                <w:rFonts w:ascii="Times New Roman" w:hAnsi="Times New Roman" w:eastAsia="Times New Roman"/>
                <w:sz w:val="32"/>
              </w:rPr>
            </w:pPr>
            <w:r>
              <w:rPr>
                <w:rFonts w:hint="eastAsia" w:ascii="Times New Roman" w:hAnsi="Times New Roman"/>
              </w:rPr>
              <w:t>时限</w:t>
            </w:r>
          </w:p>
        </w:tc>
        <w:tc>
          <w:tcPr>
            <w:tcW w:w="851" w:type="dxa"/>
            <w:vMerge w:val="restart"/>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115"/>
              <w:jc w:val="center"/>
              <w:rPr>
                <w:rFonts w:ascii="Times New Roman" w:hAnsi="Times New Roman" w:eastAsia="Times New Roman"/>
                <w:sz w:val="32"/>
              </w:rPr>
            </w:pPr>
            <w:r>
              <w:rPr>
                <w:rFonts w:hint="eastAsia" w:ascii="Times New Roman" w:hAnsi="Times New Roman"/>
              </w:rPr>
              <w:t>负责部门</w:t>
            </w:r>
          </w:p>
        </w:tc>
        <w:tc>
          <w:tcPr>
            <w:tcW w:w="850"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118"/>
              <w:rPr>
                <w:rFonts w:ascii="Times New Roman" w:hAnsi="Times New Roman" w:eastAsia="Times New Roman"/>
                <w:sz w:val="32"/>
              </w:rPr>
            </w:pPr>
            <w:r>
              <w:rPr>
                <w:rFonts w:hint="eastAsia" w:ascii="Times New Roman" w:hAnsi="Times New Roman"/>
              </w:rPr>
              <w:t>改善灌溉面积</w:t>
            </w:r>
          </w:p>
        </w:tc>
        <w:tc>
          <w:tcPr>
            <w:tcW w:w="851"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118"/>
              <w:rPr>
                <w:rFonts w:ascii="Times New Roman" w:hAnsi="Times New Roman" w:eastAsia="Times New Roman"/>
                <w:sz w:val="32"/>
              </w:rPr>
            </w:pPr>
            <w:r>
              <w:rPr>
                <w:rFonts w:hint="eastAsia" w:ascii="Times New Roman" w:hAnsi="Times New Roman"/>
              </w:rPr>
              <w:t>新增灌溉面积</w:t>
            </w:r>
          </w:p>
        </w:tc>
        <w:tc>
          <w:tcPr>
            <w:tcW w:w="1134"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113"/>
              <w:rPr>
                <w:rFonts w:ascii="Times New Roman" w:hAnsi="Times New Roman" w:eastAsia="Times New Roman"/>
                <w:sz w:val="32"/>
              </w:rPr>
            </w:pPr>
            <w:r>
              <w:rPr>
                <w:rFonts w:hint="eastAsia" w:ascii="Times New Roman" w:hAnsi="Times New Roman"/>
              </w:rPr>
              <w:t>年节水量</w:t>
            </w:r>
          </w:p>
        </w:tc>
        <w:tc>
          <w:tcPr>
            <w:tcW w:w="709"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110"/>
              <w:rPr>
                <w:rFonts w:ascii="Times New Roman" w:hAnsi="Times New Roman" w:eastAsia="Times New Roman"/>
                <w:sz w:val="32"/>
              </w:rPr>
            </w:pPr>
            <w:r>
              <w:rPr>
                <w:rFonts w:hint="eastAsia" w:ascii="Times New Roman" w:hAnsi="Times New Roman"/>
              </w:rPr>
              <w:t>投资</w:t>
            </w:r>
          </w:p>
        </w:tc>
        <w:tc>
          <w:tcPr>
            <w:tcW w:w="1134" w:type="dxa"/>
            <w:vMerge w:val="restart"/>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113"/>
              <w:rPr>
                <w:rFonts w:ascii="Times New Roman" w:hAnsi="Times New Roman" w:eastAsia="Times New Roman"/>
                <w:sz w:val="32"/>
              </w:rPr>
            </w:pPr>
            <w:r>
              <w:rPr>
                <w:rFonts w:hint="eastAsia" w:ascii="Times New Roman" w:hAnsi="Times New Roman"/>
              </w:rPr>
              <w:t>投资渠道</w:t>
            </w:r>
          </w:p>
        </w:tc>
        <w:tc>
          <w:tcPr>
            <w:tcW w:w="1701" w:type="dxa"/>
            <w:vMerge w:val="restart"/>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108"/>
              <w:jc w:val="center"/>
              <w:rPr>
                <w:rFonts w:ascii="Times New Roman" w:hAnsi="Times New Roman" w:eastAsia="Times New Roman"/>
                <w:sz w:val="32"/>
              </w:rPr>
            </w:pPr>
            <w:r>
              <w:rPr>
                <w:rFonts w:hint="eastAsia" w:ascii="Times New Roman" w:hAnsi="Times New Roman"/>
              </w:rPr>
              <w:t>备注</w:t>
            </w:r>
          </w:p>
        </w:tc>
      </w:tr>
      <w:tr>
        <w:tblPrEx>
          <w:tblCellMar>
            <w:top w:w="0" w:type="dxa"/>
            <w:left w:w="0" w:type="dxa"/>
            <w:bottom w:w="0" w:type="dxa"/>
            <w:right w:w="62" w:type="dxa"/>
          </w:tblCellMar>
        </w:tblPrEx>
        <w:trPr>
          <w:trHeight w:val="521" w:hRule="atLeast"/>
        </w:trPr>
        <w:tc>
          <w:tcPr>
            <w:tcW w:w="0" w:type="auto"/>
            <w:vMerge w:val="continue"/>
            <w:tcBorders>
              <w:top w:val="nil"/>
              <w:left w:val="single" w:color="000000" w:sz="4" w:space="0"/>
              <w:bottom w:val="single" w:color="000000" w:sz="4" w:space="0"/>
              <w:right w:val="single" w:color="000000" w:sz="4" w:space="0"/>
            </w:tcBorders>
          </w:tcPr>
          <w:p>
            <w:pPr>
              <w:widowControl/>
              <w:spacing w:after="160" w:line="259" w:lineRule="auto"/>
              <w:jc w:val="left"/>
              <w:rPr>
                <w:rFonts w:ascii="Times New Roman" w:hAnsi="Times New Roman" w:eastAsia="Times New Roman"/>
                <w:sz w:val="32"/>
              </w:rPr>
            </w:pPr>
          </w:p>
        </w:tc>
        <w:tc>
          <w:tcPr>
            <w:tcW w:w="0" w:type="auto"/>
            <w:vMerge w:val="continue"/>
            <w:tcBorders>
              <w:top w:val="nil"/>
              <w:left w:val="single" w:color="000000" w:sz="4" w:space="0"/>
              <w:bottom w:val="single" w:color="000000" w:sz="4" w:space="0"/>
              <w:right w:val="single" w:color="000000" w:sz="4" w:space="0"/>
            </w:tcBorders>
          </w:tcPr>
          <w:p>
            <w:pPr>
              <w:widowControl/>
              <w:spacing w:after="160" w:line="259" w:lineRule="auto"/>
              <w:jc w:val="left"/>
              <w:rPr>
                <w:rFonts w:ascii="Times New Roman" w:hAnsi="Times New Roman" w:eastAsia="Times New Roman"/>
                <w:sz w:val="32"/>
              </w:rPr>
            </w:pPr>
          </w:p>
        </w:tc>
        <w:tc>
          <w:tcPr>
            <w:tcW w:w="0" w:type="auto"/>
            <w:vMerge w:val="continue"/>
            <w:tcBorders>
              <w:top w:val="nil"/>
              <w:left w:val="single" w:color="000000" w:sz="4" w:space="0"/>
              <w:bottom w:val="single" w:color="000000" w:sz="4" w:space="0"/>
              <w:right w:val="single" w:color="000000" w:sz="4" w:space="0"/>
            </w:tcBorders>
          </w:tcPr>
          <w:p>
            <w:pPr>
              <w:widowControl/>
              <w:spacing w:after="160" w:line="259" w:lineRule="auto"/>
              <w:jc w:val="left"/>
              <w:rPr>
                <w:rFonts w:ascii="Times New Roman" w:hAnsi="Times New Roman" w:eastAsia="Times New Roman"/>
                <w:sz w:val="32"/>
              </w:rPr>
            </w:pPr>
          </w:p>
        </w:tc>
        <w:tc>
          <w:tcPr>
            <w:tcW w:w="0" w:type="auto"/>
            <w:vMerge w:val="continue"/>
            <w:tcBorders>
              <w:top w:val="nil"/>
              <w:left w:val="single" w:color="000000" w:sz="4" w:space="0"/>
              <w:bottom w:val="single" w:color="000000" w:sz="4" w:space="0"/>
              <w:right w:val="single" w:color="000000" w:sz="4" w:space="0"/>
            </w:tcBorders>
          </w:tcPr>
          <w:p>
            <w:pPr>
              <w:widowControl/>
              <w:spacing w:after="160" w:line="259" w:lineRule="auto"/>
              <w:jc w:val="left"/>
              <w:rPr>
                <w:rFonts w:ascii="Times New Roman" w:hAnsi="Times New Roman" w:eastAsia="Times New Roman"/>
                <w:sz w:val="32"/>
              </w:rPr>
            </w:pPr>
          </w:p>
        </w:tc>
        <w:tc>
          <w:tcPr>
            <w:tcW w:w="2538" w:type="dxa"/>
            <w:vMerge w:val="continue"/>
            <w:tcBorders>
              <w:top w:val="nil"/>
              <w:left w:val="single" w:color="000000" w:sz="4" w:space="0"/>
              <w:bottom w:val="single" w:color="000000" w:sz="4" w:space="0"/>
              <w:right w:val="single" w:color="000000" w:sz="4" w:space="0"/>
            </w:tcBorders>
          </w:tcPr>
          <w:p>
            <w:pPr>
              <w:widowControl/>
              <w:spacing w:after="160" w:line="259" w:lineRule="auto"/>
              <w:jc w:val="left"/>
              <w:rPr>
                <w:rFonts w:ascii="Times New Roman" w:hAnsi="Times New Roman" w:eastAsia="Times New Roman"/>
                <w:sz w:val="32"/>
              </w:rPr>
            </w:pPr>
          </w:p>
        </w:tc>
        <w:tc>
          <w:tcPr>
            <w:tcW w:w="850" w:type="dxa"/>
            <w:vMerge w:val="continue"/>
            <w:tcBorders>
              <w:top w:val="nil"/>
              <w:left w:val="single" w:color="000000" w:sz="4" w:space="0"/>
              <w:bottom w:val="single" w:color="000000" w:sz="4" w:space="0"/>
              <w:right w:val="single" w:color="000000" w:sz="4" w:space="0"/>
            </w:tcBorders>
          </w:tcPr>
          <w:p>
            <w:pPr>
              <w:widowControl/>
              <w:spacing w:after="160" w:line="259" w:lineRule="auto"/>
              <w:jc w:val="left"/>
              <w:rPr>
                <w:rFonts w:ascii="Times New Roman" w:hAnsi="Times New Roman" w:eastAsia="Times New Roman"/>
                <w:sz w:val="32"/>
              </w:rPr>
            </w:pPr>
          </w:p>
        </w:tc>
        <w:tc>
          <w:tcPr>
            <w:tcW w:w="851" w:type="dxa"/>
            <w:vMerge w:val="continue"/>
            <w:tcBorders>
              <w:top w:val="nil"/>
              <w:left w:val="single" w:color="000000" w:sz="4" w:space="0"/>
              <w:bottom w:val="single" w:color="000000" w:sz="4" w:space="0"/>
              <w:right w:val="single" w:color="000000" w:sz="4" w:space="0"/>
            </w:tcBorders>
          </w:tcPr>
          <w:p>
            <w:pPr>
              <w:widowControl/>
              <w:spacing w:after="160" w:line="259" w:lineRule="auto"/>
              <w:jc w:val="left"/>
              <w:rPr>
                <w:rFonts w:ascii="Times New Roman" w:hAnsi="Times New Roman" w:eastAsia="Times New Roman"/>
                <w:sz w:val="32"/>
              </w:rPr>
            </w:pPr>
          </w:p>
        </w:tc>
        <w:tc>
          <w:tcPr>
            <w:tcW w:w="850"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62"/>
              <w:jc w:val="center"/>
              <w:rPr>
                <w:rFonts w:ascii="Times New Roman" w:hAnsi="Times New Roman" w:eastAsia="Times New Roman"/>
                <w:sz w:val="32"/>
              </w:rPr>
            </w:pPr>
            <w:r>
              <w:rPr>
                <w:rFonts w:hint="eastAsia" w:ascii="Times New Roman" w:hAnsi="Times New Roman"/>
              </w:rPr>
              <w:t>万亩</w:t>
            </w:r>
          </w:p>
        </w:tc>
        <w:tc>
          <w:tcPr>
            <w:tcW w:w="851"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59"/>
              <w:jc w:val="center"/>
              <w:rPr>
                <w:rFonts w:ascii="Times New Roman" w:hAnsi="Times New Roman" w:eastAsia="Times New Roman"/>
                <w:sz w:val="32"/>
              </w:rPr>
            </w:pPr>
            <w:r>
              <w:rPr>
                <w:rFonts w:hint="eastAsia" w:ascii="Times New Roman" w:hAnsi="Times New Roman"/>
              </w:rPr>
              <w:t>万亩</w:t>
            </w:r>
          </w:p>
        </w:tc>
        <w:tc>
          <w:tcPr>
            <w:tcW w:w="1134"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55"/>
              <w:jc w:val="center"/>
              <w:rPr>
                <w:rFonts w:ascii="Times New Roman" w:hAnsi="Times New Roman" w:eastAsia="Times New Roman"/>
                <w:sz w:val="32"/>
              </w:rPr>
            </w:pPr>
            <w:r>
              <w:rPr>
                <w:rFonts w:hint="eastAsia" w:ascii="Times New Roman" w:hAnsi="Times New Roman"/>
              </w:rPr>
              <w:t>万</w:t>
            </w:r>
            <w:r>
              <w:rPr>
                <w:rFonts w:ascii="Times New Roman" w:hAnsi="Times New Roman"/>
              </w:rPr>
              <w:t>m</w:t>
            </w:r>
            <w:r>
              <w:rPr>
                <w:rFonts w:ascii="Times New Roman" w:hAnsi="Times New Roman"/>
                <w:vertAlign w:val="superscript"/>
              </w:rPr>
              <w:t>3</w:t>
            </w:r>
          </w:p>
        </w:tc>
        <w:tc>
          <w:tcPr>
            <w:tcW w:w="709"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110"/>
              <w:rPr>
                <w:rFonts w:ascii="Times New Roman" w:hAnsi="Times New Roman" w:eastAsia="Times New Roman"/>
                <w:sz w:val="32"/>
              </w:rPr>
            </w:pPr>
            <w:r>
              <w:rPr>
                <w:rFonts w:hint="eastAsia" w:ascii="Times New Roman" w:hAnsi="Times New Roman"/>
              </w:rPr>
              <w:t>万元</w:t>
            </w:r>
          </w:p>
        </w:tc>
        <w:tc>
          <w:tcPr>
            <w:tcW w:w="1134" w:type="dxa"/>
            <w:vMerge w:val="continue"/>
            <w:tcBorders>
              <w:top w:val="nil"/>
              <w:left w:val="single" w:color="000000" w:sz="4" w:space="0"/>
              <w:bottom w:val="single" w:color="000000" w:sz="4" w:space="0"/>
              <w:right w:val="single" w:color="000000" w:sz="4" w:space="0"/>
            </w:tcBorders>
          </w:tcPr>
          <w:p>
            <w:pPr>
              <w:widowControl/>
              <w:spacing w:after="160" w:line="259" w:lineRule="auto"/>
              <w:jc w:val="left"/>
              <w:rPr>
                <w:rFonts w:ascii="Times New Roman" w:hAnsi="Times New Roman" w:eastAsia="Times New Roman"/>
                <w:sz w:val="32"/>
              </w:rPr>
            </w:pPr>
          </w:p>
        </w:tc>
        <w:tc>
          <w:tcPr>
            <w:tcW w:w="1701" w:type="dxa"/>
            <w:vMerge w:val="continue"/>
            <w:tcBorders>
              <w:top w:val="nil"/>
              <w:left w:val="single" w:color="000000" w:sz="4" w:space="0"/>
              <w:bottom w:val="single" w:color="000000" w:sz="4" w:space="0"/>
              <w:right w:val="single" w:color="000000" w:sz="4" w:space="0"/>
            </w:tcBorders>
          </w:tcPr>
          <w:p>
            <w:pPr>
              <w:widowControl/>
              <w:spacing w:after="160" w:line="259" w:lineRule="auto"/>
              <w:jc w:val="left"/>
              <w:rPr>
                <w:rFonts w:ascii="Times New Roman" w:hAnsi="Times New Roman" w:eastAsia="Times New Roman"/>
                <w:sz w:val="32"/>
              </w:rPr>
            </w:pPr>
          </w:p>
        </w:tc>
      </w:tr>
      <w:tr>
        <w:tblPrEx>
          <w:tblCellMar>
            <w:top w:w="0" w:type="dxa"/>
            <w:left w:w="0" w:type="dxa"/>
            <w:bottom w:w="0" w:type="dxa"/>
            <w:right w:w="62" w:type="dxa"/>
          </w:tblCellMar>
        </w:tblPrEx>
        <w:trPr>
          <w:trHeight w:val="518" w:hRule="atLeast"/>
        </w:trPr>
        <w:tc>
          <w:tcPr>
            <w:tcW w:w="652"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62"/>
              <w:jc w:val="center"/>
              <w:rPr>
                <w:rFonts w:ascii="Times New Roman" w:hAnsi="Times New Roman" w:eastAsia="Times New Roman"/>
                <w:sz w:val="32"/>
              </w:rPr>
            </w:pPr>
            <w:r>
              <w:rPr>
                <w:rFonts w:ascii="Times New Roman" w:hAnsi="Times New Roman"/>
              </w:rPr>
              <w:t xml:space="preserve">1 </w:t>
            </w:r>
          </w:p>
        </w:tc>
        <w:tc>
          <w:tcPr>
            <w:tcW w:w="1072" w:type="dxa"/>
            <w:tcBorders>
              <w:top w:val="single" w:color="000000" w:sz="4" w:space="0"/>
              <w:left w:val="single" w:color="000000" w:sz="4" w:space="0"/>
              <w:bottom w:val="single" w:color="000000" w:sz="4" w:space="0"/>
              <w:right w:val="single" w:color="000000" w:sz="4" w:space="0"/>
            </w:tcBorders>
            <w:vAlign w:val="center"/>
          </w:tcPr>
          <w:p/>
        </w:tc>
        <w:tc>
          <w:tcPr>
            <w:tcW w:w="1075" w:type="dxa"/>
            <w:tcBorders>
              <w:top w:val="single" w:color="000000" w:sz="4" w:space="0"/>
              <w:left w:val="single" w:color="000000" w:sz="4" w:space="0"/>
              <w:bottom w:val="single" w:color="000000" w:sz="4" w:space="0"/>
              <w:right w:val="single" w:color="000000" w:sz="4" w:space="0"/>
            </w:tcBorders>
            <w:vAlign w:val="center"/>
          </w:tcPr>
          <w:p>
            <w:r>
              <w:rPr>
                <w:rFonts w:hint="eastAsia"/>
              </w:rPr>
              <w:t>高标准农田建设目</w:t>
            </w:r>
          </w:p>
        </w:tc>
        <w:tc>
          <w:tcPr>
            <w:tcW w:w="1287" w:type="dxa"/>
            <w:tcBorders>
              <w:top w:val="single" w:color="000000" w:sz="4" w:space="0"/>
              <w:left w:val="single" w:color="000000" w:sz="4" w:space="0"/>
              <w:bottom w:val="single" w:color="000000" w:sz="4" w:space="0"/>
              <w:right w:val="single" w:color="000000" w:sz="4" w:space="0"/>
            </w:tcBorders>
            <w:vAlign w:val="center"/>
          </w:tcPr>
          <w:p>
            <w:pPr>
              <w:jc w:val="center"/>
            </w:pPr>
            <w:r>
              <w:rPr>
                <w:rFonts w:hint="eastAsia"/>
              </w:rPr>
              <w:t>渝北区相关镇</w:t>
            </w:r>
          </w:p>
        </w:tc>
        <w:tc>
          <w:tcPr>
            <w:tcW w:w="2538" w:type="dxa"/>
            <w:tcBorders>
              <w:top w:val="single" w:color="000000" w:sz="4" w:space="0"/>
              <w:left w:val="single" w:color="000000" w:sz="4" w:space="0"/>
              <w:bottom w:val="single" w:color="000000" w:sz="4" w:space="0"/>
              <w:right w:val="single" w:color="000000" w:sz="4" w:space="0"/>
            </w:tcBorders>
            <w:vAlign w:val="center"/>
          </w:tcPr>
          <w:p>
            <w:r>
              <w:rPr>
                <w:rFonts w:hint="eastAsia"/>
              </w:rPr>
              <w:t>建设高标准农田</w:t>
            </w:r>
            <w:r>
              <w:t>12</w:t>
            </w:r>
            <w:r>
              <w:rPr>
                <w:rFonts w:hint="eastAsia"/>
              </w:rPr>
              <w:t>万亩。主要包括土地平整工程、土壤改良工程、灌溉与排水工程、田间道路工程、农田防护与生态环境保持工程等建设内容。</w:t>
            </w:r>
          </w:p>
        </w:tc>
        <w:tc>
          <w:tcPr>
            <w:tcW w:w="850" w:type="dxa"/>
            <w:tcBorders>
              <w:top w:val="single" w:color="000000" w:sz="4" w:space="0"/>
              <w:left w:val="single" w:color="000000" w:sz="4" w:space="0"/>
              <w:bottom w:val="single" w:color="000000" w:sz="4" w:space="0"/>
              <w:right w:val="single" w:color="000000" w:sz="4" w:space="0"/>
            </w:tcBorders>
            <w:vAlign w:val="center"/>
          </w:tcPr>
          <w:p>
            <w:r>
              <w:t>2021-2025</w:t>
            </w:r>
            <w:r>
              <w:rPr>
                <w:rFonts w:hint="eastAsia"/>
              </w:rPr>
              <w:t>年</w:t>
            </w:r>
          </w:p>
        </w:tc>
        <w:tc>
          <w:tcPr>
            <w:tcW w:w="851" w:type="dxa"/>
            <w:tcBorders>
              <w:top w:val="single" w:color="000000" w:sz="4" w:space="0"/>
              <w:left w:val="single" w:color="000000" w:sz="4" w:space="0"/>
              <w:bottom w:val="single" w:color="000000" w:sz="4" w:space="0"/>
              <w:right w:val="single" w:color="000000" w:sz="4" w:space="0"/>
            </w:tcBorders>
            <w:vAlign w:val="center"/>
          </w:tcPr>
          <w:p>
            <w:r>
              <w:rPr>
                <w:rFonts w:hint="eastAsia"/>
              </w:rPr>
              <w:t>区农业农村委</w:t>
            </w:r>
          </w:p>
        </w:tc>
        <w:tc>
          <w:tcPr>
            <w:tcW w:w="850"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115"/>
              <w:rPr>
                <w:rFonts w:ascii="Times New Roman" w:hAnsi="Times New Roman" w:eastAsia="Times New Roman"/>
                <w:sz w:val="32"/>
              </w:rPr>
            </w:pPr>
          </w:p>
        </w:tc>
        <w:tc>
          <w:tcPr>
            <w:tcW w:w="851"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112"/>
              <w:rPr>
                <w:rFonts w:ascii="Times New Roman" w:hAnsi="Times New Roman" w:eastAsia="Times New Roman"/>
                <w:sz w:val="32"/>
              </w:rPr>
            </w:pPr>
          </w:p>
        </w:tc>
        <w:tc>
          <w:tcPr>
            <w:tcW w:w="1134"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108"/>
              <w:rPr>
                <w:rFonts w:ascii="Times New Roman" w:hAnsi="Times New Roman" w:eastAsia="Times New Roman"/>
                <w:sz w:val="32"/>
              </w:rPr>
            </w:pPr>
          </w:p>
        </w:tc>
        <w:tc>
          <w:tcPr>
            <w:tcW w:w="709"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108"/>
              <w:rPr>
                <w:rFonts w:ascii="Times New Roman" w:hAnsi="Times New Roman" w:eastAsia="Times New Roman"/>
                <w:sz w:val="32"/>
              </w:rPr>
            </w:pPr>
            <w:r>
              <w:t>28200</w:t>
            </w:r>
          </w:p>
        </w:tc>
        <w:tc>
          <w:tcPr>
            <w:tcW w:w="1134"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108"/>
              <w:jc w:val="center"/>
              <w:rPr>
                <w:rFonts w:ascii="Times New Roman" w:hAnsi="Times New Roman" w:eastAsia="Times New Roman"/>
                <w:sz w:val="32"/>
              </w:rPr>
            </w:pPr>
          </w:p>
        </w:tc>
        <w:tc>
          <w:tcPr>
            <w:tcW w:w="1701"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111"/>
              <w:jc w:val="center"/>
              <w:rPr>
                <w:rFonts w:ascii="Times New Roman" w:hAnsi="Times New Roman" w:eastAsia="Times New Roman"/>
                <w:sz w:val="32"/>
              </w:rPr>
            </w:pPr>
            <w:r>
              <w:rPr>
                <w:rFonts w:hint="eastAsia" w:ascii="宋体" w:hAnsi="宋体" w:cs="宋体"/>
              </w:rPr>
              <w:t>已列入《重庆渝北区乡村振兴战略“十四五”规划》（征求意见稿）</w:t>
            </w:r>
          </w:p>
        </w:tc>
      </w:tr>
      <w:tr>
        <w:tblPrEx>
          <w:tblCellMar>
            <w:top w:w="0" w:type="dxa"/>
            <w:left w:w="0" w:type="dxa"/>
            <w:bottom w:w="0" w:type="dxa"/>
            <w:right w:w="62" w:type="dxa"/>
          </w:tblCellMar>
        </w:tblPrEx>
        <w:trPr>
          <w:trHeight w:val="521" w:hRule="atLeast"/>
        </w:trPr>
        <w:tc>
          <w:tcPr>
            <w:tcW w:w="652"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62"/>
              <w:jc w:val="center"/>
              <w:rPr>
                <w:rFonts w:ascii="Times New Roman" w:hAnsi="Times New Roman"/>
              </w:rPr>
            </w:pPr>
            <w:r>
              <w:rPr>
                <w:rFonts w:ascii="Times New Roman" w:hAnsi="Times New Roman"/>
              </w:rPr>
              <w:t xml:space="preserve">2 </w:t>
            </w:r>
          </w:p>
        </w:tc>
        <w:tc>
          <w:tcPr>
            <w:tcW w:w="1072" w:type="dxa"/>
            <w:tcBorders>
              <w:top w:val="single" w:color="000000" w:sz="4" w:space="0"/>
              <w:left w:val="single" w:color="000000" w:sz="4" w:space="0"/>
              <w:bottom w:val="single" w:color="auto" w:sz="4" w:space="0"/>
              <w:right w:val="single" w:color="000000" w:sz="4" w:space="0"/>
            </w:tcBorders>
            <w:vAlign w:val="center"/>
          </w:tcPr>
          <w:p/>
        </w:tc>
        <w:tc>
          <w:tcPr>
            <w:tcW w:w="1075" w:type="dxa"/>
            <w:tcBorders>
              <w:top w:val="single" w:color="000000" w:sz="4" w:space="0"/>
              <w:left w:val="single" w:color="000000" w:sz="4" w:space="0"/>
              <w:bottom w:val="single" w:color="auto" w:sz="4" w:space="0"/>
              <w:right w:val="single" w:color="000000" w:sz="4" w:space="0"/>
            </w:tcBorders>
            <w:vAlign w:val="center"/>
          </w:tcPr>
          <w:p>
            <w:r>
              <w:rPr>
                <w:rFonts w:hint="eastAsia"/>
              </w:rPr>
              <w:t>卫星水库灌溉管网建设工程</w:t>
            </w:r>
          </w:p>
        </w:tc>
        <w:tc>
          <w:tcPr>
            <w:tcW w:w="1287" w:type="dxa"/>
            <w:tcBorders>
              <w:top w:val="single" w:color="000000" w:sz="4" w:space="0"/>
              <w:left w:val="single" w:color="000000" w:sz="4" w:space="0"/>
              <w:bottom w:val="single" w:color="auto" w:sz="4" w:space="0"/>
              <w:right w:val="single" w:color="000000" w:sz="4" w:space="0"/>
            </w:tcBorders>
            <w:vAlign w:val="center"/>
          </w:tcPr>
          <w:p>
            <w:pPr>
              <w:jc w:val="center"/>
            </w:pPr>
            <w:r>
              <w:rPr>
                <w:rFonts w:hint="eastAsia"/>
              </w:rPr>
              <w:t>茨竹镇</w:t>
            </w:r>
          </w:p>
        </w:tc>
        <w:tc>
          <w:tcPr>
            <w:tcW w:w="2538" w:type="dxa"/>
            <w:tcBorders>
              <w:top w:val="single" w:color="000000" w:sz="4" w:space="0"/>
              <w:left w:val="single" w:color="000000" w:sz="4" w:space="0"/>
              <w:bottom w:val="single" w:color="auto" w:sz="4" w:space="0"/>
              <w:right w:val="single" w:color="000000" w:sz="4" w:space="0"/>
            </w:tcBorders>
            <w:vAlign w:val="center"/>
          </w:tcPr>
          <w:p>
            <w:r>
              <w:rPr>
                <w:rFonts w:hint="eastAsia"/>
              </w:rPr>
              <w:t>新建管网</w:t>
            </w:r>
            <w:r>
              <w:t>14.94</w:t>
            </w:r>
            <w:r>
              <w:rPr>
                <w:rFonts w:hint="eastAsia"/>
              </w:rPr>
              <w:t>公里</w:t>
            </w:r>
          </w:p>
        </w:tc>
        <w:tc>
          <w:tcPr>
            <w:tcW w:w="850" w:type="dxa"/>
            <w:tcBorders>
              <w:top w:val="single" w:color="000000" w:sz="4" w:space="0"/>
              <w:left w:val="single" w:color="000000" w:sz="4" w:space="0"/>
              <w:bottom w:val="single" w:color="auto" w:sz="4" w:space="0"/>
              <w:right w:val="single" w:color="000000" w:sz="4" w:space="0"/>
            </w:tcBorders>
            <w:vAlign w:val="center"/>
          </w:tcPr>
          <w:p>
            <w:r>
              <w:t>2022</w:t>
            </w:r>
            <w:r>
              <w:rPr>
                <w:rFonts w:hint="eastAsia"/>
              </w:rPr>
              <w:t>年</w:t>
            </w:r>
          </w:p>
        </w:tc>
        <w:tc>
          <w:tcPr>
            <w:tcW w:w="851" w:type="dxa"/>
            <w:tcBorders>
              <w:top w:val="single" w:color="000000" w:sz="4" w:space="0"/>
              <w:left w:val="single" w:color="000000" w:sz="4" w:space="0"/>
              <w:bottom w:val="single" w:color="auto" w:sz="4" w:space="0"/>
              <w:right w:val="single" w:color="000000" w:sz="4" w:space="0"/>
            </w:tcBorders>
            <w:vAlign w:val="center"/>
          </w:tcPr>
          <w:p>
            <w:r>
              <w:rPr>
                <w:rFonts w:hint="eastAsia"/>
              </w:rPr>
              <w:t>区水利局</w:t>
            </w:r>
          </w:p>
        </w:tc>
        <w:tc>
          <w:tcPr>
            <w:tcW w:w="850" w:type="dxa"/>
            <w:tcBorders>
              <w:top w:val="single" w:color="000000" w:sz="4" w:space="0"/>
              <w:left w:val="single" w:color="000000" w:sz="4" w:space="0"/>
              <w:bottom w:val="single" w:color="auto" w:sz="4" w:space="0"/>
              <w:right w:val="single" w:color="000000" w:sz="4" w:space="0"/>
            </w:tcBorders>
            <w:vAlign w:val="center"/>
          </w:tcPr>
          <w:p>
            <w:pPr>
              <w:widowControl/>
              <w:spacing w:line="259" w:lineRule="auto"/>
              <w:ind w:left="115"/>
              <w:rPr>
                <w:rFonts w:ascii="Times New Roman" w:hAnsi="Times New Roman" w:eastAsia="Times New Roman"/>
                <w:sz w:val="32"/>
              </w:rPr>
            </w:pPr>
          </w:p>
        </w:tc>
        <w:tc>
          <w:tcPr>
            <w:tcW w:w="851"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112"/>
              <w:rPr>
                <w:rFonts w:ascii="Times New Roman" w:hAnsi="Times New Roman" w:eastAsia="Times New Roman"/>
                <w:sz w:val="32"/>
              </w:rPr>
            </w:pPr>
          </w:p>
        </w:tc>
        <w:tc>
          <w:tcPr>
            <w:tcW w:w="1134"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108"/>
              <w:rPr>
                <w:rFonts w:ascii="Times New Roman" w:hAnsi="Times New Roman" w:eastAsia="Times New Roman"/>
                <w:sz w:val="32"/>
              </w:rPr>
            </w:pPr>
          </w:p>
        </w:tc>
        <w:tc>
          <w:tcPr>
            <w:tcW w:w="709"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108"/>
              <w:rPr>
                <w:rFonts w:ascii="Times New Roman" w:hAnsi="Times New Roman" w:eastAsia="Times New Roman"/>
                <w:sz w:val="32"/>
              </w:rPr>
            </w:pPr>
            <w:r>
              <w:t>1000</w:t>
            </w:r>
          </w:p>
        </w:tc>
        <w:tc>
          <w:tcPr>
            <w:tcW w:w="1134"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108"/>
              <w:jc w:val="center"/>
              <w:rPr>
                <w:rFonts w:ascii="Times New Roman" w:hAnsi="Times New Roman" w:eastAsia="Times New Roman"/>
                <w:sz w:val="32"/>
              </w:rPr>
            </w:pPr>
          </w:p>
        </w:tc>
        <w:tc>
          <w:tcPr>
            <w:tcW w:w="1701" w:type="dxa"/>
            <w:vMerge w:val="restart"/>
            <w:tcBorders>
              <w:top w:val="single" w:color="000000" w:sz="4" w:space="0"/>
              <w:left w:val="single" w:color="000000" w:sz="4" w:space="0"/>
              <w:right w:val="single" w:color="000000" w:sz="4" w:space="0"/>
            </w:tcBorders>
            <w:vAlign w:val="center"/>
          </w:tcPr>
          <w:p>
            <w:pPr>
              <w:widowControl/>
              <w:spacing w:line="259" w:lineRule="auto"/>
              <w:ind w:left="111"/>
              <w:jc w:val="center"/>
              <w:rPr>
                <w:rFonts w:ascii="宋体" w:cs="宋体"/>
              </w:rPr>
            </w:pPr>
            <w:r>
              <w:rPr>
                <w:rFonts w:hint="eastAsia" w:ascii="宋体" w:hAnsi="宋体" w:cs="宋体"/>
              </w:rPr>
              <w:t>已列入《重庆市渝北区“十四五”水安全保障规划报告》</w:t>
            </w:r>
          </w:p>
        </w:tc>
      </w:tr>
      <w:tr>
        <w:tblPrEx>
          <w:tblCellMar>
            <w:top w:w="0" w:type="dxa"/>
            <w:left w:w="0" w:type="dxa"/>
            <w:bottom w:w="0" w:type="dxa"/>
            <w:right w:w="62" w:type="dxa"/>
          </w:tblCellMar>
        </w:tblPrEx>
        <w:trPr>
          <w:trHeight w:val="521" w:hRule="atLeast"/>
        </w:trPr>
        <w:tc>
          <w:tcPr>
            <w:tcW w:w="652" w:type="dxa"/>
            <w:tcBorders>
              <w:top w:val="single" w:color="000000" w:sz="4" w:space="0"/>
              <w:left w:val="single" w:color="000000" w:sz="4" w:space="0"/>
              <w:bottom w:val="single" w:color="000000" w:sz="4" w:space="0"/>
              <w:right w:val="single" w:color="auto" w:sz="4" w:space="0"/>
            </w:tcBorders>
            <w:vAlign w:val="center"/>
          </w:tcPr>
          <w:p>
            <w:pPr>
              <w:widowControl/>
              <w:spacing w:line="259" w:lineRule="auto"/>
              <w:ind w:left="62"/>
              <w:jc w:val="center"/>
              <w:rPr>
                <w:rFonts w:ascii="Times New Roman" w:hAnsi="Times New Roman"/>
              </w:rPr>
            </w:pPr>
            <w:r>
              <w:rPr>
                <w:rFonts w:ascii="Times New Roman" w:hAnsi="Times New Roman"/>
              </w:rPr>
              <w:t>3</w:t>
            </w:r>
          </w:p>
        </w:tc>
        <w:tc>
          <w:tcPr>
            <w:tcW w:w="1072" w:type="dxa"/>
            <w:tcBorders>
              <w:top w:val="single" w:color="auto" w:sz="4" w:space="0"/>
              <w:left w:val="single" w:color="auto" w:sz="4" w:space="0"/>
              <w:bottom w:val="single" w:color="auto" w:sz="4" w:space="0"/>
              <w:right w:val="single" w:color="auto" w:sz="4" w:space="0"/>
            </w:tcBorders>
            <w:vAlign w:val="center"/>
          </w:tcPr>
          <w:p>
            <w:pPr>
              <w:widowControl/>
              <w:rPr>
                <w:rFonts w:ascii="Times New Roman" w:hAnsi="Times New Roman"/>
                <w:szCs w:val="21"/>
              </w:rPr>
            </w:pPr>
          </w:p>
        </w:tc>
        <w:tc>
          <w:tcPr>
            <w:tcW w:w="1075" w:type="dxa"/>
            <w:tcBorders>
              <w:top w:val="single" w:color="auto" w:sz="4" w:space="0"/>
              <w:left w:val="single" w:color="auto" w:sz="4" w:space="0"/>
              <w:bottom w:val="single" w:color="auto" w:sz="4" w:space="0"/>
              <w:right w:val="single" w:color="auto" w:sz="4" w:space="0"/>
            </w:tcBorders>
            <w:vAlign w:val="center"/>
          </w:tcPr>
          <w:p>
            <w:pPr>
              <w:widowControl/>
              <w:rPr>
                <w:rFonts w:ascii="Times New Roman" w:hAnsi="Times New Roman"/>
                <w:szCs w:val="21"/>
              </w:rPr>
            </w:pPr>
            <w:r>
              <w:rPr>
                <w:rFonts w:hint="eastAsia" w:ascii="Times New Roman" w:hAnsi="Times New Roman"/>
                <w:szCs w:val="21"/>
              </w:rPr>
              <w:t>两岔水库一期干渠整修</w:t>
            </w:r>
          </w:p>
        </w:tc>
        <w:tc>
          <w:tcPr>
            <w:tcW w:w="1287" w:type="dxa"/>
            <w:tcBorders>
              <w:top w:val="single" w:color="auto" w:sz="4" w:space="0"/>
              <w:left w:val="single" w:color="auto" w:sz="4" w:space="0"/>
              <w:bottom w:val="single" w:color="auto" w:sz="4" w:space="0"/>
              <w:right w:val="single" w:color="auto" w:sz="4" w:space="0"/>
            </w:tcBorders>
            <w:vAlign w:val="center"/>
          </w:tcPr>
          <w:p>
            <w:pPr>
              <w:widowControl/>
              <w:jc w:val="center"/>
              <w:rPr>
                <w:rFonts w:ascii="Times New Roman" w:hAnsi="Times New Roman"/>
                <w:szCs w:val="21"/>
              </w:rPr>
            </w:pPr>
            <w:r>
              <w:rPr>
                <w:rFonts w:hint="eastAsia" w:ascii="Times New Roman" w:hAnsi="Times New Roman"/>
                <w:szCs w:val="21"/>
              </w:rPr>
              <w:t>大湾镇</w:t>
            </w:r>
          </w:p>
        </w:tc>
        <w:tc>
          <w:tcPr>
            <w:tcW w:w="2538" w:type="dxa"/>
            <w:tcBorders>
              <w:top w:val="single" w:color="auto" w:sz="4" w:space="0"/>
              <w:left w:val="single" w:color="auto" w:sz="4" w:space="0"/>
              <w:bottom w:val="single" w:color="auto" w:sz="4" w:space="0"/>
              <w:right w:val="single" w:color="auto" w:sz="4" w:space="0"/>
            </w:tcBorders>
            <w:vAlign w:val="center"/>
          </w:tcPr>
          <w:p>
            <w:pPr>
              <w:widowControl/>
              <w:rPr>
                <w:rFonts w:ascii="Times New Roman" w:hAnsi="Times New Roman"/>
                <w:szCs w:val="21"/>
              </w:rPr>
            </w:pPr>
            <w:r>
              <w:rPr>
                <w:rFonts w:hint="eastAsia" w:ascii="Times New Roman" w:hAnsi="Times New Roman"/>
                <w:szCs w:val="21"/>
              </w:rPr>
              <w:t>干渠防渗整</w:t>
            </w:r>
            <w:r>
              <w:rPr>
                <w:rFonts w:ascii="Times New Roman" w:hAnsi="Times New Roman"/>
                <w:szCs w:val="21"/>
              </w:rPr>
              <w:t>14.6</w:t>
            </w:r>
            <w:r>
              <w:rPr>
                <w:rFonts w:hint="eastAsia" w:ascii="Times New Roman" w:hAnsi="Times New Roman"/>
                <w:szCs w:val="21"/>
              </w:rPr>
              <w:t>公里</w:t>
            </w:r>
          </w:p>
        </w:tc>
        <w:tc>
          <w:tcPr>
            <w:tcW w:w="850" w:type="dxa"/>
            <w:tcBorders>
              <w:top w:val="single" w:color="auto" w:sz="4" w:space="0"/>
              <w:left w:val="single" w:color="auto" w:sz="4" w:space="0"/>
              <w:bottom w:val="single" w:color="auto" w:sz="4" w:space="0"/>
              <w:right w:val="single" w:color="auto" w:sz="4" w:space="0"/>
            </w:tcBorders>
            <w:vAlign w:val="center"/>
          </w:tcPr>
          <w:p>
            <w:r>
              <w:t>2024</w:t>
            </w:r>
            <w:r>
              <w:rPr>
                <w:rFonts w:hint="eastAsia"/>
              </w:rPr>
              <w:t>年</w:t>
            </w:r>
          </w:p>
        </w:tc>
        <w:tc>
          <w:tcPr>
            <w:tcW w:w="851" w:type="dxa"/>
            <w:tcBorders>
              <w:top w:val="single" w:color="auto" w:sz="4" w:space="0"/>
              <w:left w:val="single" w:color="auto" w:sz="4" w:space="0"/>
              <w:bottom w:val="single" w:color="auto" w:sz="4" w:space="0"/>
              <w:right w:val="single" w:color="auto" w:sz="4" w:space="0"/>
            </w:tcBorders>
            <w:vAlign w:val="center"/>
          </w:tcPr>
          <w:p>
            <w:r>
              <w:rPr>
                <w:rFonts w:hint="eastAsia"/>
              </w:rPr>
              <w:t>区水利局</w:t>
            </w:r>
          </w:p>
        </w:tc>
        <w:tc>
          <w:tcPr>
            <w:tcW w:w="850" w:type="dxa"/>
            <w:tcBorders>
              <w:top w:val="single" w:color="auto" w:sz="4" w:space="0"/>
              <w:left w:val="single" w:color="auto" w:sz="4" w:space="0"/>
              <w:bottom w:val="single" w:color="auto" w:sz="4" w:space="0"/>
              <w:right w:val="single" w:color="auto" w:sz="4" w:space="0"/>
            </w:tcBorders>
            <w:vAlign w:val="center"/>
          </w:tcPr>
          <w:p>
            <w:pPr>
              <w:widowControl/>
              <w:rPr>
                <w:rFonts w:ascii="Times New Roman" w:hAnsi="Times New Roman"/>
                <w:szCs w:val="21"/>
              </w:rPr>
            </w:pPr>
          </w:p>
        </w:tc>
        <w:tc>
          <w:tcPr>
            <w:tcW w:w="851" w:type="dxa"/>
            <w:tcBorders>
              <w:top w:val="single" w:color="000000" w:sz="4" w:space="0"/>
              <w:left w:val="single" w:color="auto" w:sz="4" w:space="0"/>
              <w:bottom w:val="single" w:color="000000" w:sz="4" w:space="0"/>
              <w:right w:val="single" w:color="000000" w:sz="4" w:space="0"/>
            </w:tcBorders>
            <w:vAlign w:val="center"/>
          </w:tcPr>
          <w:p>
            <w:pPr>
              <w:widowControl/>
              <w:spacing w:line="259" w:lineRule="auto"/>
              <w:ind w:left="112"/>
              <w:rPr>
                <w:rFonts w:ascii="Times New Roman" w:hAnsi="Times New Roman" w:eastAsia="Times New Roman"/>
                <w:sz w:val="32"/>
              </w:rPr>
            </w:pPr>
          </w:p>
        </w:tc>
        <w:tc>
          <w:tcPr>
            <w:tcW w:w="1134"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108"/>
              <w:rPr>
                <w:rFonts w:ascii="Times New Roman" w:hAnsi="Times New Roman" w:eastAsia="Times New Roman"/>
                <w:sz w:val="32"/>
              </w:rPr>
            </w:pPr>
          </w:p>
        </w:tc>
        <w:tc>
          <w:tcPr>
            <w:tcW w:w="709"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108"/>
              <w:rPr>
                <w:rFonts w:ascii="Times New Roman" w:hAnsi="Times New Roman" w:eastAsia="Times New Roman"/>
                <w:sz w:val="32"/>
              </w:rPr>
            </w:pPr>
            <w:r>
              <w:t>1000</w:t>
            </w:r>
          </w:p>
        </w:tc>
        <w:tc>
          <w:tcPr>
            <w:tcW w:w="1134"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108"/>
              <w:jc w:val="center"/>
              <w:rPr>
                <w:rFonts w:ascii="Times New Roman" w:hAnsi="Times New Roman" w:eastAsia="Times New Roman"/>
                <w:sz w:val="32"/>
              </w:rPr>
            </w:pPr>
          </w:p>
        </w:tc>
        <w:tc>
          <w:tcPr>
            <w:tcW w:w="1701" w:type="dxa"/>
            <w:vMerge w:val="continue"/>
            <w:tcBorders>
              <w:left w:val="single" w:color="000000" w:sz="4" w:space="0"/>
              <w:right w:val="single" w:color="000000" w:sz="4" w:space="0"/>
            </w:tcBorders>
            <w:vAlign w:val="center"/>
          </w:tcPr>
          <w:p>
            <w:pPr>
              <w:spacing w:line="259" w:lineRule="auto"/>
              <w:ind w:left="111"/>
              <w:jc w:val="center"/>
              <w:rPr>
                <w:rFonts w:ascii="Times New Roman" w:hAnsi="Times New Roman" w:eastAsia="Times New Roman"/>
                <w:sz w:val="32"/>
              </w:rPr>
            </w:pPr>
          </w:p>
        </w:tc>
      </w:tr>
      <w:tr>
        <w:tblPrEx>
          <w:tblCellMar>
            <w:top w:w="0" w:type="dxa"/>
            <w:left w:w="0" w:type="dxa"/>
            <w:bottom w:w="0" w:type="dxa"/>
            <w:right w:w="62" w:type="dxa"/>
          </w:tblCellMar>
        </w:tblPrEx>
        <w:trPr>
          <w:trHeight w:val="492" w:hRule="atLeast"/>
        </w:trPr>
        <w:tc>
          <w:tcPr>
            <w:tcW w:w="652" w:type="dxa"/>
            <w:tcBorders>
              <w:top w:val="single" w:color="000000" w:sz="4" w:space="0"/>
              <w:left w:val="single" w:color="000000" w:sz="4" w:space="0"/>
              <w:bottom w:val="single" w:color="000000" w:sz="4" w:space="0"/>
              <w:right w:val="nil"/>
            </w:tcBorders>
          </w:tcPr>
          <w:p>
            <w:pPr>
              <w:widowControl/>
              <w:spacing w:after="160" w:line="259" w:lineRule="auto"/>
              <w:jc w:val="left"/>
              <w:rPr>
                <w:rFonts w:ascii="Times New Roman" w:hAnsi="Times New Roman" w:eastAsia="Times New Roman"/>
                <w:sz w:val="32"/>
              </w:rPr>
            </w:pPr>
          </w:p>
        </w:tc>
        <w:tc>
          <w:tcPr>
            <w:tcW w:w="1072" w:type="dxa"/>
            <w:tcBorders>
              <w:top w:val="single" w:color="000000" w:sz="4" w:space="0"/>
              <w:left w:val="nil"/>
              <w:bottom w:val="single" w:color="000000" w:sz="4" w:space="0"/>
              <w:right w:val="single" w:color="000000" w:sz="4" w:space="0"/>
            </w:tcBorders>
            <w:vAlign w:val="center"/>
          </w:tcPr>
          <w:p>
            <w:pPr>
              <w:widowControl/>
              <w:spacing w:line="259" w:lineRule="auto"/>
              <w:jc w:val="left"/>
              <w:rPr>
                <w:rFonts w:ascii="Times New Roman" w:hAnsi="Times New Roman" w:eastAsia="Times New Roman"/>
                <w:sz w:val="32"/>
              </w:rPr>
            </w:pPr>
            <w:r>
              <w:rPr>
                <w:rFonts w:hint="eastAsia" w:ascii="Times New Roman" w:hAnsi="Times New Roman"/>
              </w:rPr>
              <w:t>合计</w:t>
            </w:r>
          </w:p>
        </w:tc>
        <w:tc>
          <w:tcPr>
            <w:tcW w:w="1075"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110"/>
              <w:jc w:val="center"/>
              <w:rPr>
                <w:rFonts w:ascii="Times New Roman" w:hAnsi="Times New Roman" w:eastAsia="Times New Roman"/>
                <w:sz w:val="32"/>
              </w:rPr>
            </w:pPr>
          </w:p>
        </w:tc>
        <w:tc>
          <w:tcPr>
            <w:tcW w:w="1287"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110"/>
              <w:jc w:val="center"/>
              <w:rPr>
                <w:rFonts w:ascii="Times New Roman" w:hAnsi="Times New Roman" w:eastAsia="Times New Roman"/>
                <w:sz w:val="32"/>
              </w:rPr>
            </w:pPr>
          </w:p>
        </w:tc>
        <w:tc>
          <w:tcPr>
            <w:tcW w:w="2538"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110"/>
              <w:jc w:val="center"/>
              <w:rPr>
                <w:rFonts w:ascii="Times New Roman" w:hAnsi="Times New Roman" w:eastAsia="Times New Roman"/>
                <w:sz w:val="32"/>
              </w:rPr>
            </w:pPr>
          </w:p>
        </w:tc>
        <w:tc>
          <w:tcPr>
            <w:tcW w:w="850"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113"/>
              <w:jc w:val="center"/>
              <w:rPr>
                <w:rFonts w:ascii="Times New Roman" w:hAnsi="Times New Roman" w:eastAsia="Times New Roman"/>
                <w:sz w:val="32"/>
              </w:rPr>
            </w:pPr>
          </w:p>
        </w:tc>
        <w:tc>
          <w:tcPr>
            <w:tcW w:w="851"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113"/>
              <w:jc w:val="center"/>
              <w:rPr>
                <w:rFonts w:ascii="Times New Roman" w:hAnsi="Times New Roman" w:eastAsia="Times New Roman"/>
                <w:sz w:val="32"/>
              </w:rPr>
            </w:pPr>
          </w:p>
        </w:tc>
        <w:tc>
          <w:tcPr>
            <w:tcW w:w="850"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115"/>
              <w:jc w:val="center"/>
              <w:rPr>
                <w:rFonts w:ascii="Times New Roman" w:hAnsi="Times New Roman" w:eastAsia="Times New Roman"/>
                <w:sz w:val="32"/>
              </w:rPr>
            </w:pPr>
          </w:p>
        </w:tc>
        <w:tc>
          <w:tcPr>
            <w:tcW w:w="851"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112"/>
              <w:jc w:val="center"/>
              <w:rPr>
                <w:rFonts w:ascii="Times New Roman" w:hAnsi="Times New Roman" w:eastAsia="Times New Roman"/>
                <w:sz w:val="32"/>
              </w:rPr>
            </w:pPr>
          </w:p>
        </w:tc>
        <w:tc>
          <w:tcPr>
            <w:tcW w:w="1134"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108"/>
              <w:jc w:val="center"/>
              <w:rPr>
                <w:rFonts w:ascii="Times New Roman" w:hAnsi="Times New Roman" w:eastAsia="Times New Roman"/>
                <w:sz w:val="32"/>
              </w:rPr>
            </w:pPr>
          </w:p>
        </w:tc>
        <w:tc>
          <w:tcPr>
            <w:tcW w:w="709"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108"/>
              <w:jc w:val="center"/>
            </w:pPr>
            <w:r>
              <w:t>30200</w:t>
            </w:r>
          </w:p>
        </w:tc>
        <w:tc>
          <w:tcPr>
            <w:tcW w:w="1134"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108"/>
              <w:jc w:val="center"/>
              <w:rPr>
                <w:rFonts w:ascii="Times New Roman" w:hAnsi="Times New Roman" w:eastAsia="Times New Roman"/>
                <w:sz w:val="32"/>
              </w:rPr>
            </w:pPr>
          </w:p>
        </w:tc>
        <w:tc>
          <w:tcPr>
            <w:tcW w:w="1701" w:type="dxa"/>
            <w:vMerge w:val="continue"/>
            <w:tcBorders>
              <w:left w:val="single" w:color="000000" w:sz="4" w:space="0"/>
              <w:bottom w:val="single" w:color="000000" w:sz="4" w:space="0"/>
              <w:right w:val="single" w:color="000000" w:sz="4" w:space="0"/>
            </w:tcBorders>
            <w:vAlign w:val="center"/>
          </w:tcPr>
          <w:p>
            <w:pPr>
              <w:widowControl/>
              <w:spacing w:line="259" w:lineRule="auto"/>
              <w:ind w:left="111"/>
              <w:jc w:val="center"/>
              <w:rPr>
                <w:rFonts w:ascii="Times New Roman" w:hAnsi="Times New Roman" w:eastAsia="Times New Roman"/>
                <w:sz w:val="32"/>
              </w:rPr>
            </w:pPr>
          </w:p>
        </w:tc>
      </w:tr>
    </w:tbl>
    <w:p>
      <w:pPr>
        <w:widowControl/>
        <w:spacing w:after="4" w:line="256" w:lineRule="auto"/>
        <w:ind w:left="10" w:hanging="10"/>
        <w:jc w:val="left"/>
        <w:rPr>
          <w:rFonts w:ascii="Times New Roman" w:hAnsi="Times New Roman" w:eastAsia="Times New Roman"/>
          <w:sz w:val="32"/>
        </w:rPr>
      </w:pPr>
      <w:r>
        <w:rPr>
          <w:rFonts w:hint="eastAsia" w:ascii="Times New Roman" w:hAnsi="Times New Roman"/>
        </w:rPr>
        <w:t>注：</w:t>
      </w:r>
      <w:r>
        <w:rPr>
          <w:rFonts w:ascii="Times New Roman" w:hAnsi="Times New Roman"/>
        </w:rPr>
        <w:t>1</w:t>
      </w:r>
      <w:r>
        <w:rPr>
          <w:rFonts w:hint="eastAsia" w:ascii="Times New Roman" w:hAnsi="Times New Roman"/>
        </w:rPr>
        <w:t>．项目类别包括大型灌区、中型灌区、小型灌区高效节水灌溉工程（喷灌、微灌、管道输水等），节水灌溉示范工程，水肥一体化项目、农业资源综合利用项目（粪水综合利用、鱼塘水利用、养殖场节水改造等）等；</w:t>
      </w:r>
    </w:p>
    <w:p>
      <w:pPr>
        <w:widowControl/>
        <w:spacing w:after="4" w:line="256" w:lineRule="auto"/>
        <w:ind w:left="420" w:hanging="10"/>
        <w:jc w:val="left"/>
        <w:rPr>
          <w:rFonts w:ascii="Times New Roman" w:hAnsi="Times New Roman" w:eastAsia="Times New Roman"/>
          <w:sz w:val="32"/>
        </w:rPr>
      </w:pPr>
      <w:r>
        <w:rPr>
          <w:rFonts w:ascii="Times New Roman" w:hAnsi="Times New Roman"/>
        </w:rPr>
        <w:t>2</w:t>
      </w:r>
      <w:r>
        <w:rPr>
          <w:rFonts w:hint="eastAsia" w:ascii="Times New Roman" w:hAnsi="Times New Roman"/>
        </w:rPr>
        <w:t>．项目所在地按</w:t>
      </w:r>
      <w:r>
        <w:rPr>
          <w:rFonts w:ascii="Times New Roman" w:hAnsi="Times New Roman"/>
        </w:rPr>
        <w:t>“××</w:t>
      </w:r>
      <w:r>
        <w:rPr>
          <w:rFonts w:hint="eastAsia" w:ascii="Times New Roman" w:hAnsi="Times New Roman"/>
        </w:rPr>
        <w:t>（县）</w:t>
      </w:r>
      <w:r>
        <w:rPr>
          <w:rFonts w:ascii="Times New Roman" w:hAnsi="Times New Roman"/>
        </w:rPr>
        <w:t>××</w:t>
      </w:r>
      <w:r>
        <w:rPr>
          <w:rFonts w:hint="eastAsia" w:ascii="Times New Roman" w:hAnsi="Times New Roman"/>
        </w:rPr>
        <w:t>镇</w:t>
      </w:r>
      <w:r>
        <w:rPr>
          <w:rFonts w:ascii="Times New Roman" w:hAnsi="Times New Roman"/>
        </w:rPr>
        <w:t>”</w:t>
      </w:r>
      <w:r>
        <w:rPr>
          <w:rFonts w:hint="eastAsia" w:ascii="Times New Roman" w:hAnsi="Times New Roman"/>
        </w:rPr>
        <w:t>格式填写。</w:t>
      </w:r>
    </w:p>
    <w:p>
      <w:pPr>
        <w:widowControl/>
        <w:spacing w:after="4" w:line="256" w:lineRule="auto"/>
        <w:ind w:left="420" w:hanging="10"/>
        <w:jc w:val="left"/>
        <w:rPr>
          <w:rFonts w:ascii="Times New Roman" w:hAnsi="Times New Roman" w:eastAsia="Times New Roman"/>
          <w:sz w:val="32"/>
        </w:rPr>
      </w:pPr>
      <w:r>
        <w:rPr>
          <w:rFonts w:ascii="Times New Roman" w:hAnsi="Times New Roman"/>
        </w:rPr>
        <w:t>3</w:t>
      </w:r>
      <w:r>
        <w:rPr>
          <w:rFonts w:hint="eastAsia" w:ascii="Times New Roman" w:hAnsi="Times New Roman"/>
        </w:rPr>
        <w:t>．投资按</w:t>
      </w:r>
      <w:r>
        <w:rPr>
          <w:rFonts w:ascii="Times New Roman" w:hAnsi="Times New Roman"/>
        </w:rPr>
        <w:t xml:space="preserve">2019 </w:t>
      </w:r>
      <w:r>
        <w:rPr>
          <w:rFonts w:hint="eastAsia" w:ascii="Times New Roman" w:hAnsi="Times New Roman"/>
        </w:rPr>
        <w:t>年价格计算；</w:t>
      </w:r>
    </w:p>
    <w:p>
      <w:pPr>
        <w:widowControl/>
        <w:spacing w:after="218" w:line="256" w:lineRule="auto"/>
        <w:ind w:left="420" w:hanging="10"/>
        <w:jc w:val="left"/>
        <w:rPr>
          <w:rFonts w:ascii="微软雅黑" w:hAnsi="微软雅黑" w:eastAsia="微软雅黑" w:cs="微软雅黑"/>
          <w:color w:val="0070C0"/>
          <w:sz w:val="32"/>
        </w:rPr>
      </w:pPr>
      <w:r>
        <w:rPr>
          <w:rFonts w:ascii="Times New Roman" w:hAnsi="Times New Roman"/>
        </w:rPr>
        <w:t>4</w:t>
      </w:r>
      <w:r>
        <w:rPr>
          <w:rFonts w:hint="eastAsia" w:ascii="Times New Roman" w:hAnsi="Times New Roman"/>
        </w:rPr>
        <w:t>．投资渠道指中央、市级、地方等；</w:t>
      </w:r>
      <w:r>
        <w:rPr>
          <w:rFonts w:ascii="Times New Roman" w:hAnsi="Times New Roman"/>
        </w:rPr>
        <w:t xml:space="preserve"> 5</w:t>
      </w:r>
      <w:r>
        <w:rPr>
          <w:rFonts w:hint="eastAsia" w:ascii="Times New Roman" w:hAnsi="Times New Roman"/>
        </w:rPr>
        <w:t>．备注中应注明该项目是否已列入其他规划，若列入应注明相关规划具体名称，并注明项目是否推荐为节水示范工程。</w:t>
      </w:r>
      <w:r>
        <w:rPr>
          <w:rFonts w:ascii="微软雅黑" w:hAnsi="微软雅黑" w:eastAsia="微软雅黑" w:cs="微软雅黑"/>
          <w:color w:val="0070C0"/>
          <w:sz w:val="32"/>
        </w:rPr>
        <w:br w:type="page"/>
      </w:r>
    </w:p>
    <w:p>
      <w:pPr>
        <w:keepNext/>
        <w:keepLines/>
        <w:widowControl/>
        <w:spacing w:line="259" w:lineRule="auto"/>
        <w:ind w:left="10" w:right="9" w:hanging="10"/>
        <w:jc w:val="center"/>
        <w:outlineLvl w:val="2"/>
        <w:rPr>
          <w:rFonts w:ascii="微软雅黑" w:hAnsi="微软雅黑" w:eastAsia="微软雅黑" w:cs="微软雅黑"/>
          <w:sz w:val="32"/>
        </w:rPr>
      </w:pPr>
      <w:bookmarkStart w:id="138" w:name="_Toc90482829"/>
      <w:r>
        <w:rPr>
          <w:rFonts w:hint="eastAsia" w:ascii="微软雅黑" w:hAnsi="微软雅黑" w:eastAsia="微软雅黑" w:cs="微软雅黑"/>
          <w:sz w:val="32"/>
        </w:rPr>
        <w:t>附表</w:t>
      </w:r>
      <w:r>
        <w:rPr>
          <w:rFonts w:ascii="微软雅黑" w:hAnsi="微软雅黑" w:eastAsia="微软雅黑" w:cs="微软雅黑"/>
          <w:sz w:val="32"/>
        </w:rPr>
        <w:t xml:space="preserve"> 4 </w:t>
      </w:r>
      <w:r>
        <w:rPr>
          <w:rFonts w:hint="eastAsia" w:ascii="微软雅黑" w:hAnsi="微软雅黑" w:eastAsia="微软雅黑" w:cs="微软雅黑"/>
          <w:sz w:val="32"/>
        </w:rPr>
        <w:t>重庆市“十四五”海绵城市建设工程</w:t>
      </w:r>
      <w:bookmarkEnd w:id="138"/>
    </w:p>
    <w:tbl>
      <w:tblPr>
        <w:tblStyle w:val="21"/>
        <w:tblW w:w="0" w:type="auto"/>
        <w:tblInd w:w="-108" w:type="dxa"/>
        <w:tblLayout w:type="autofit"/>
        <w:tblCellMar>
          <w:top w:w="13" w:type="dxa"/>
          <w:left w:w="10" w:type="dxa"/>
          <w:bottom w:w="8" w:type="dxa"/>
          <w:right w:w="115" w:type="dxa"/>
        </w:tblCellMar>
      </w:tblPr>
      <w:tblGrid>
        <w:gridCol w:w="657"/>
        <w:gridCol w:w="3029"/>
        <w:gridCol w:w="6733"/>
        <w:gridCol w:w="1192"/>
        <w:gridCol w:w="1134"/>
        <w:gridCol w:w="851"/>
        <w:gridCol w:w="1315"/>
      </w:tblGrid>
      <w:tr>
        <w:tblPrEx>
          <w:tblCellMar>
            <w:top w:w="13" w:type="dxa"/>
            <w:left w:w="10" w:type="dxa"/>
            <w:bottom w:w="8" w:type="dxa"/>
            <w:right w:w="115" w:type="dxa"/>
          </w:tblCellMar>
        </w:tblPrEx>
        <w:trPr>
          <w:trHeight w:val="464" w:hRule="atLeast"/>
        </w:trPr>
        <w:tc>
          <w:tcPr>
            <w:tcW w:w="0" w:type="auto"/>
            <w:vMerge w:val="restart"/>
            <w:tcBorders>
              <w:top w:val="single" w:color="000000" w:sz="4" w:space="0"/>
              <w:left w:val="single" w:color="000000" w:sz="4" w:space="0"/>
              <w:right w:val="single" w:color="000000" w:sz="4" w:space="0"/>
            </w:tcBorders>
            <w:vAlign w:val="center"/>
          </w:tcPr>
          <w:p>
            <w:pPr>
              <w:widowControl/>
              <w:spacing w:line="259" w:lineRule="auto"/>
              <w:ind w:left="178"/>
              <w:jc w:val="center"/>
              <w:rPr>
                <w:rFonts w:ascii="Arial Unicode MS" w:hAnsi="Arial Unicode MS" w:eastAsia="Times New Roman" w:cs="Arial Unicode MS"/>
                <w:color w:val="000000"/>
                <w:sz w:val="32"/>
              </w:rPr>
            </w:pPr>
            <w:r>
              <w:rPr>
                <w:rFonts w:hint="eastAsia" w:ascii="宋体" w:hAnsi="宋体" w:cs="宋体"/>
                <w:color w:val="000000"/>
              </w:rPr>
              <w:t>序号</w:t>
            </w:r>
          </w:p>
        </w:tc>
        <w:tc>
          <w:tcPr>
            <w:tcW w:w="0" w:type="auto"/>
            <w:vMerge w:val="restart"/>
            <w:tcBorders>
              <w:top w:val="single" w:color="000000" w:sz="4" w:space="0"/>
              <w:left w:val="single" w:color="000000" w:sz="4" w:space="0"/>
              <w:right w:val="single" w:color="000000" w:sz="4" w:space="0"/>
            </w:tcBorders>
            <w:vAlign w:val="center"/>
          </w:tcPr>
          <w:p>
            <w:pPr>
              <w:widowControl/>
              <w:spacing w:line="259" w:lineRule="auto"/>
              <w:ind w:left="185"/>
              <w:jc w:val="center"/>
              <w:rPr>
                <w:rFonts w:ascii="Arial Unicode MS" w:hAnsi="Arial Unicode MS" w:eastAsia="Times New Roman" w:cs="Arial Unicode MS"/>
                <w:color w:val="000000"/>
                <w:sz w:val="32"/>
              </w:rPr>
            </w:pPr>
            <w:r>
              <w:rPr>
                <w:rFonts w:hint="eastAsia" w:ascii="宋体" w:hAnsi="宋体" w:cs="宋体"/>
                <w:color w:val="000000"/>
              </w:rPr>
              <w:t>项目名称</w:t>
            </w:r>
          </w:p>
        </w:tc>
        <w:tc>
          <w:tcPr>
            <w:tcW w:w="6733" w:type="dxa"/>
            <w:vMerge w:val="restart"/>
            <w:tcBorders>
              <w:top w:val="single" w:color="000000" w:sz="4" w:space="0"/>
              <w:left w:val="single" w:color="000000" w:sz="4" w:space="0"/>
              <w:right w:val="single" w:color="000000" w:sz="4" w:space="0"/>
            </w:tcBorders>
            <w:vAlign w:val="center"/>
          </w:tcPr>
          <w:p>
            <w:pPr>
              <w:widowControl/>
              <w:spacing w:line="259" w:lineRule="auto"/>
              <w:ind w:left="204"/>
              <w:jc w:val="center"/>
              <w:rPr>
                <w:rFonts w:ascii="Arial Unicode MS" w:hAnsi="Arial Unicode MS" w:eastAsia="Times New Roman" w:cs="Arial Unicode MS"/>
                <w:color w:val="000000"/>
                <w:sz w:val="32"/>
              </w:rPr>
            </w:pPr>
            <w:r>
              <w:rPr>
                <w:rFonts w:hint="eastAsia" w:ascii="宋体" w:hAnsi="宋体" w:cs="宋体"/>
                <w:color w:val="000000"/>
              </w:rPr>
              <w:t>主要建设内容</w:t>
            </w:r>
          </w:p>
        </w:tc>
        <w:tc>
          <w:tcPr>
            <w:tcW w:w="1192" w:type="dxa"/>
            <w:vMerge w:val="restart"/>
            <w:tcBorders>
              <w:top w:val="single" w:color="000000" w:sz="4" w:space="0"/>
              <w:left w:val="single" w:color="000000" w:sz="4" w:space="0"/>
              <w:right w:val="single" w:color="000000" w:sz="4" w:space="0"/>
            </w:tcBorders>
            <w:vAlign w:val="center"/>
          </w:tcPr>
          <w:p>
            <w:pPr>
              <w:widowControl/>
              <w:spacing w:line="259" w:lineRule="auto"/>
              <w:ind w:left="182"/>
              <w:jc w:val="center"/>
              <w:rPr>
                <w:rFonts w:ascii="Arial Unicode MS" w:hAnsi="Arial Unicode MS" w:eastAsia="Times New Roman" w:cs="Arial Unicode MS"/>
                <w:color w:val="000000"/>
                <w:sz w:val="32"/>
              </w:rPr>
            </w:pPr>
            <w:r>
              <w:rPr>
                <w:rFonts w:hint="eastAsia" w:ascii="宋体" w:hAnsi="宋体" w:cs="宋体"/>
                <w:color w:val="000000"/>
              </w:rPr>
              <w:t>建设时限</w:t>
            </w:r>
          </w:p>
        </w:tc>
        <w:tc>
          <w:tcPr>
            <w:tcW w:w="1134" w:type="dxa"/>
            <w:vMerge w:val="restart"/>
            <w:tcBorders>
              <w:top w:val="single" w:color="000000" w:sz="4" w:space="0"/>
              <w:left w:val="single" w:color="000000" w:sz="4" w:space="0"/>
              <w:right w:val="single" w:color="000000" w:sz="4" w:space="0"/>
            </w:tcBorders>
            <w:vAlign w:val="center"/>
          </w:tcPr>
          <w:p>
            <w:pPr>
              <w:widowControl/>
              <w:spacing w:line="259" w:lineRule="auto"/>
              <w:ind w:left="185"/>
              <w:jc w:val="center"/>
              <w:rPr>
                <w:rFonts w:ascii="Arial Unicode MS" w:hAnsi="Arial Unicode MS" w:eastAsia="Times New Roman" w:cs="Arial Unicode MS"/>
                <w:color w:val="000000"/>
                <w:sz w:val="32"/>
              </w:rPr>
            </w:pPr>
            <w:r>
              <w:rPr>
                <w:rFonts w:hint="eastAsia" w:ascii="宋体" w:hAnsi="宋体" w:cs="宋体"/>
                <w:color w:val="000000"/>
              </w:rPr>
              <w:t>负责部门</w:t>
            </w:r>
          </w:p>
        </w:tc>
        <w:tc>
          <w:tcPr>
            <w:tcW w:w="851"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173"/>
              <w:jc w:val="center"/>
              <w:rPr>
                <w:rFonts w:ascii="Arial Unicode MS" w:hAnsi="Arial Unicode MS" w:eastAsia="Times New Roman" w:cs="Arial Unicode MS"/>
                <w:color w:val="000000"/>
                <w:sz w:val="32"/>
              </w:rPr>
            </w:pPr>
            <w:r>
              <w:rPr>
                <w:rFonts w:hint="eastAsia" w:ascii="宋体" w:hAnsi="宋体" w:cs="宋体"/>
                <w:color w:val="000000"/>
              </w:rPr>
              <w:t>总投资</w:t>
            </w:r>
          </w:p>
        </w:tc>
        <w:tc>
          <w:tcPr>
            <w:tcW w:w="1315" w:type="dxa"/>
            <w:vMerge w:val="restart"/>
            <w:tcBorders>
              <w:top w:val="single" w:color="000000" w:sz="4" w:space="0"/>
              <w:left w:val="single" w:color="000000" w:sz="4" w:space="0"/>
              <w:right w:val="single" w:color="000000" w:sz="4" w:space="0"/>
            </w:tcBorders>
            <w:vAlign w:val="center"/>
          </w:tcPr>
          <w:p>
            <w:pPr>
              <w:widowControl/>
              <w:spacing w:line="259" w:lineRule="auto"/>
              <w:ind w:left="154"/>
              <w:jc w:val="center"/>
              <w:rPr>
                <w:rFonts w:ascii="Arial Unicode MS" w:hAnsi="Arial Unicode MS" w:eastAsia="Times New Roman" w:cs="Arial Unicode MS"/>
                <w:color w:val="000000"/>
                <w:sz w:val="32"/>
              </w:rPr>
            </w:pPr>
            <w:r>
              <w:rPr>
                <w:rFonts w:hint="eastAsia" w:ascii="宋体" w:hAnsi="宋体" w:cs="宋体"/>
                <w:color w:val="000000"/>
              </w:rPr>
              <w:t>备注</w:t>
            </w:r>
          </w:p>
        </w:tc>
      </w:tr>
      <w:tr>
        <w:tblPrEx>
          <w:tblCellMar>
            <w:top w:w="13" w:type="dxa"/>
            <w:left w:w="10" w:type="dxa"/>
            <w:bottom w:w="8" w:type="dxa"/>
            <w:right w:w="115" w:type="dxa"/>
          </w:tblCellMar>
        </w:tblPrEx>
        <w:trPr>
          <w:trHeight w:val="408" w:hRule="atLeast"/>
        </w:trPr>
        <w:tc>
          <w:tcPr>
            <w:tcW w:w="0" w:type="auto"/>
            <w:vMerge w:val="continue"/>
            <w:tcBorders>
              <w:left w:val="single" w:color="000000" w:sz="4" w:space="0"/>
              <w:bottom w:val="single" w:color="000000" w:sz="4" w:space="0"/>
              <w:right w:val="single" w:color="000000" w:sz="4" w:space="0"/>
            </w:tcBorders>
            <w:vAlign w:val="center"/>
          </w:tcPr>
          <w:p>
            <w:pPr>
              <w:widowControl/>
              <w:spacing w:after="160" w:line="259" w:lineRule="auto"/>
              <w:jc w:val="center"/>
              <w:rPr>
                <w:rFonts w:ascii="Arial Unicode MS" w:hAnsi="Arial Unicode MS" w:eastAsia="Times New Roman" w:cs="Arial Unicode MS"/>
                <w:color w:val="000000"/>
                <w:sz w:val="32"/>
              </w:rPr>
            </w:pPr>
          </w:p>
        </w:tc>
        <w:tc>
          <w:tcPr>
            <w:tcW w:w="0" w:type="auto"/>
            <w:vMerge w:val="continue"/>
            <w:tcBorders>
              <w:left w:val="single" w:color="000000" w:sz="4" w:space="0"/>
              <w:bottom w:val="single" w:color="auto" w:sz="4" w:space="0"/>
              <w:right w:val="single" w:color="000000" w:sz="4" w:space="0"/>
            </w:tcBorders>
            <w:vAlign w:val="center"/>
          </w:tcPr>
          <w:p>
            <w:pPr>
              <w:widowControl/>
              <w:spacing w:after="160" w:line="259" w:lineRule="auto"/>
              <w:jc w:val="center"/>
              <w:rPr>
                <w:rFonts w:ascii="Arial Unicode MS" w:hAnsi="Arial Unicode MS" w:eastAsia="Times New Roman" w:cs="Arial Unicode MS"/>
                <w:color w:val="000000"/>
                <w:sz w:val="32"/>
              </w:rPr>
            </w:pPr>
          </w:p>
        </w:tc>
        <w:tc>
          <w:tcPr>
            <w:tcW w:w="6733" w:type="dxa"/>
            <w:vMerge w:val="continue"/>
            <w:tcBorders>
              <w:left w:val="single" w:color="000000" w:sz="4" w:space="0"/>
              <w:bottom w:val="single" w:color="auto" w:sz="4" w:space="0"/>
              <w:right w:val="single" w:color="000000" w:sz="4" w:space="0"/>
            </w:tcBorders>
            <w:vAlign w:val="center"/>
          </w:tcPr>
          <w:p>
            <w:pPr>
              <w:widowControl/>
              <w:spacing w:after="160" w:line="259" w:lineRule="auto"/>
              <w:jc w:val="center"/>
              <w:rPr>
                <w:rFonts w:ascii="Arial Unicode MS" w:hAnsi="Arial Unicode MS" w:eastAsia="Times New Roman" w:cs="Arial Unicode MS"/>
                <w:color w:val="000000"/>
                <w:sz w:val="32"/>
              </w:rPr>
            </w:pPr>
          </w:p>
        </w:tc>
        <w:tc>
          <w:tcPr>
            <w:tcW w:w="1192" w:type="dxa"/>
            <w:vMerge w:val="continue"/>
            <w:tcBorders>
              <w:left w:val="single" w:color="000000" w:sz="4" w:space="0"/>
              <w:bottom w:val="single" w:color="auto" w:sz="4" w:space="0"/>
              <w:right w:val="single" w:color="000000" w:sz="4" w:space="0"/>
            </w:tcBorders>
            <w:vAlign w:val="center"/>
          </w:tcPr>
          <w:p>
            <w:pPr>
              <w:widowControl/>
              <w:spacing w:after="160" w:line="259" w:lineRule="auto"/>
              <w:jc w:val="center"/>
              <w:rPr>
                <w:rFonts w:ascii="Arial Unicode MS" w:hAnsi="Arial Unicode MS" w:eastAsia="Times New Roman" w:cs="Arial Unicode MS"/>
                <w:color w:val="000000"/>
                <w:sz w:val="32"/>
              </w:rPr>
            </w:pPr>
          </w:p>
        </w:tc>
        <w:tc>
          <w:tcPr>
            <w:tcW w:w="1134" w:type="dxa"/>
            <w:vMerge w:val="continue"/>
            <w:tcBorders>
              <w:left w:val="single" w:color="000000" w:sz="4" w:space="0"/>
              <w:bottom w:val="single" w:color="000000" w:sz="4" w:space="0"/>
              <w:right w:val="single" w:color="000000" w:sz="4" w:space="0"/>
            </w:tcBorders>
            <w:vAlign w:val="center"/>
          </w:tcPr>
          <w:p>
            <w:pPr>
              <w:widowControl/>
              <w:spacing w:after="160" w:line="259" w:lineRule="auto"/>
              <w:jc w:val="center"/>
              <w:rPr>
                <w:rFonts w:ascii="Arial Unicode MS" w:hAnsi="Arial Unicode MS" w:eastAsia="Times New Roman" w:cs="Arial Unicode MS"/>
                <w:color w:val="000000"/>
                <w:sz w:val="32"/>
              </w:rPr>
            </w:pPr>
          </w:p>
        </w:tc>
        <w:tc>
          <w:tcPr>
            <w:tcW w:w="851" w:type="dxa"/>
            <w:tcBorders>
              <w:top w:val="single" w:color="000000" w:sz="4" w:space="0"/>
              <w:left w:val="single" w:color="000000" w:sz="4" w:space="0"/>
              <w:bottom w:val="single" w:color="auto" w:sz="4" w:space="0"/>
              <w:right w:val="single" w:color="000000" w:sz="4" w:space="0"/>
            </w:tcBorders>
            <w:vAlign w:val="center"/>
          </w:tcPr>
          <w:p>
            <w:pPr>
              <w:spacing w:line="259" w:lineRule="auto"/>
              <w:ind w:left="278"/>
              <w:jc w:val="center"/>
              <w:rPr>
                <w:rFonts w:ascii="Arial Unicode MS" w:hAnsi="Arial Unicode MS" w:eastAsia="Times New Roman" w:cs="Arial Unicode MS"/>
                <w:color w:val="000000"/>
                <w:sz w:val="32"/>
              </w:rPr>
            </w:pPr>
            <w:r>
              <w:rPr>
                <w:rFonts w:hint="eastAsia" w:ascii="宋体" w:hAnsi="宋体" w:cs="宋体"/>
                <w:color w:val="000000"/>
              </w:rPr>
              <w:t>万元</w:t>
            </w:r>
          </w:p>
        </w:tc>
        <w:tc>
          <w:tcPr>
            <w:tcW w:w="1315" w:type="dxa"/>
            <w:vMerge w:val="continue"/>
            <w:tcBorders>
              <w:left w:val="single" w:color="000000" w:sz="4" w:space="0"/>
              <w:bottom w:val="single" w:color="000000" w:sz="4" w:space="0"/>
              <w:right w:val="single" w:color="000000" w:sz="4" w:space="0"/>
            </w:tcBorders>
          </w:tcPr>
          <w:p>
            <w:pPr>
              <w:widowControl/>
              <w:spacing w:after="160" w:line="259" w:lineRule="auto"/>
              <w:jc w:val="left"/>
              <w:rPr>
                <w:rFonts w:ascii="Arial Unicode MS" w:hAnsi="Arial Unicode MS" w:eastAsia="Times New Roman" w:cs="Arial Unicode MS"/>
                <w:color w:val="000000"/>
                <w:sz w:val="32"/>
              </w:rPr>
            </w:pPr>
          </w:p>
        </w:tc>
      </w:tr>
      <w:tr>
        <w:tblPrEx>
          <w:tblCellMar>
            <w:top w:w="13" w:type="dxa"/>
            <w:left w:w="10" w:type="dxa"/>
            <w:bottom w:w="8" w:type="dxa"/>
            <w:right w:w="115" w:type="dxa"/>
          </w:tblCellMar>
        </w:tblPrEx>
        <w:trPr>
          <w:trHeight w:val="463" w:hRule="atLeast"/>
        </w:trPr>
        <w:tc>
          <w:tcPr>
            <w:tcW w:w="0" w:type="auto"/>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103"/>
              <w:jc w:val="center"/>
              <w:rPr>
                <w:rFonts w:ascii="Arial Unicode MS" w:hAnsi="Arial Unicode MS" w:eastAsia="Times New Roman" w:cs="Arial Unicode MS"/>
                <w:color w:val="000000"/>
                <w:szCs w:val="21"/>
              </w:rPr>
            </w:pPr>
            <w:r>
              <w:rPr>
                <w:rFonts w:ascii="Arial Unicode MS" w:hAnsi="Arial Unicode MS" w:eastAsia="Times New Roman" w:cs="Arial Unicode MS"/>
                <w:color w:val="000000"/>
                <w:szCs w:val="21"/>
              </w:rPr>
              <w:t xml:space="preserve">1 </w:t>
            </w:r>
          </w:p>
        </w:tc>
        <w:tc>
          <w:tcPr>
            <w:tcW w:w="0" w:type="auto"/>
            <w:tcBorders>
              <w:top w:val="single" w:color="auto" w:sz="4" w:space="0"/>
              <w:left w:val="single" w:color="auto" w:sz="4" w:space="0"/>
              <w:bottom w:val="single" w:color="auto" w:sz="4" w:space="0"/>
              <w:right w:val="single" w:color="auto" w:sz="4" w:space="0"/>
            </w:tcBorders>
            <w:vAlign w:val="center"/>
          </w:tcPr>
          <w:p>
            <w:pPr>
              <w:widowControl/>
              <w:spacing w:line="259" w:lineRule="auto"/>
              <w:ind w:left="154"/>
              <w:jc w:val="center"/>
              <w:rPr>
                <w:rFonts w:ascii="Arial Unicode MS" w:hAnsi="Arial Unicode MS" w:eastAsia="Times New Roman" w:cs="Arial Unicode MS"/>
                <w:color w:val="000000"/>
                <w:sz w:val="32"/>
              </w:rPr>
            </w:pPr>
            <w:r>
              <w:rPr>
                <w:rFonts w:hint="eastAsia"/>
              </w:rPr>
              <w:t>渝北城区环境综合整治</w:t>
            </w:r>
            <w:r>
              <w:t>PPP</w:t>
            </w:r>
            <w:r>
              <w:rPr>
                <w:rFonts w:hint="eastAsia"/>
              </w:rPr>
              <w:t>项目</w:t>
            </w:r>
          </w:p>
        </w:tc>
        <w:tc>
          <w:tcPr>
            <w:tcW w:w="6733" w:type="dxa"/>
            <w:tcBorders>
              <w:top w:val="single" w:color="auto" w:sz="4" w:space="0"/>
              <w:left w:val="single" w:color="auto" w:sz="4" w:space="0"/>
              <w:bottom w:val="single" w:color="auto" w:sz="4" w:space="0"/>
              <w:right w:val="single" w:color="auto" w:sz="4" w:space="0"/>
            </w:tcBorders>
            <w:vAlign w:val="center"/>
          </w:tcPr>
          <w:p>
            <w:pPr>
              <w:widowControl/>
              <w:spacing w:line="259" w:lineRule="auto"/>
              <w:ind w:left="154"/>
              <w:jc w:val="center"/>
              <w:rPr>
                <w:rFonts w:ascii="Arial Unicode MS" w:hAnsi="Arial Unicode MS" w:eastAsia="Times New Roman" w:cs="Arial Unicode MS"/>
                <w:color w:val="000000"/>
                <w:sz w:val="32"/>
              </w:rPr>
            </w:pPr>
            <w:r>
              <w:rPr>
                <w:rFonts w:hint="eastAsia"/>
              </w:rPr>
              <w:t>项目包括城区雨污分流治理及市政道路提档升级工程二期、渝北区清水绿岸治理提升工程两个子项目，本表仅纳入渝北区清水绿岸治理提升工程。涉及盘溪河及肖家河渝北段清水绿岸工程建设。①肖家河渝北段主河道长度</w:t>
            </w:r>
            <w:r>
              <w:t>4.0</w:t>
            </w:r>
            <w:r>
              <w:rPr>
                <w:rFonts w:hint="eastAsia"/>
              </w:rPr>
              <w:t>公里。②盘溪河新南路箱涵至重庆安琪儿妇产医院</w:t>
            </w:r>
            <w:r>
              <w:t>-</w:t>
            </w:r>
            <w:r>
              <w:rPr>
                <w:rFonts w:hint="eastAsia"/>
              </w:rPr>
              <w:t>嘉鸿大道下方段。</w:t>
            </w:r>
          </w:p>
        </w:tc>
        <w:tc>
          <w:tcPr>
            <w:tcW w:w="1192" w:type="dxa"/>
            <w:tcBorders>
              <w:top w:val="single" w:color="auto" w:sz="4" w:space="0"/>
              <w:bottom w:val="single" w:color="auto" w:sz="4" w:space="0"/>
              <w:right w:val="single" w:color="auto" w:sz="4" w:space="0"/>
            </w:tcBorders>
            <w:vAlign w:val="center"/>
          </w:tcPr>
          <w:p>
            <w:pPr>
              <w:widowControl/>
              <w:spacing w:line="259" w:lineRule="auto"/>
              <w:ind w:left="151"/>
              <w:jc w:val="center"/>
              <w:rPr>
                <w:rFonts w:ascii="Arial Unicode MS" w:hAnsi="Arial Unicode MS" w:eastAsia="Times New Roman" w:cs="Arial Unicode MS"/>
                <w:color w:val="000000"/>
                <w:sz w:val="32"/>
              </w:rPr>
            </w:pPr>
            <w:r>
              <w:t>2020-2021</w:t>
            </w:r>
          </w:p>
        </w:tc>
        <w:tc>
          <w:tcPr>
            <w:tcW w:w="1134" w:type="dxa"/>
            <w:tcBorders>
              <w:top w:val="single" w:color="000000" w:sz="4" w:space="0"/>
              <w:left w:val="single" w:color="auto" w:sz="4" w:space="0"/>
              <w:bottom w:val="single" w:color="000000" w:sz="4" w:space="0"/>
              <w:right w:val="single" w:color="auto" w:sz="4" w:space="0"/>
            </w:tcBorders>
            <w:vAlign w:val="center"/>
          </w:tcPr>
          <w:p>
            <w:pPr>
              <w:widowControl/>
              <w:spacing w:line="259" w:lineRule="auto"/>
              <w:ind w:left="156"/>
              <w:jc w:val="center"/>
              <w:rPr>
                <w:rFonts w:ascii="Arial Unicode MS" w:hAnsi="Arial Unicode MS" w:eastAsia="Times New Roman" w:cs="Arial Unicode MS"/>
                <w:color w:val="000000"/>
                <w:sz w:val="32"/>
              </w:rPr>
            </w:pPr>
            <w:r>
              <w:rPr>
                <w:rFonts w:hint="eastAsia" w:ascii="宋体" w:hAnsi="宋体" w:cs="宋体"/>
                <w:color w:val="000000"/>
              </w:rPr>
              <w:t>区住建委</w:t>
            </w:r>
          </w:p>
        </w:tc>
        <w:tc>
          <w:tcPr>
            <w:tcW w:w="851" w:type="dxa"/>
            <w:tcBorders>
              <w:top w:val="single" w:color="auto" w:sz="4" w:space="0"/>
              <w:left w:val="single" w:color="auto" w:sz="4" w:space="0"/>
              <w:bottom w:val="single" w:color="auto" w:sz="4" w:space="0"/>
              <w:right w:val="single" w:color="auto" w:sz="4" w:space="0"/>
            </w:tcBorders>
            <w:vAlign w:val="center"/>
          </w:tcPr>
          <w:p>
            <w:pPr>
              <w:widowControl/>
              <w:spacing w:line="259" w:lineRule="auto"/>
              <w:ind w:left="151"/>
              <w:jc w:val="center"/>
            </w:pPr>
            <w:r>
              <w:t>12000</w:t>
            </w:r>
          </w:p>
        </w:tc>
        <w:tc>
          <w:tcPr>
            <w:tcW w:w="1315" w:type="dxa"/>
            <w:vMerge w:val="restart"/>
            <w:tcBorders>
              <w:top w:val="single" w:color="000000" w:sz="4" w:space="0"/>
              <w:left w:val="single" w:color="auto" w:sz="4" w:space="0"/>
              <w:right w:val="single" w:color="000000" w:sz="4" w:space="0"/>
            </w:tcBorders>
            <w:vAlign w:val="center"/>
          </w:tcPr>
          <w:p>
            <w:pPr>
              <w:widowControl/>
              <w:spacing w:line="259" w:lineRule="auto"/>
              <w:ind w:left="151"/>
              <w:jc w:val="center"/>
              <w:rPr>
                <w:rFonts w:ascii="Arial Unicode MS" w:hAnsi="Arial Unicode MS" w:eastAsia="Times New Roman" w:cs="Arial Unicode MS"/>
                <w:color w:val="000000"/>
                <w:sz w:val="32"/>
              </w:rPr>
            </w:pPr>
            <w:r>
              <w:rPr>
                <w:rFonts w:hint="eastAsia" w:ascii="宋体" w:hAnsi="宋体" w:cs="宋体"/>
              </w:rPr>
              <w:t>已列入《渝北区“十四五”城市基础设施专项规划》</w:t>
            </w:r>
          </w:p>
        </w:tc>
      </w:tr>
      <w:tr>
        <w:tblPrEx>
          <w:tblCellMar>
            <w:top w:w="13" w:type="dxa"/>
            <w:left w:w="10" w:type="dxa"/>
            <w:bottom w:w="8" w:type="dxa"/>
            <w:right w:w="115" w:type="dxa"/>
          </w:tblCellMar>
        </w:tblPrEx>
        <w:trPr>
          <w:trHeight w:val="463" w:hRule="atLeast"/>
        </w:trPr>
        <w:tc>
          <w:tcPr>
            <w:tcW w:w="0" w:type="auto"/>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103"/>
              <w:jc w:val="center"/>
              <w:rPr>
                <w:rFonts w:ascii="Arial Unicode MS" w:hAnsi="Arial Unicode MS" w:eastAsia="Times New Roman" w:cs="Arial Unicode MS"/>
                <w:color w:val="000000"/>
                <w:szCs w:val="21"/>
              </w:rPr>
            </w:pPr>
            <w:r>
              <w:rPr>
                <w:rFonts w:ascii="Arial Unicode MS" w:hAnsi="Arial Unicode MS" w:eastAsia="Times New Roman" w:cs="Arial Unicode MS"/>
                <w:color w:val="000000"/>
                <w:szCs w:val="21"/>
              </w:rPr>
              <w:t xml:space="preserve">2 </w:t>
            </w:r>
          </w:p>
        </w:tc>
        <w:tc>
          <w:tcPr>
            <w:tcW w:w="0" w:type="auto"/>
            <w:tcBorders>
              <w:top w:val="single" w:color="auto" w:sz="4" w:space="0"/>
              <w:left w:val="single" w:color="auto" w:sz="4" w:space="0"/>
              <w:bottom w:val="single" w:color="auto" w:sz="4" w:space="0"/>
              <w:right w:val="single" w:color="auto" w:sz="4" w:space="0"/>
            </w:tcBorders>
            <w:vAlign w:val="center"/>
          </w:tcPr>
          <w:p>
            <w:pPr>
              <w:widowControl/>
              <w:spacing w:line="259" w:lineRule="auto"/>
              <w:ind w:left="154"/>
              <w:jc w:val="center"/>
              <w:rPr>
                <w:rFonts w:ascii="Arial Unicode MS" w:hAnsi="Arial Unicode MS" w:eastAsia="Times New Roman" w:cs="Arial Unicode MS"/>
                <w:color w:val="000000"/>
                <w:sz w:val="32"/>
              </w:rPr>
            </w:pPr>
            <w:r>
              <w:rPr>
                <w:rFonts w:hint="eastAsia"/>
              </w:rPr>
              <w:t>海绵城市达标建设</w:t>
            </w:r>
          </w:p>
        </w:tc>
        <w:tc>
          <w:tcPr>
            <w:tcW w:w="6733" w:type="dxa"/>
            <w:tcBorders>
              <w:top w:val="single" w:color="auto" w:sz="4" w:space="0"/>
              <w:left w:val="single" w:color="auto" w:sz="4" w:space="0"/>
              <w:bottom w:val="single" w:color="auto" w:sz="4" w:space="0"/>
              <w:right w:val="single" w:color="auto" w:sz="4" w:space="0"/>
            </w:tcBorders>
            <w:vAlign w:val="center"/>
          </w:tcPr>
          <w:p>
            <w:pPr>
              <w:widowControl/>
              <w:spacing w:line="259" w:lineRule="auto"/>
              <w:ind w:left="154"/>
              <w:jc w:val="center"/>
              <w:rPr>
                <w:rFonts w:ascii="Arial Unicode MS" w:hAnsi="Arial Unicode MS" w:eastAsia="Times New Roman" w:cs="Arial Unicode MS"/>
                <w:color w:val="000000"/>
                <w:sz w:val="32"/>
              </w:rPr>
            </w:pPr>
            <w:r>
              <w:rPr>
                <w:rFonts w:hint="eastAsia"/>
              </w:rPr>
              <w:t>创新经济走廊片区双溪河</w:t>
            </w:r>
            <w:r>
              <w:t>8</w:t>
            </w:r>
            <w:r>
              <w:rPr>
                <w:rFonts w:hint="eastAsia"/>
              </w:rPr>
              <w:t>排水分区、空港新城片区双桥溪排水</w:t>
            </w:r>
            <w:r>
              <w:t>15</w:t>
            </w:r>
            <w:r>
              <w:rPr>
                <w:rFonts w:hint="eastAsia"/>
              </w:rPr>
              <w:t>分区、仙桃数据谷双桥溪</w:t>
            </w:r>
            <w:r>
              <w:t>1</w:t>
            </w:r>
            <w:r>
              <w:rPr>
                <w:rFonts w:hint="eastAsia"/>
              </w:rPr>
              <w:t>、</w:t>
            </w:r>
            <w:r>
              <w:t>2</w:t>
            </w:r>
            <w:r>
              <w:rPr>
                <w:rFonts w:hint="eastAsia"/>
              </w:rPr>
              <w:t>排水分区。</w:t>
            </w:r>
          </w:p>
        </w:tc>
        <w:tc>
          <w:tcPr>
            <w:tcW w:w="1192" w:type="dxa"/>
            <w:tcBorders>
              <w:top w:val="single" w:color="auto" w:sz="4" w:space="0"/>
              <w:bottom w:val="single" w:color="auto" w:sz="4" w:space="0"/>
              <w:right w:val="single" w:color="auto" w:sz="4" w:space="0"/>
            </w:tcBorders>
            <w:vAlign w:val="center"/>
          </w:tcPr>
          <w:p>
            <w:pPr>
              <w:widowControl/>
              <w:spacing w:line="259" w:lineRule="auto"/>
              <w:ind w:left="151"/>
              <w:jc w:val="center"/>
              <w:rPr>
                <w:rFonts w:ascii="Arial Unicode MS" w:hAnsi="Arial Unicode MS" w:eastAsia="Times New Roman" w:cs="Arial Unicode MS"/>
                <w:color w:val="000000"/>
                <w:sz w:val="32"/>
              </w:rPr>
            </w:pPr>
            <w:r>
              <w:t>2021-2024</w:t>
            </w:r>
          </w:p>
        </w:tc>
        <w:tc>
          <w:tcPr>
            <w:tcW w:w="1134" w:type="dxa"/>
            <w:tcBorders>
              <w:top w:val="single" w:color="000000" w:sz="4" w:space="0"/>
              <w:left w:val="single" w:color="auto" w:sz="4" w:space="0"/>
              <w:bottom w:val="single" w:color="000000" w:sz="4" w:space="0"/>
              <w:right w:val="single" w:color="auto" w:sz="4" w:space="0"/>
            </w:tcBorders>
          </w:tcPr>
          <w:p>
            <w:pPr>
              <w:widowControl/>
              <w:spacing w:line="259" w:lineRule="auto"/>
              <w:ind w:left="156"/>
              <w:jc w:val="center"/>
              <w:rPr>
                <w:rFonts w:ascii="Arial Unicode MS" w:hAnsi="Arial Unicode MS" w:eastAsia="Times New Roman" w:cs="Arial Unicode MS"/>
                <w:color w:val="000000"/>
                <w:sz w:val="32"/>
              </w:rPr>
            </w:pPr>
            <w:r>
              <w:rPr>
                <w:rFonts w:hint="eastAsia"/>
              </w:rPr>
              <w:t>区住建委</w:t>
            </w:r>
          </w:p>
        </w:tc>
        <w:tc>
          <w:tcPr>
            <w:tcW w:w="851" w:type="dxa"/>
            <w:tcBorders>
              <w:top w:val="single" w:color="auto" w:sz="4" w:space="0"/>
              <w:left w:val="single" w:color="auto" w:sz="4" w:space="0"/>
              <w:bottom w:val="single" w:color="auto" w:sz="4" w:space="0"/>
              <w:right w:val="single" w:color="auto" w:sz="4" w:space="0"/>
            </w:tcBorders>
            <w:vAlign w:val="center"/>
          </w:tcPr>
          <w:p>
            <w:pPr>
              <w:widowControl/>
              <w:spacing w:line="259" w:lineRule="auto"/>
              <w:ind w:left="151"/>
              <w:jc w:val="center"/>
            </w:pPr>
            <w:r>
              <w:t>6000</w:t>
            </w:r>
          </w:p>
        </w:tc>
        <w:tc>
          <w:tcPr>
            <w:tcW w:w="1315" w:type="dxa"/>
            <w:vMerge w:val="continue"/>
            <w:tcBorders>
              <w:left w:val="single" w:color="auto" w:sz="4" w:space="0"/>
              <w:right w:val="single" w:color="000000" w:sz="4" w:space="0"/>
            </w:tcBorders>
            <w:vAlign w:val="center"/>
          </w:tcPr>
          <w:p>
            <w:pPr>
              <w:spacing w:line="259" w:lineRule="auto"/>
              <w:ind w:left="151"/>
              <w:jc w:val="center"/>
              <w:rPr>
                <w:rFonts w:ascii="Arial Unicode MS" w:hAnsi="Arial Unicode MS" w:eastAsia="Times New Roman" w:cs="Arial Unicode MS"/>
                <w:color w:val="000000"/>
                <w:sz w:val="32"/>
              </w:rPr>
            </w:pPr>
          </w:p>
        </w:tc>
      </w:tr>
      <w:tr>
        <w:tblPrEx>
          <w:tblCellMar>
            <w:top w:w="13" w:type="dxa"/>
            <w:left w:w="10" w:type="dxa"/>
            <w:bottom w:w="8" w:type="dxa"/>
            <w:right w:w="115" w:type="dxa"/>
          </w:tblCellMar>
        </w:tblPrEx>
        <w:trPr>
          <w:trHeight w:val="466" w:hRule="atLeast"/>
        </w:trPr>
        <w:tc>
          <w:tcPr>
            <w:tcW w:w="0" w:type="auto"/>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103"/>
              <w:jc w:val="center"/>
              <w:rPr>
                <w:rFonts w:ascii="Arial Unicode MS" w:hAnsi="Arial Unicode MS" w:eastAsia="Times New Roman" w:cs="Arial Unicode MS"/>
                <w:color w:val="000000"/>
                <w:szCs w:val="21"/>
              </w:rPr>
            </w:pPr>
            <w:r>
              <w:rPr>
                <w:rFonts w:ascii="Arial Unicode MS" w:hAnsi="Arial Unicode MS" w:eastAsia="Times New Roman" w:cs="Arial Unicode MS"/>
                <w:color w:val="000000"/>
                <w:szCs w:val="21"/>
              </w:rPr>
              <w:t xml:space="preserve">3 </w:t>
            </w:r>
          </w:p>
        </w:tc>
        <w:tc>
          <w:tcPr>
            <w:tcW w:w="0" w:type="auto"/>
            <w:tcBorders>
              <w:top w:val="single" w:color="auto" w:sz="4" w:space="0"/>
              <w:left w:val="single" w:color="auto" w:sz="4" w:space="0"/>
              <w:bottom w:val="single" w:color="auto" w:sz="4" w:space="0"/>
              <w:right w:val="single" w:color="auto" w:sz="4" w:space="0"/>
            </w:tcBorders>
            <w:vAlign w:val="center"/>
          </w:tcPr>
          <w:p>
            <w:pPr>
              <w:widowControl/>
              <w:spacing w:line="259" w:lineRule="auto"/>
              <w:ind w:left="154"/>
              <w:jc w:val="center"/>
              <w:rPr>
                <w:rFonts w:ascii="Arial Unicode MS" w:hAnsi="Arial Unicode MS" w:eastAsia="Times New Roman" w:cs="Arial Unicode MS"/>
                <w:color w:val="000000"/>
                <w:sz w:val="32"/>
              </w:rPr>
            </w:pPr>
            <w:r>
              <w:t>F40-1-1</w:t>
            </w:r>
            <w:r>
              <w:rPr>
                <w:rFonts w:hint="eastAsia"/>
              </w:rPr>
              <w:t>北部、</w:t>
            </w:r>
            <w:r>
              <w:t>F40-1-2</w:t>
            </w:r>
            <w:r>
              <w:rPr>
                <w:rFonts w:hint="eastAsia"/>
              </w:rPr>
              <w:t>地块土地平场工程</w:t>
            </w:r>
          </w:p>
        </w:tc>
        <w:tc>
          <w:tcPr>
            <w:tcW w:w="6733" w:type="dxa"/>
            <w:tcBorders>
              <w:top w:val="single" w:color="auto" w:sz="4" w:space="0"/>
              <w:left w:val="single" w:color="auto" w:sz="4" w:space="0"/>
              <w:bottom w:val="single" w:color="auto" w:sz="4" w:space="0"/>
              <w:right w:val="single" w:color="auto" w:sz="4" w:space="0"/>
            </w:tcBorders>
            <w:vAlign w:val="center"/>
          </w:tcPr>
          <w:p>
            <w:pPr>
              <w:widowControl/>
              <w:spacing w:line="259" w:lineRule="auto"/>
              <w:ind w:left="154"/>
              <w:jc w:val="center"/>
              <w:rPr>
                <w:rFonts w:ascii="Arial Unicode MS" w:hAnsi="Arial Unicode MS" w:eastAsia="Times New Roman" w:cs="Arial Unicode MS"/>
                <w:color w:val="000000"/>
                <w:sz w:val="32"/>
              </w:rPr>
            </w:pPr>
            <w:r>
              <w:rPr>
                <w:rFonts w:hint="eastAsia"/>
              </w:rPr>
              <w:t>土石方工程，挖方总量为</w:t>
            </w:r>
            <w:r>
              <w:t>806180.99 m</w:t>
            </w:r>
            <w:r>
              <w:rPr>
                <w:vertAlign w:val="superscript"/>
              </w:rPr>
              <w:t>3</w:t>
            </w:r>
            <w:r>
              <w:rPr>
                <w:rFonts w:hint="eastAsia"/>
              </w:rPr>
              <w:t>，填方总量量为</w:t>
            </w:r>
            <w:r>
              <w:t>1579.97 m</w:t>
            </w:r>
            <w:r>
              <w:rPr>
                <w:vertAlign w:val="superscript"/>
              </w:rPr>
              <w:t>3</w:t>
            </w:r>
          </w:p>
        </w:tc>
        <w:tc>
          <w:tcPr>
            <w:tcW w:w="1192" w:type="dxa"/>
            <w:tcBorders>
              <w:top w:val="single" w:color="auto" w:sz="4" w:space="0"/>
              <w:bottom w:val="single" w:color="auto" w:sz="4" w:space="0"/>
              <w:right w:val="single" w:color="auto" w:sz="4" w:space="0"/>
            </w:tcBorders>
            <w:vAlign w:val="center"/>
          </w:tcPr>
          <w:p>
            <w:pPr>
              <w:widowControl/>
              <w:spacing w:line="259" w:lineRule="auto"/>
              <w:ind w:left="151"/>
              <w:jc w:val="center"/>
              <w:rPr>
                <w:rFonts w:ascii="Arial Unicode MS" w:hAnsi="Arial Unicode MS" w:eastAsia="Times New Roman" w:cs="Arial Unicode MS"/>
                <w:color w:val="000000"/>
                <w:sz w:val="32"/>
              </w:rPr>
            </w:pPr>
            <w:r>
              <w:t>2020-2021</w:t>
            </w:r>
          </w:p>
        </w:tc>
        <w:tc>
          <w:tcPr>
            <w:tcW w:w="1134" w:type="dxa"/>
            <w:tcBorders>
              <w:top w:val="single" w:color="000000" w:sz="4" w:space="0"/>
              <w:left w:val="single" w:color="auto" w:sz="4" w:space="0"/>
              <w:bottom w:val="single" w:color="000000" w:sz="4" w:space="0"/>
              <w:right w:val="single" w:color="auto" w:sz="4" w:space="0"/>
            </w:tcBorders>
          </w:tcPr>
          <w:p>
            <w:pPr>
              <w:widowControl/>
              <w:spacing w:line="259" w:lineRule="auto"/>
              <w:ind w:left="156"/>
              <w:jc w:val="center"/>
              <w:rPr>
                <w:rFonts w:ascii="Arial Unicode MS" w:hAnsi="Arial Unicode MS" w:eastAsia="Times New Roman" w:cs="Arial Unicode MS"/>
                <w:color w:val="000000"/>
                <w:sz w:val="32"/>
              </w:rPr>
            </w:pPr>
            <w:r>
              <w:rPr>
                <w:rFonts w:hint="eastAsia"/>
              </w:rPr>
              <w:t>区住建委</w:t>
            </w:r>
          </w:p>
        </w:tc>
        <w:tc>
          <w:tcPr>
            <w:tcW w:w="851" w:type="dxa"/>
            <w:vMerge w:val="restart"/>
            <w:tcBorders>
              <w:top w:val="single" w:color="auto" w:sz="4" w:space="0"/>
              <w:left w:val="single" w:color="auto" w:sz="4" w:space="0"/>
              <w:bottom w:val="single" w:color="auto" w:sz="4" w:space="0"/>
              <w:right w:val="single" w:color="auto" w:sz="4" w:space="0"/>
            </w:tcBorders>
            <w:vAlign w:val="center"/>
          </w:tcPr>
          <w:p>
            <w:pPr>
              <w:widowControl/>
              <w:spacing w:line="259" w:lineRule="auto"/>
              <w:ind w:left="154"/>
              <w:jc w:val="center"/>
              <w:rPr>
                <w:rFonts w:ascii="Arial Unicode MS" w:hAnsi="Arial Unicode MS" w:eastAsia="Times New Roman" w:cs="Arial Unicode MS"/>
                <w:color w:val="000000"/>
                <w:sz w:val="32"/>
              </w:rPr>
            </w:pPr>
            <w:r>
              <w:rPr>
                <w:rFonts w:ascii="Times New Roman" w:hAnsi="Times New Roman"/>
                <w:color w:val="000000"/>
              </w:rPr>
              <w:t>11000</w:t>
            </w:r>
          </w:p>
        </w:tc>
        <w:tc>
          <w:tcPr>
            <w:tcW w:w="1315" w:type="dxa"/>
            <w:vMerge w:val="continue"/>
            <w:tcBorders>
              <w:left w:val="single" w:color="auto" w:sz="4" w:space="0"/>
              <w:right w:val="single" w:color="000000" w:sz="4" w:space="0"/>
            </w:tcBorders>
            <w:vAlign w:val="center"/>
          </w:tcPr>
          <w:p>
            <w:pPr>
              <w:spacing w:line="259" w:lineRule="auto"/>
              <w:ind w:left="151"/>
              <w:jc w:val="center"/>
              <w:rPr>
                <w:rFonts w:ascii="Arial Unicode MS" w:hAnsi="Arial Unicode MS" w:eastAsia="Times New Roman" w:cs="Arial Unicode MS"/>
                <w:color w:val="000000"/>
                <w:sz w:val="32"/>
              </w:rPr>
            </w:pPr>
          </w:p>
        </w:tc>
      </w:tr>
      <w:tr>
        <w:tblPrEx>
          <w:tblCellMar>
            <w:top w:w="13" w:type="dxa"/>
            <w:left w:w="10" w:type="dxa"/>
            <w:bottom w:w="8" w:type="dxa"/>
            <w:right w:w="115" w:type="dxa"/>
          </w:tblCellMar>
        </w:tblPrEx>
        <w:trPr>
          <w:trHeight w:val="464" w:hRule="atLeast"/>
        </w:trPr>
        <w:tc>
          <w:tcPr>
            <w:tcW w:w="0" w:type="auto"/>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103"/>
              <w:jc w:val="center"/>
              <w:rPr>
                <w:rFonts w:ascii="Arial Unicode MS" w:hAnsi="Arial Unicode MS" w:eastAsia="Times New Roman" w:cs="Arial Unicode MS"/>
                <w:color w:val="000000"/>
                <w:szCs w:val="21"/>
              </w:rPr>
            </w:pPr>
            <w:r>
              <w:rPr>
                <w:rFonts w:ascii="Arial Unicode MS" w:hAnsi="Arial Unicode MS" w:eastAsia="Times New Roman" w:cs="Arial Unicode MS"/>
                <w:color w:val="000000"/>
                <w:szCs w:val="21"/>
              </w:rPr>
              <w:t xml:space="preserve">4 </w:t>
            </w:r>
          </w:p>
        </w:tc>
        <w:tc>
          <w:tcPr>
            <w:tcW w:w="0" w:type="auto"/>
            <w:tcBorders>
              <w:top w:val="single" w:color="auto" w:sz="4" w:space="0"/>
              <w:left w:val="single" w:color="auto" w:sz="4" w:space="0"/>
              <w:bottom w:val="single" w:color="auto" w:sz="4" w:space="0"/>
              <w:right w:val="single" w:color="auto" w:sz="4" w:space="0"/>
            </w:tcBorders>
            <w:vAlign w:val="center"/>
          </w:tcPr>
          <w:p>
            <w:pPr>
              <w:widowControl/>
              <w:spacing w:line="259" w:lineRule="auto"/>
              <w:ind w:left="154"/>
              <w:jc w:val="center"/>
              <w:rPr>
                <w:rFonts w:ascii="Arial Unicode MS" w:hAnsi="Arial Unicode MS" w:eastAsia="Times New Roman" w:cs="Arial Unicode MS"/>
                <w:color w:val="000000"/>
                <w:sz w:val="32"/>
              </w:rPr>
            </w:pPr>
            <w:r>
              <w:rPr>
                <w:rFonts w:hint="eastAsia"/>
              </w:rPr>
              <w:t>万家山公园</w:t>
            </w:r>
          </w:p>
        </w:tc>
        <w:tc>
          <w:tcPr>
            <w:tcW w:w="6733" w:type="dxa"/>
            <w:tcBorders>
              <w:top w:val="single" w:color="auto" w:sz="4" w:space="0"/>
              <w:left w:val="single" w:color="auto" w:sz="4" w:space="0"/>
              <w:bottom w:val="single" w:color="auto" w:sz="4" w:space="0"/>
              <w:right w:val="single" w:color="auto" w:sz="4" w:space="0"/>
            </w:tcBorders>
            <w:vAlign w:val="center"/>
          </w:tcPr>
          <w:p>
            <w:pPr>
              <w:widowControl/>
              <w:spacing w:line="259" w:lineRule="auto"/>
              <w:ind w:left="154"/>
              <w:jc w:val="center"/>
              <w:rPr>
                <w:rFonts w:ascii="Arial Unicode MS" w:hAnsi="Arial Unicode MS" w:eastAsia="Times New Roman" w:cs="Arial Unicode MS"/>
                <w:color w:val="000000"/>
                <w:sz w:val="32"/>
              </w:rPr>
            </w:pPr>
            <w:r>
              <w:rPr>
                <w:rFonts w:hint="eastAsia"/>
              </w:rPr>
              <w:t>本项目总用地面积</w:t>
            </w:r>
            <w:r>
              <w:t>976922m</w:t>
            </w:r>
            <w:r>
              <w:rPr>
                <w:vertAlign w:val="superscript"/>
              </w:rPr>
              <w:t>2</w:t>
            </w:r>
            <w:r>
              <w:rPr>
                <w:rFonts w:hint="eastAsia"/>
              </w:rPr>
              <w:t>，其中水体面积</w:t>
            </w:r>
            <w:r>
              <w:t>7680m</w:t>
            </w:r>
            <w:r>
              <w:rPr>
                <w:vertAlign w:val="superscript"/>
              </w:rPr>
              <w:t>2</w:t>
            </w:r>
            <w:r>
              <w:rPr>
                <w:rFonts w:hint="eastAsia"/>
              </w:rPr>
              <w:t>，绿化面积</w:t>
            </w:r>
            <w:r>
              <w:t>863050m</w:t>
            </w:r>
            <w:r>
              <w:rPr>
                <w:vertAlign w:val="superscript"/>
              </w:rPr>
              <w:t>2</w:t>
            </w:r>
            <w:r>
              <w:rPr>
                <w:rFonts w:hint="eastAsia"/>
              </w:rPr>
              <w:t>，绿地率</w:t>
            </w:r>
            <w:r>
              <w:t>88</w:t>
            </w:r>
            <w:r>
              <w:rPr>
                <w:rFonts w:hint="eastAsia"/>
              </w:rPr>
              <w:t>％。</w:t>
            </w:r>
          </w:p>
        </w:tc>
        <w:tc>
          <w:tcPr>
            <w:tcW w:w="1192" w:type="dxa"/>
            <w:tcBorders>
              <w:top w:val="single" w:color="auto" w:sz="4" w:space="0"/>
              <w:bottom w:val="single" w:color="auto" w:sz="4" w:space="0"/>
              <w:right w:val="single" w:color="auto" w:sz="4" w:space="0"/>
            </w:tcBorders>
            <w:vAlign w:val="center"/>
          </w:tcPr>
          <w:p>
            <w:pPr>
              <w:widowControl/>
              <w:spacing w:line="259" w:lineRule="auto"/>
              <w:ind w:left="151"/>
              <w:jc w:val="center"/>
              <w:rPr>
                <w:rFonts w:ascii="Arial Unicode MS" w:hAnsi="Arial Unicode MS" w:eastAsia="Times New Roman" w:cs="Arial Unicode MS"/>
                <w:color w:val="000000"/>
                <w:sz w:val="32"/>
              </w:rPr>
            </w:pPr>
            <w:r>
              <w:t>2021-2022</w:t>
            </w:r>
          </w:p>
        </w:tc>
        <w:tc>
          <w:tcPr>
            <w:tcW w:w="1134" w:type="dxa"/>
            <w:tcBorders>
              <w:top w:val="single" w:color="000000" w:sz="4" w:space="0"/>
              <w:left w:val="single" w:color="auto" w:sz="4" w:space="0"/>
              <w:bottom w:val="single" w:color="000000" w:sz="4" w:space="0"/>
              <w:right w:val="single" w:color="auto" w:sz="4" w:space="0"/>
            </w:tcBorders>
          </w:tcPr>
          <w:p>
            <w:pPr>
              <w:widowControl/>
              <w:spacing w:line="259" w:lineRule="auto"/>
              <w:ind w:left="156"/>
              <w:jc w:val="center"/>
              <w:rPr>
                <w:rFonts w:ascii="Arial Unicode MS" w:hAnsi="Arial Unicode MS" w:eastAsia="Times New Roman" w:cs="Arial Unicode MS"/>
                <w:color w:val="000000"/>
                <w:sz w:val="32"/>
              </w:rPr>
            </w:pPr>
            <w:r>
              <w:rPr>
                <w:rFonts w:hint="eastAsia"/>
              </w:rPr>
              <w:t>区住建委</w:t>
            </w:r>
          </w:p>
        </w:tc>
        <w:tc>
          <w:tcPr>
            <w:tcW w:w="851" w:type="dxa"/>
            <w:vMerge w:val="continue"/>
            <w:tcBorders>
              <w:top w:val="single" w:color="auto" w:sz="4" w:space="0"/>
              <w:left w:val="single" w:color="auto" w:sz="4" w:space="0"/>
              <w:bottom w:val="single" w:color="auto" w:sz="4" w:space="0"/>
              <w:right w:val="single" w:color="auto" w:sz="4" w:space="0"/>
            </w:tcBorders>
            <w:vAlign w:val="center"/>
          </w:tcPr>
          <w:p>
            <w:pPr>
              <w:spacing w:line="259" w:lineRule="auto"/>
              <w:ind w:left="154"/>
              <w:jc w:val="center"/>
              <w:rPr>
                <w:rFonts w:ascii="Arial Unicode MS" w:hAnsi="Arial Unicode MS" w:eastAsia="Times New Roman" w:cs="Arial Unicode MS"/>
                <w:color w:val="000000"/>
                <w:sz w:val="32"/>
              </w:rPr>
            </w:pPr>
          </w:p>
        </w:tc>
        <w:tc>
          <w:tcPr>
            <w:tcW w:w="1315" w:type="dxa"/>
            <w:vMerge w:val="continue"/>
            <w:tcBorders>
              <w:left w:val="single" w:color="auto" w:sz="4" w:space="0"/>
              <w:right w:val="single" w:color="000000" w:sz="4" w:space="0"/>
            </w:tcBorders>
            <w:vAlign w:val="center"/>
          </w:tcPr>
          <w:p>
            <w:pPr>
              <w:spacing w:line="259" w:lineRule="auto"/>
              <w:ind w:left="151"/>
              <w:jc w:val="center"/>
              <w:rPr>
                <w:rFonts w:ascii="Arial Unicode MS" w:hAnsi="Arial Unicode MS" w:eastAsia="Times New Roman" w:cs="Arial Unicode MS"/>
                <w:color w:val="000000"/>
                <w:sz w:val="32"/>
              </w:rPr>
            </w:pPr>
          </w:p>
        </w:tc>
      </w:tr>
      <w:tr>
        <w:tblPrEx>
          <w:tblCellMar>
            <w:top w:w="13" w:type="dxa"/>
            <w:left w:w="10" w:type="dxa"/>
            <w:bottom w:w="8" w:type="dxa"/>
            <w:right w:w="115" w:type="dxa"/>
          </w:tblCellMar>
        </w:tblPrEx>
        <w:trPr>
          <w:trHeight w:val="463" w:hRule="atLeast"/>
        </w:trPr>
        <w:tc>
          <w:tcPr>
            <w:tcW w:w="0" w:type="auto"/>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103"/>
              <w:jc w:val="center"/>
              <w:rPr>
                <w:rFonts w:ascii="Arial Unicode MS" w:hAnsi="Arial Unicode MS" w:eastAsia="Times New Roman" w:cs="Arial Unicode MS"/>
                <w:color w:val="000000"/>
                <w:szCs w:val="21"/>
              </w:rPr>
            </w:pPr>
            <w:r>
              <w:rPr>
                <w:rFonts w:ascii="Arial Unicode MS" w:hAnsi="Arial Unicode MS" w:eastAsia="Times New Roman" w:cs="Arial Unicode MS"/>
                <w:color w:val="000000"/>
                <w:szCs w:val="21"/>
              </w:rPr>
              <w:t xml:space="preserve"> 5</w:t>
            </w:r>
          </w:p>
        </w:tc>
        <w:tc>
          <w:tcPr>
            <w:tcW w:w="0" w:type="auto"/>
            <w:tcBorders>
              <w:top w:val="single" w:color="auto" w:sz="4" w:space="0"/>
              <w:left w:val="single" w:color="auto" w:sz="4" w:space="0"/>
              <w:bottom w:val="single" w:color="auto" w:sz="4" w:space="0"/>
              <w:right w:val="single" w:color="auto" w:sz="4" w:space="0"/>
            </w:tcBorders>
            <w:vAlign w:val="center"/>
          </w:tcPr>
          <w:p>
            <w:pPr>
              <w:widowControl/>
              <w:spacing w:line="259" w:lineRule="auto"/>
              <w:ind w:left="154"/>
              <w:jc w:val="center"/>
              <w:rPr>
                <w:rFonts w:ascii="Arial Unicode MS" w:hAnsi="Arial Unicode MS" w:eastAsia="Times New Roman" w:cs="Arial Unicode MS"/>
                <w:color w:val="000000"/>
                <w:sz w:val="32"/>
              </w:rPr>
            </w:pPr>
            <w:r>
              <w:rPr>
                <w:rFonts w:hint="eastAsia"/>
              </w:rPr>
              <w:t>花石公园景观工程</w:t>
            </w:r>
          </w:p>
        </w:tc>
        <w:tc>
          <w:tcPr>
            <w:tcW w:w="6733" w:type="dxa"/>
            <w:tcBorders>
              <w:top w:val="single" w:color="auto" w:sz="4" w:space="0"/>
              <w:left w:val="single" w:color="auto" w:sz="4" w:space="0"/>
              <w:bottom w:val="single" w:color="auto" w:sz="4" w:space="0"/>
              <w:right w:val="single" w:color="auto" w:sz="4" w:space="0"/>
            </w:tcBorders>
            <w:vAlign w:val="center"/>
          </w:tcPr>
          <w:p>
            <w:pPr>
              <w:widowControl/>
              <w:spacing w:line="259" w:lineRule="auto"/>
              <w:ind w:left="154"/>
              <w:jc w:val="center"/>
              <w:rPr>
                <w:rFonts w:ascii="Arial Unicode MS" w:hAnsi="Arial Unicode MS" w:eastAsia="Times New Roman" w:cs="Arial Unicode MS"/>
                <w:color w:val="000000"/>
                <w:sz w:val="32"/>
              </w:rPr>
            </w:pPr>
            <w:r>
              <w:rPr>
                <w:rFonts w:hint="eastAsia"/>
              </w:rPr>
              <w:t>总用地面积</w:t>
            </w:r>
            <w:r>
              <w:t>330246.00m</w:t>
            </w:r>
            <w:r>
              <w:rPr>
                <w:vertAlign w:val="superscript"/>
              </w:rPr>
              <w:t>2</w:t>
            </w:r>
            <w:r>
              <w:rPr>
                <w:rFonts w:hint="eastAsia"/>
              </w:rPr>
              <w:t>，其中水体面积</w:t>
            </w:r>
            <w:r>
              <w:t>82805.32m</w:t>
            </w:r>
            <w:r>
              <w:rPr>
                <w:vertAlign w:val="superscript"/>
              </w:rPr>
              <w:t>2</w:t>
            </w:r>
            <w:r>
              <w:rPr>
                <w:rFonts w:hint="eastAsia"/>
              </w:rPr>
              <w:t>，建筑占地面积</w:t>
            </w:r>
            <w:r>
              <w:t>4725.50m</w:t>
            </w:r>
            <w:r>
              <w:rPr>
                <w:vertAlign w:val="superscript"/>
              </w:rPr>
              <w:t>2</w:t>
            </w:r>
            <w:r>
              <w:rPr>
                <w:rFonts w:hint="eastAsia"/>
              </w:rPr>
              <w:t>，道路及硬质铺装面积</w:t>
            </w:r>
            <w:r>
              <w:t>78930.48m</w:t>
            </w:r>
            <w:r>
              <w:rPr>
                <w:vertAlign w:val="superscript"/>
              </w:rPr>
              <w:t>2</w:t>
            </w:r>
            <w:r>
              <w:rPr>
                <w:rFonts w:hint="eastAsia"/>
              </w:rPr>
              <w:t>，绿化面积</w:t>
            </w:r>
            <w:r>
              <w:t>163784.70m</w:t>
            </w:r>
            <w:r>
              <w:rPr>
                <w:vertAlign w:val="superscript"/>
              </w:rPr>
              <w:t>2</w:t>
            </w:r>
            <w:r>
              <w:rPr>
                <w:rFonts w:hint="eastAsia"/>
              </w:rPr>
              <w:t>，停车位共计</w:t>
            </w:r>
            <w:r>
              <w:t>1382</w:t>
            </w:r>
            <w:r>
              <w:rPr>
                <w:rFonts w:hint="eastAsia"/>
              </w:rPr>
              <w:t>个。</w:t>
            </w:r>
          </w:p>
        </w:tc>
        <w:tc>
          <w:tcPr>
            <w:tcW w:w="1192" w:type="dxa"/>
            <w:tcBorders>
              <w:top w:val="single" w:color="auto" w:sz="4" w:space="0"/>
              <w:bottom w:val="single" w:color="auto" w:sz="4" w:space="0"/>
              <w:right w:val="single" w:color="auto" w:sz="4" w:space="0"/>
            </w:tcBorders>
            <w:vAlign w:val="center"/>
          </w:tcPr>
          <w:p>
            <w:pPr>
              <w:widowControl/>
              <w:spacing w:line="259" w:lineRule="auto"/>
              <w:ind w:left="151"/>
              <w:jc w:val="center"/>
              <w:rPr>
                <w:rFonts w:ascii="Arial Unicode MS" w:hAnsi="Arial Unicode MS" w:eastAsia="Times New Roman" w:cs="Arial Unicode MS"/>
                <w:color w:val="000000"/>
                <w:sz w:val="32"/>
              </w:rPr>
            </w:pPr>
            <w:r>
              <w:t>2021-2023</w:t>
            </w:r>
          </w:p>
        </w:tc>
        <w:tc>
          <w:tcPr>
            <w:tcW w:w="1134" w:type="dxa"/>
            <w:tcBorders>
              <w:top w:val="single" w:color="000000" w:sz="4" w:space="0"/>
              <w:left w:val="single" w:color="auto" w:sz="4" w:space="0"/>
              <w:bottom w:val="single" w:color="000000" w:sz="4" w:space="0"/>
              <w:right w:val="single" w:color="auto" w:sz="4" w:space="0"/>
            </w:tcBorders>
          </w:tcPr>
          <w:p>
            <w:pPr>
              <w:widowControl/>
              <w:spacing w:line="259" w:lineRule="auto"/>
              <w:ind w:left="156"/>
              <w:jc w:val="center"/>
              <w:rPr>
                <w:rFonts w:ascii="Arial Unicode MS" w:hAnsi="Arial Unicode MS" w:eastAsia="Times New Roman" w:cs="Arial Unicode MS"/>
                <w:color w:val="000000"/>
                <w:sz w:val="32"/>
              </w:rPr>
            </w:pPr>
            <w:r>
              <w:rPr>
                <w:rFonts w:hint="eastAsia"/>
              </w:rPr>
              <w:t>区住建委</w:t>
            </w:r>
          </w:p>
        </w:tc>
        <w:tc>
          <w:tcPr>
            <w:tcW w:w="851" w:type="dxa"/>
            <w:vMerge w:val="continue"/>
            <w:tcBorders>
              <w:top w:val="single" w:color="auto" w:sz="4" w:space="0"/>
              <w:left w:val="single" w:color="auto" w:sz="4" w:space="0"/>
              <w:bottom w:val="single" w:color="auto" w:sz="4" w:space="0"/>
              <w:right w:val="single" w:color="auto" w:sz="4" w:space="0"/>
            </w:tcBorders>
            <w:vAlign w:val="center"/>
          </w:tcPr>
          <w:p>
            <w:pPr>
              <w:spacing w:line="259" w:lineRule="auto"/>
              <w:ind w:left="154"/>
              <w:jc w:val="center"/>
              <w:rPr>
                <w:rFonts w:ascii="Arial Unicode MS" w:hAnsi="Arial Unicode MS" w:eastAsia="Times New Roman" w:cs="Arial Unicode MS"/>
                <w:color w:val="000000"/>
                <w:sz w:val="32"/>
              </w:rPr>
            </w:pPr>
          </w:p>
        </w:tc>
        <w:tc>
          <w:tcPr>
            <w:tcW w:w="1315" w:type="dxa"/>
            <w:vMerge w:val="continue"/>
            <w:tcBorders>
              <w:left w:val="single" w:color="auto" w:sz="4" w:space="0"/>
              <w:right w:val="single" w:color="000000" w:sz="4" w:space="0"/>
            </w:tcBorders>
            <w:vAlign w:val="center"/>
          </w:tcPr>
          <w:p>
            <w:pPr>
              <w:spacing w:line="259" w:lineRule="auto"/>
              <w:ind w:left="151"/>
              <w:jc w:val="center"/>
              <w:rPr>
                <w:rFonts w:ascii="Arial Unicode MS" w:hAnsi="Arial Unicode MS" w:eastAsia="Times New Roman" w:cs="Arial Unicode MS"/>
                <w:color w:val="000000"/>
                <w:sz w:val="32"/>
              </w:rPr>
            </w:pPr>
          </w:p>
        </w:tc>
      </w:tr>
      <w:tr>
        <w:tblPrEx>
          <w:tblCellMar>
            <w:top w:w="13" w:type="dxa"/>
            <w:left w:w="10" w:type="dxa"/>
            <w:bottom w:w="8" w:type="dxa"/>
            <w:right w:w="115" w:type="dxa"/>
          </w:tblCellMar>
        </w:tblPrEx>
        <w:trPr>
          <w:trHeight w:val="466" w:hRule="atLeast"/>
        </w:trPr>
        <w:tc>
          <w:tcPr>
            <w:tcW w:w="0" w:type="auto"/>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103"/>
              <w:jc w:val="center"/>
              <w:rPr>
                <w:rFonts w:ascii="Arial Unicode MS" w:hAnsi="Arial Unicode MS" w:eastAsia="Times New Roman" w:cs="Arial Unicode MS"/>
                <w:color w:val="000000"/>
                <w:szCs w:val="21"/>
              </w:rPr>
            </w:pPr>
            <w:r>
              <w:rPr>
                <w:rFonts w:ascii="Arial Unicode MS" w:hAnsi="Arial Unicode MS" w:eastAsia="Times New Roman" w:cs="Arial Unicode MS"/>
                <w:color w:val="000000"/>
                <w:szCs w:val="21"/>
              </w:rPr>
              <w:t xml:space="preserve"> 6</w:t>
            </w:r>
          </w:p>
        </w:tc>
        <w:tc>
          <w:tcPr>
            <w:tcW w:w="0" w:type="auto"/>
            <w:tcBorders>
              <w:top w:val="single" w:color="auto" w:sz="4" w:space="0"/>
              <w:left w:val="single" w:color="auto" w:sz="4" w:space="0"/>
              <w:bottom w:val="single" w:color="auto" w:sz="4" w:space="0"/>
              <w:right w:val="single" w:color="auto" w:sz="4" w:space="0"/>
            </w:tcBorders>
            <w:vAlign w:val="center"/>
          </w:tcPr>
          <w:p>
            <w:pPr>
              <w:widowControl/>
              <w:spacing w:line="259" w:lineRule="auto"/>
              <w:ind w:left="154"/>
              <w:jc w:val="center"/>
              <w:rPr>
                <w:rFonts w:ascii="Arial Unicode MS" w:hAnsi="Arial Unicode MS" w:eastAsia="Times New Roman" w:cs="Arial Unicode MS"/>
                <w:color w:val="000000"/>
                <w:sz w:val="32"/>
              </w:rPr>
            </w:pPr>
            <w:r>
              <w:rPr>
                <w:rFonts w:hint="eastAsia"/>
              </w:rPr>
              <w:t>鹿山公园项目</w:t>
            </w:r>
          </w:p>
        </w:tc>
        <w:tc>
          <w:tcPr>
            <w:tcW w:w="6733" w:type="dxa"/>
            <w:tcBorders>
              <w:top w:val="single" w:color="auto" w:sz="4" w:space="0"/>
              <w:left w:val="single" w:color="auto" w:sz="4" w:space="0"/>
              <w:bottom w:val="single" w:color="auto" w:sz="4" w:space="0"/>
              <w:right w:val="single" w:color="auto" w:sz="4" w:space="0"/>
            </w:tcBorders>
            <w:vAlign w:val="center"/>
          </w:tcPr>
          <w:p>
            <w:pPr>
              <w:widowControl/>
              <w:spacing w:line="259" w:lineRule="auto"/>
              <w:ind w:left="154"/>
              <w:jc w:val="center"/>
              <w:rPr>
                <w:rFonts w:ascii="Arial Unicode MS" w:hAnsi="Arial Unicode MS" w:eastAsia="Times New Roman" w:cs="Arial Unicode MS"/>
                <w:color w:val="000000"/>
                <w:sz w:val="32"/>
              </w:rPr>
            </w:pPr>
            <w:r>
              <w:rPr>
                <w:rFonts w:hint="eastAsia"/>
              </w:rPr>
              <w:t>项目总面积为</w:t>
            </w:r>
            <w:r>
              <w:t xml:space="preserve"> 704000.00 </w:t>
            </w:r>
            <w:r>
              <w:rPr>
                <w:rFonts w:hint="eastAsia"/>
              </w:rPr>
              <w:t>平方米，总建筑面积</w:t>
            </w:r>
            <w:r>
              <w:t xml:space="preserve"> 6553m</w:t>
            </w:r>
            <w:r>
              <w:rPr>
                <w:rFonts w:hint="eastAsia"/>
              </w:rPr>
              <w:t>²。</w:t>
            </w:r>
          </w:p>
        </w:tc>
        <w:tc>
          <w:tcPr>
            <w:tcW w:w="1192" w:type="dxa"/>
            <w:tcBorders>
              <w:top w:val="single" w:color="auto" w:sz="4" w:space="0"/>
              <w:bottom w:val="single" w:color="auto" w:sz="4" w:space="0"/>
              <w:right w:val="single" w:color="auto" w:sz="4" w:space="0"/>
            </w:tcBorders>
            <w:vAlign w:val="center"/>
          </w:tcPr>
          <w:p>
            <w:pPr>
              <w:widowControl/>
              <w:spacing w:line="259" w:lineRule="auto"/>
              <w:ind w:left="151"/>
              <w:jc w:val="center"/>
              <w:rPr>
                <w:rFonts w:ascii="Arial Unicode MS" w:hAnsi="Arial Unicode MS" w:eastAsia="Times New Roman" w:cs="Arial Unicode MS"/>
                <w:color w:val="000000"/>
                <w:sz w:val="32"/>
              </w:rPr>
            </w:pPr>
            <w:r>
              <w:t>2021-2023</w:t>
            </w:r>
          </w:p>
        </w:tc>
        <w:tc>
          <w:tcPr>
            <w:tcW w:w="1134" w:type="dxa"/>
            <w:tcBorders>
              <w:top w:val="single" w:color="000000" w:sz="4" w:space="0"/>
              <w:left w:val="single" w:color="auto" w:sz="4" w:space="0"/>
              <w:bottom w:val="single" w:color="000000" w:sz="4" w:space="0"/>
              <w:right w:val="single" w:color="auto" w:sz="4" w:space="0"/>
            </w:tcBorders>
          </w:tcPr>
          <w:p>
            <w:pPr>
              <w:widowControl/>
              <w:spacing w:line="259" w:lineRule="auto"/>
              <w:ind w:left="156"/>
              <w:jc w:val="center"/>
              <w:rPr>
                <w:rFonts w:ascii="Arial Unicode MS" w:hAnsi="Arial Unicode MS" w:eastAsia="Times New Roman" w:cs="Arial Unicode MS"/>
                <w:color w:val="000000"/>
                <w:sz w:val="32"/>
              </w:rPr>
            </w:pPr>
            <w:r>
              <w:rPr>
                <w:rFonts w:hint="eastAsia"/>
              </w:rPr>
              <w:t>区住建委</w:t>
            </w:r>
          </w:p>
        </w:tc>
        <w:tc>
          <w:tcPr>
            <w:tcW w:w="851" w:type="dxa"/>
            <w:vMerge w:val="continue"/>
            <w:tcBorders>
              <w:top w:val="single" w:color="auto" w:sz="4" w:space="0"/>
              <w:left w:val="single" w:color="auto" w:sz="4" w:space="0"/>
              <w:bottom w:val="single" w:color="auto" w:sz="4" w:space="0"/>
              <w:right w:val="single" w:color="auto" w:sz="4" w:space="0"/>
            </w:tcBorders>
            <w:vAlign w:val="center"/>
          </w:tcPr>
          <w:p>
            <w:pPr>
              <w:spacing w:line="259" w:lineRule="auto"/>
              <w:ind w:left="154"/>
              <w:jc w:val="center"/>
              <w:rPr>
                <w:rFonts w:ascii="Arial Unicode MS" w:hAnsi="Arial Unicode MS" w:eastAsia="Times New Roman" w:cs="Arial Unicode MS"/>
                <w:color w:val="000000"/>
                <w:sz w:val="32"/>
              </w:rPr>
            </w:pPr>
          </w:p>
        </w:tc>
        <w:tc>
          <w:tcPr>
            <w:tcW w:w="1315" w:type="dxa"/>
            <w:vMerge w:val="continue"/>
            <w:tcBorders>
              <w:left w:val="single" w:color="auto" w:sz="4" w:space="0"/>
              <w:right w:val="single" w:color="000000" w:sz="4" w:space="0"/>
            </w:tcBorders>
            <w:vAlign w:val="center"/>
          </w:tcPr>
          <w:p>
            <w:pPr>
              <w:spacing w:line="259" w:lineRule="auto"/>
              <w:ind w:left="151"/>
              <w:jc w:val="center"/>
              <w:rPr>
                <w:rFonts w:ascii="Arial Unicode MS" w:hAnsi="Arial Unicode MS" w:eastAsia="Times New Roman" w:cs="Arial Unicode MS"/>
                <w:color w:val="000000"/>
                <w:sz w:val="32"/>
              </w:rPr>
            </w:pPr>
          </w:p>
        </w:tc>
      </w:tr>
      <w:tr>
        <w:tblPrEx>
          <w:tblCellMar>
            <w:top w:w="13" w:type="dxa"/>
            <w:left w:w="10" w:type="dxa"/>
            <w:bottom w:w="8" w:type="dxa"/>
            <w:right w:w="115" w:type="dxa"/>
          </w:tblCellMar>
        </w:tblPrEx>
        <w:trPr>
          <w:trHeight w:val="463" w:hRule="atLeast"/>
        </w:trPr>
        <w:tc>
          <w:tcPr>
            <w:tcW w:w="0" w:type="auto"/>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103"/>
              <w:jc w:val="center"/>
              <w:rPr>
                <w:rFonts w:ascii="Arial Unicode MS" w:hAnsi="Arial Unicode MS" w:eastAsia="Times New Roman" w:cs="Arial Unicode MS"/>
                <w:color w:val="000000"/>
                <w:szCs w:val="21"/>
              </w:rPr>
            </w:pPr>
            <w:r>
              <w:rPr>
                <w:rFonts w:ascii="Arial Unicode MS" w:hAnsi="Arial Unicode MS" w:eastAsia="Times New Roman" w:cs="Arial Unicode MS"/>
                <w:color w:val="000000"/>
                <w:szCs w:val="21"/>
              </w:rPr>
              <w:t xml:space="preserve"> 7</w:t>
            </w:r>
          </w:p>
        </w:tc>
        <w:tc>
          <w:tcPr>
            <w:tcW w:w="0" w:type="auto"/>
            <w:tcBorders>
              <w:top w:val="single" w:color="auto" w:sz="4" w:space="0"/>
              <w:left w:val="single" w:color="auto" w:sz="4" w:space="0"/>
              <w:bottom w:val="single" w:color="auto" w:sz="4" w:space="0"/>
              <w:right w:val="single" w:color="auto" w:sz="4" w:space="0"/>
            </w:tcBorders>
            <w:vAlign w:val="center"/>
          </w:tcPr>
          <w:p>
            <w:pPr>
              <w:widowControl/>
              <w:spacing w:line="259" w:lineRule="auto"/>
              <w:ind w:left="154"/>
              <w:jc w:val="center"/>
              <w:rPr>
                <w:rFonts w:ascii="Arial Unicode MS" w:hAnsi="Arial Unicode MS" w:eastAsia="Times New Roman" w:cs="Arial Unicode MS"/>
                <w:color w:val="000000"/>
                <w:sz w:val="32"/>
              </w:rPr>
            </w:pPr>
            <w:r>
              <w:rPr>
                <w:rFonts w:hint="eastAsia"/>
              </w:rPr>
              <w:t>中原山公园生态修复工程</w:t>
            </w:r>
          </w:p>
        </w:tc>
        <w:tc>
          <w:tcPr>
            <w:tcW w:w="6733" w:type="dxa"/>
            <w:tcBorders>
              <w:top w:val="single" w:color="auto" w:sz="4" w:space="0"/>
              <w:left w:val="single" w:color="auto" w:sz="4" w:space="0"/>
              <w:bottom w:val="single" w:color="auto" w:sz="4" w:space="0"/>
              <w:right w:val="single" w:color="auto" w:sz="4" w:space="0"/>
            </w:tcBorders>
            <w:vAlign w:val="center"/>
          </w:tcPr>
          <w:p>
            <w:pPr>
              <w:widowControl/>
              <w:spacing w:line="259" w:lineRule="auto"/>
              <w:ind w:left="154"/>
              <w:jc w:val="center"/>
              <w:rPr>
                <w:rFonts w:ascii="Arial Unicode MS" w:hAnsi="Arial Unicode MS" w:eastAsia="Times New Roman" w:cs="Arial Unicode MS"/>
                <w:color w:val="000000"/>
                <w:sz w:val="32"/>
              </w:rPr>
            </w:pPr>
            <w:r>
              <w:rPr>
                <w:rFonts w:hint="eastAsia"/>
              </w:rPr>
              <w:t>本项目总用地面积</w:t>
            </w:r>
            <w:r>
              <w:t>861138.20m</w:t>
            </w:r>
            <w:r>
              <w:rPr>
                <w:vertAlign w:val="superscript"/>
              </w:rPr>
              <w:t>2</w:t>
            </w:r>
            <w:r>
              <w:rPr>
                <w:rFonts w:hint="eastAsia"/>
              </w:rPr>
              <w:t>，其中水体面积</w:t>
            </w:r>
            <w:r>
              <w:t>19336.90m</w:t>
            </w:r>
            <w:r>
              <w:rPr>
                <w:vertAlign w:val="superscript"/>
              </w:rPr>
              <w:t>2</w:t>
            </w:r>
            <w:r>
              <w:rPr>
                <w:rFonts w:hint="eastAsia"/>
              </w:rPr>
              <w:t>，绿化面积</w:t>
            </w:r>
            <w:r>
              <w:t>759051.50m</w:t>
            </w:r>
            <w:r>
              <w:rPr>
                <w:vertAlign w:val="superscript"/>
              </w:rPr>
              <w:t>2</w:t>
            </w:r>
            <w:r>
              <w:rPr>
                <w:rFonts w:hint="eastAsia"/>
              </w:rPr>
              <w:t>，其他面积</w:t>
            </w:r>
            <w:r>
              <w:t>82749.80m</w:t>
            </w:r>
            <w:r>
              <w:rPr>
                <w:vertAlign w:val="superscript"/>
              </w:rPr>
              <w:t>2</w:t>
            </w:r>
            <w:r>
              <w:rPr>
                <w:rFonts w:hint="eastAsia"/>
              </w:rPr>
              <w:t>，停车位共计</w:t>
            </w:r>
            <w:r>
              <w:t>400</w:t>
            </w:r>
            <w:r>
              <w:rPr>
                <w:rFonts w:hint="eastAsia"/>
              </w:rPr>
              <w:t>个。</w:t>
            </w:r>
          </w:p>
        </w:tc>
        <w:tc>
          <w:tcPr>
            <w:tcW w:w="1192" w:type="dxa"/>
            <w:tcBorders>
              <w:top w:val="single" w:color="auto" w:sz="4" w:space="0"/>
              <w:bottom w:val="single" w:color="auto" w:sz="4" w:space="0"/>
              <w:right w:val="single" w:color="auto" w:sz="4" w:space="0"/>
            </w:tcBorders>
            <w:vAlign w:val="center"/>
          </w:tcPr>
          <w:p>
            <w:pPr>
              <w:widowControl/>
              <w:spacing w:line="259" w:lineRule="auto"/>
              <w:ind w:left="151"/>
              <w:jc w:val="center"/>
              <w:rPr>
                <w:rFonts w:ascii="Arial Unicode MS" w:hAnsi="Arial Unicode MS" w:eastAsia="Times New Roman" w:cs="Arial Unicode MS"/>
                <w:color w:val="000000"/>
                <w:sz w:val="32"/>
              </w:rPr>
            </w:pPr>
            <w:r>
              <w:t>2022-2023</w:t>
            </w:r>
          </w:p>
        </w:tc>
        <w:tc>
          <w:tcPr>
            <w:tcW w:w="1134" w:type="dxa"/>
            <w:tcBorders>
              <w:top w:val="single" w:color="000000" w:sz="4" w:space="0"/>
              <w:left w:val="single" w:color="auto" w:sz="4" w:space="0"/>
              <w:bottom w:val="single" w:color="000000" w:sz="4" w:space="0"/>
              <w:right w:val="single" w:color="auto" w:sz="4" w:space="0"/>
            </w:tcBorders>
          </w:tcPr>
          <w:p>
            <w:pPr>
              <w:widowControl/>
              <w:spacing w:line="259" w:lineRule="auto"/>
              <w:ind w:left="156"/>
              <w:jc w:val="center"/>
              <w:rPr>
                <w:rFonts w:ascii="Arial Unicode MS" w:hAnsi="Arial Unicode MS" w:eastAsia="Times New Roman" w:cs="Arial Unicode MS"/>
                <w:color w:val="000000"/>
                <w:sz w:val="32"/>
              </w:rPr>
            </w:pPr>
            <w:r>
              <w:rPr>
                <w:rFonts w:hint="eastAsia"/>
              </w:rPr>
              <w:t>区住建委</w:t>
            </w:r>
          </w:p>
        </w:tc>
        <w:tc>
          <w:tcPr>
            <w:tcW w:w="851" w:type="dxa"/>
            <w:vMerge w:val="continue"/>
            <w:tcBorders>
              <w:top w:val="single" w:color="auto" w:sz="4" w:space="0"/>
              <w:left w:val="single" w:color="auto" w:sz="4" w:space="0"/>
              <w:bottom w:val="single" w:color="auto" w:sz="4" w:space="0"/>
              <w:right w:val="single" w:color="auto" w:sz="4" w:space="0"/>
            </w:tcBorders>
            <w:vAlign w:val="center"/>
          </w:tcPr>
          <w:p>
            <w:pPr>
              <w:spacing w:line="259" w:lineRule="auto"/>
              <w:ind w:left="154"/>
              <w:jc w:val="center"/>
              <w:rPr>
                <w:rFonts w:ascii="Arial Unicode MS" w:hAnsi="Arial Unicode MS" w:eastAsia="Times New Roman" w:cs="Arial Unicode MS"/>
                <w:color w:val="000000"/>
                <w:sz w:val="32"/>
              </w:rPr>
            </w:pPr>
          </w:p>
        </w:tc>
        <w:tc>
          <w:tcPr>
            <w:tcW w:w="1315" w:type="dxa"/>
            <w:vMerge w:val="continue"/>
            <w:tcBorders>
              <w:left w:val="single" w:color="auto" w:sz="4" w:space="0"/>
              <w:bottom w:val="single" w:color="000000" w:sz="4" w:space="0"/>
              <w:right w:val="single" w:color="000000" w:sz="4" w:space="0"/>
            </w:tcBorders>
            <w:vAlign w:val="center"/>
          </w:tcPr>
          <w:p>
            <w:pPr>
              <w:widowControl/>
              <w:spacing w:line="259" w:lineRule="auto"/>
              <w:ind w:left="151"/>
              <w:jc w:val="center"/>
              <w:rPr>
                <w:rFonts w:ascii="Arial Unicode MS" w:hAnsi="Arial Unicode MS" w:eastAsia="Times New Roman" w:cs="Arial Unicode MS"/>
                <w:color w:val="000000"/>
                <w:sz w:val="32"/>
              </w:rPr>
            </w:pPr>
          </w:p>
        </w:tc>
      </w:tr>
      <w:tr>
        <w:tblPrEx>
          <w:tblCellMar>
            <w:top w:w="13" w:type="dxa"/>
            <w:left w:w="10" w:type="dxa"/>
            <w:bottom w:w="8" w:type="dxa"/>
            <w:right w:w="115" w:type="dxa"/>
          </w:tblCellMar>
        </w:tblPrEx>
        <w:trPr>
          <w:trHeight w:val="463" w:hRule="atLeast"/>
        </w:trPr>
        <w:tc>
          <w:tcPr>
            <w:tcW w:w="0" w:type="auto"/>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103"/>
              <w:jc w:val="center"/>
              <w:rPr>
                <w:rFonts w:ascii="Arial Unicode MS" w:hAnsi="Arial Unicode MS" w:eastAsia="Times New Roman" w:cs="Arial Unicode MS"/>
                <w:color w:val="000000"/>
                <w:szCs w:val="21"/>
              </w:rPr>
            </w:pPr>
            <w:r>
              <w:rPr>
                <w:rFonts w:ascii="Arial Unicode MS" w:hAnsi="Arial Unicode MS" w:eastAsia="Times New Roman" w:cs="Arial Unicode MS"/>
                <w:color w:val="000000"/>
                <w:szCs w:val="21"/>
              </w:rPr>
              <w:t xml:space="preserve"> 8</w:t>
            </w:r>
          </w:p>
        </w:tc>
        <w:tc>
          <w:tcPr>
            <w:tcW w:w="0" w:type="auto"/>
            <w:tcBorders>
              <w:top w:val="single" w:color="auto" w:sz="4" w:space="0"/>
              <w:left w:val="single" w:color="auto" w:sz="4" w:space="0"/>
              <w:bottom w:val="single" w:color="auto" w:sz="4" w:space="0"/>
              <w:right w:val="single" w:color="auto" w:sz="4" w:space="0"/>
            </w:tcBorders>
            <w:vAlign w:val="center"/>
          </w:tcPr>
          <w:p>
            <w:pPr>
              <w:widowControl/>
              <w:spacing w:line="259" w:lineRule="auto"/>
              <w:ind w:left="154"/>
              <w:jc w:val="center"/>
              <w:rPr>
                <w:rFonts w:ascii="Arial Unicode MS" w:hAnsi="Arial Unicode MS" w:eastAsia="Times New Roman" w:cs="Arial Unicode MS"/>
                <w:color w:val="000000"/>
                <w:sz w:val="32"/>
              </w:rPr>
            </w:pPr>
            <w:r>
              <w:rPr>
                <w:rFonts w:hint="eastAsia"/>
              </w:rPr>
              <w:t>双桥溪公园</w:t>
            </w:r>
          </w:p>
        </w:tc>
        <w:tc>
          <w:tcPr>
            <w:tcW w:w="6733" w:type="dxa"/>
            <w:tcBorders>
              <w:top w:val="single" w:color="auto" w:sz="4" w:space="0"/>
              <w:left w:val="single" w:color="auto" w:sz="4" w:space="0"/>
              <w:bottom w:val="single" w:color="auto" w:sz="4" w:space="0"/>
              <w:right w:val="single" w:color="auto" w:sz="4" w:space="0"/>
            </w:tcBorders>
            <w:vAlign w:val="center"/>
          </w:tcPr>
          <w:p>
            <w:pPr>
              <w:widowControl/>
              <w:spacing w:line="259" w:lineRule="auto"/>
              <w:ind w:left="154"/>
              <w:jc w:val="center"/>
              <w:rPr>
                <w:rFonts w:ascii="Arial Unicode MS" w:hAnsi="Arial Unicode MS" w:eastAsia="Times New Roman" w:cs="Arial Unicode MS"/>
                <w:color w:val="000000"/>
                <w:sz w:val="32"/>
              </w:rPr>
            </w:pPr>
            <w:r>
              <w:rPr>
                <w:rFonts w:hint="eastAsia"/>
              </w:rPr>
              <w:t>总用地面积</w:t>
            </w:r>
            <w:r>
              <w:t>2391882m</w:t>
            </w:r>
            <w:r>
              <w:rPr>
                <w:vertAlign w:val="superscript"/>
              </w:rPr>
              <w:t>2</w:t>
            </w:r>
            <w:r>
              <w:rPr>
                <w:rFonts w:hint="eastAsia"/>
              </w:rPr>
              <w:t>，道路及硬质铺装面积</w:t>
            </w:r>
            <w:r>
              <w:t>243550m</w:t>
            </w:r>
            <w:r>
              <w:rPr>
                <w:vertAlign w:val="superscript"/>
              </w:rPr>
              <w:t>2</w:t>
            </w:r>
            <w:r>
              <w:rPr>
                <w:rFonts w:hint="eastAsia"/>
              </w:rPr>
              <w:t>，绿化面积</w:t>
            </w:r>
            <w:r>
              <w:t>1966097m</w:t>
            </w:r>
            <w:r>
              <w:rPr>
                <w:vertAlign w:val="superscript"/>
              </w:rPr>
              <w:t>2</w:t>
            </w:r>
            <w:r>
              <w:rPr>
                <w:rFonts w:hint="eastAsia"/>
              </w:rPr>
              <w:t>，机动车停车位</w:t>
            </w:r>
            <w:r>
              <w:t>1341</w:t>
            </w:r>
            <w:r>
              <w:rPr>
                <w:rFonts w:hint="eastAsia"/>
              </w:rPr>
              <w:t>个，配套服务建筑</w:t>
            </w:r>
            <w:r>
              <w:t>13000m</w:t>
            </w:r>
            <w:r>
              <w:rPr>
                <w:vertAlign w:val="superscript"/>
              </w:rPr>
              <w:t>2</w:t>
            </w:r>
            <w:r>
              <w:rPr>
                <w:rFonts w:hint="eastAsia"/>
              </w:rPr>
              <w:t>，景观堰</w:t>
            </w:r>
            <w:r>
              <w:t>2</w:t>
            </w:r>
            <w:r>
              <w:rPr>
                <w:rFonts w:hint="eastAsia"/>
              </w:rPr>
              <w:t>座。</w:t>
            </w:r>
          </w:p>
        </w:tc>
        <w:tc>
          <w:tcPr>
            <w:tcW w:w="1192" w:type="dxa"/>
            <w:tcBorders>
              <w:top w:val="single" w:color="auto" w:sz="4" w:space="0"/>
              <w:bottom w:val="single" w:color="auto" w:sz="4" w:space="0"/>
              <w:right w:val="single" w:color="auto" w:sz="4" w:space="0"/>
            </w:tcBorders>
            <w:vAlign w:val="center"/>
          </w:tcPr>
          <w:p>
            <w:pPr>
              <w:widowControl/>
              <w:spacing w:line="259" w:lineRule="auto"/>
              <w:ind w:left="151"/>
              <w:jc w:val="center"/>
              <w:rPr>
                <w:rFonts w:ascii="Arial Unicode MS" w:hAnsi="Arial Unicode MS" w:eastAsia="Times New Roman" w:cs="Arial Unicode MS"/>
                <w:color w:val="000000"/>
                <w:sz w:val="32"/>
              </w:rPr>
            </w:pPr>
            <w:r>
              <w:t>2022-2025</w:t>
            </w:r>
          </w:p>
        </w:tc>
        <w:tc>
          <w:tcPr>
            <w:tcW w:w="1134" w:type="dxa"/>
            <w:tcBorders>
              <w:top w:val="single" w:color="000000" w:sz="4" w:space="0"/>
              <w:left w:val="single" w:color="auto" w:sz="4" w:space="0"/>
              <w:bottom w:val="single" w:color="000000" w:sz="4" w:space="0"/>
              <w:right w:val="single" w:color="auto" w:sz="4" w:space="0"/>
            </w:tcBorders>
          </w:tcPr>
          <w:p>
            <w:pPr>
              <w:widowControl/>
              <w:spacing w:line="259" w:lineRule="auto"/>
              <w:ind w:left="156"/>
              <w:jc w:val="center"/>
              <w:rPr>
                <w:rFonts w:ascii="Arial Unicode MS" w:hAnsi="Arial Unicode MS" w:eastAsia="Times New Roman" w:cs="Arial Unicode MS"/>
                <w:color w:val="000000"/>
                <w:sz w:val="32"/>
              </w:rPr>
            </w:pPr>
            <w:r>
              <w:rPr>
                <w:rFonts w:hint="eastAsia"/>
              </w:rPr>
              <w:t>区住建委</w:t>
            </w:r>
          </w:p>
        </w:tc>
        <w:tc>
          <w:tcPr>
            <w:tcW w:w="851" w:type="dxa"/>
            <w:vMerge w:val="continue"/>
            <w:tcBorders>
              <w:top w:val="single" w:color="auto" w:sz="4" w:space="0"/>
              <w:left w:val="single" w:color="auto" w:sz="4" w:space="0"/>
              <w:bottom w:val="single" w:color="auto" w:sz="4" w:space="0"/>
              <w:right w:val="single" w:color="auto" w:sz="4" w:space="0"/>
            </w:tcBorders>
            <w:vAlign w:val="center"/>
          </w:tcPr>
          <w:p>
            <w:pPr>
              <w:spacing w:line="259" w:lineRule="auto"/>
              <w:ind w:left="154"/>
              <w:jc w:val="center"/>
              <w:rPr>
                <w:rFonts w:ascii="Arial Unicode MS" w:hAnsi="Arial Unicode MS" w:eastAsia="Times New Roman" w:cs="Arial Unicode MS"/>
                <w:color w:val="000000"/>
                <w:sz w:val="32"/>
              </w:rPr>
            </w:pPr>
          </w:p>
        </w:tc>
        <w:tc>
          <w:tcPr>
            <w:tcW w:w="1315" w:type="dxa"/>
            <w:vMerge w:val="restart"/>
            <w:tcBorders>
              <w:top w:val="single" w:color="000000" w:sz="4" w:space="0"/>
              <w:left w:val="single" w:color="auto" w:sz="4" w:space="0"/>
              <w:right w:val="single" w:color="000000" w:sz="4" w:space="0"/>
            </w:tcBorders>
            <w:vAlign w:val="center"/>
          </w:tcPr>
          <w:p>
            <w:pPr>
              <w:widowControl/>
              <w:spacing w:line="259" w:lineRule="auto"/>
              <w:ind w:left="151"/>
              <w:jc w:val="center"/>
              <w:rPr>
                <w:rFonts w:ascii="Arial Unicode MS" w:hAnsi="Arial Unicode MS" w:eastAsia="Times New Roman" w:cs="Arial Unicode MS"/>
                <w:color w:val="000000"/>
                <w:sz w:val="32"/>
              </w:rPr>
            </w:pPr>
            <w:r>
              <w:rPr>
                <w:rFonts w:hint="eastAsia" w:ascii="宋体" w:hAnsi="宋体" w:cs="宋体"/>
              </w:rPr>
              <w:t>已列入《渝北区“十四五”城市基础设施专项规划》</w:t>
            </w:r>
          </w:p>
        </w:tc>
      </w:tr>
      <w:tr>
        <w:tblPrEx>
          <w:tblCellMar>
            <w:top w:w="13" w:type="dxa"/>
            <w:left w:w="10" w:type="dxa"/>
            <w:bottom w:w="8" w:type="dxa"/>
            <w:right w:w="115" w:type="dxa"/>
          </w:tblCellMar>
        </w:tblPrEx>
        <w:trPr>
          <w:trHeight w:val="466" w:hRule="atLeast"/>
        </w:trPr>
        <w:tc>
          <w:tcPr>
            <w:tcW w:w="0" w:type="auto"/>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157"/>
              <w:jc w:val="center"/>
              <w:rPr>
                <w:rFonts w:ascii="Arial Unicode MS" w:hAnsi="Arial Unicode MS" w:eastAsia="Times New Roman" w:cs="Arial Unicode MS"/>
                <w:color w:val="000000"/>
                <w:szCs w:val="21"/>
              </w:rPr>
            </w:pPr>
            <w:r>
              <w:rPr>
                <w:rFonts w:ascii="Times New Roman" w:hAnsi="Times New Roman"/>
                <w:color w:val="000000"/>
                <w:szCs w:val="21"/>
              </w:rPr>
              <w:t xml:space="preserve"> 9</w:t>
            </w:r>
          </w:p>
        </w:tc>
        <w:tc>
          <w:tcPr>
            <w:tcW w:w="0" w:type="auto"/>
            <w:tcBorders>
              <w:top w:val="single" w:color="auto" w:sz="4" w:space="0"/>
              <w:left w:val="single" w:color="auto" w:sz="4" w:space="0"/>
              <w:bottom w:val="single" w:color="auto" w:sz="4" w:space="0"/>
              <w:right w:val="single" w:color="auto" w:sz="4" w:space="0"/>
            </w:tcBorders>
            <w:vAlign w:val="center"/>
          </w:tcPr>
          <w:p>
            <w:pPr>
              <w:widowControl/>
              <w:spacing w:line="259" w:lineRule="auto"/>
              <w:ind w:left="154"/>
              <w:jc w:val="center"/>
              <w:rPr>
                <w:rFonts w:ascii="Arial Unicode MS" w:hAnsi="Arial Unicode MS" w:eastAsia="Times New Roman" w:cs="Arial Unicode MS"/>
                <w:color w:val="000000"/>
                <w:sz w:val="32"/>
              </w:rPr>
            </w:pPr>
            <w:r>
              <w:rPr>
                <w:rFonts w:hint="eastAsia"/>
              </w:rPr>
              <w:t>后河公园</w:t>
            </w:r>
          </w:p>
        </w:tc>
        <w:tc>
          <w:tcPr>
            <w:tcW w:w="6733" w:type="dxa"/>
            <w:tcBorders>
              <w:top w:val="single" w:color="auto" w:sz="4" w:space="0"/>
              <w:left w:val="single" w:color="auto" w:sz="4" w:space="0"/>
              <w:bottom w:val="single" w:color="auto" w:sz="4" w:space="0"/>
              <w:right w:val="single" w:color="auto" w:sz="4" w:space="0"/>
            </w:tcBorders>
            <w:vAlign w:val="center"/>
          </w:tcPr>
          <w:p>
            <w:pPr>
              <w:widowControl/>
              <w:spacing w:line="259" w:lineRule="auto"/>
              <w:ind w:left="154"/>
              <w:jc w:val="center"/>
              <w:rPr>
                <w:rFonts w:ascii="Arial Unicode MS" w:hAnsi="Arial Unicode MS" w:eastAsia="Times New Roman" w:cs="Arial Unicode MS"/>
                <w:color w:val="000000"/>
                <w:sz w:val="32"/>
              </w:rPr>
            </w:pPr>
            <w:r>
              <w:rPr>
                <w:rFonts w:hint="eastAsia"/>
              </w:rPr>
              <w:t>总用地面积</w:t>
            </w:r>
            <w:r>
              <w:t>1019398.00m</w:t>
            </w:r>
            <w:r>
              <w:rPr>
                <w:vertAlign w:val="superscript"/>
              </w:rPr>
              <w:t>2</w:t>
            </w:r>
            <w:r>
              <w:rPr>
                <w:rFonts w:hint="eastAsia"/>
              </w:rPr>
              <w:t>，其中水体面积</w:t>
            </w:r>
            <w:r>
              <w:t>9246.00m</w:t>
            </w:r>
            <w:r>
              <w:rPr>
                <w:vertAlign w:val="superscript"/>
              </w:rPr>
              <w:t>2</w:t>
            </w:r>
            <w:r>
              <w:rPr>
                <w:rFonts w:hint="eastAsia"/>
              </w:rPr>
              <w:t>，建筑占地面积</w:t>
            </w:r>
            <w:r>
              <w:t>4736.00m</w:t>
            </w:r>
            <w:r>
              <w:rPr>
                <w:vertAlign w:val="superscript"/>
              </w:rPr>
              <w:t>2</w:t>
            </w:r>
            <w:r>
              <w:rPr>
                <w:rFonts w:hint="eastAsia"/>
              </w:rPr>
              <w:t>，道路及硬质铺装面积</w:t>
            </w:r>
            <w:r>
              <w:t>92302.80m</w:t>
            </w:r>
            <w:r>
              <w:rPr>
                <w:vertAlign w:val="superscript"/>
              </w:rPr>
              <w:t>2</w:t>
            </w:r>
            <w:r>
              <w:rPr>
                <w:rFonts w:hint="eastAsia"/>
              </w:rPr>
              <w:t>，绿化面积</w:t>
            </w:r>
            <w:r>
              <w:t>913113.20m</w:t>
            </w:r>
            <w:r>
              <w:rPr>
                <w:vertAlign w:val="superscript"/>
              </w:rPr>
              <w:t>2</w:t>
            </w:r>
            <w:r>
              <w:rPr>
                <w:rFonts w:hint="eastAsia"/>
              </w:rPr>
              <w:t>，停车位共计</w:t>
            </w:r>
            <w:r>
              <w:t>488</w:t>
            </w:r>
            <w:r>
              <w:rPr>
                <w:rFonts w:hint="eastAsia"/>
              </w:rPr>
              <w:t>个。</w:t>
            </w:r>
          </w:p>
        </w:tc>
        <w:tc>
          <w:tcPr>
            <w:tcW w:w="1192" w:type="dxa"/>
            <w:tcBorders>
              <w:top w:val="single" w:color="auto" w:sz="4" w:space="0"/>
              <w:bottom w:val="single" w:color="auto" w:sz="4" w:space="0"/>
              <w:right w:val="single" w:color="auto" w:sz="4" w:space="0"/>
            </w:tcBorders>
            <w:vAlign w:val="center"/>
          </w:tcPr>
          <w:p>
            <w:pPr>
              <w:widowControl/>
              <w:spacing w:line="259" w:lineRule="auto"/>
              <w:ind w:left="151"/>
              <w:jc w:val="center"/>
              <w:rPr>
                <w:rFonts w:ascii="Arial Unicode MS" w:hAnsi="Arial Unicode MS" w:eastAsia="Times New Roman" w:cs="Arial Unicode MS"/>
                <w:color w:val="000000"/>
                <w:sz w:val="32"/>
              </w:rPr>
            </w:pPr>
            <w:r>
              <w:t>2022-2023</w:t>
            </w:r>
          </w:p>
        </w:tc>
        <w:tc>
          <w:tcPr>
            <w:tcW w:w="1134" w:type="dxa"/>
            <w:tcBorders>
              <w:top w:val="single" w:color="000000" w:sz="4" w:space="0"/>
              <w:left w:val="single" w:color="auto" w:sz="4" w:space="0"/>
              <w:bottom w:val="single" w:color="000000" w:sz="4" w:space="0"/>
              <w:right w:val="single" w:color="auto" w:sz="4" w:space="0"/>
            </w:tcBorders>
          </w:tcPr>
          <w:p>
            <w:pPr>
              <w:widowControl/>
              <w:spacing w:line="259" w:lineRule="auto"/>
              <w:ind w:left="156"/>
              <w:jc w:val="center"/>
              <w:rPr>
                <w:rFonts w:ascii="Arial Unicode MS" w:hAnsi="Arial Unicode MS" w:eastAsia="Times New Roman" w:cs="Arial Unicode MS"/>
                <w:color w:val="000000"/>
                <w:sz w:val="32"/>
              </w:rPr>
            </w:pPr>
            <w:r>
              <w:rPr>
                <w:rFonts w:hint="eastAsia"/>
              </w:rPr>
              <w:t>区住建委</w:t>
            </w:r>
          </w:p>
        </w:tc>
        <w:tc>
          <w:tcPr>
            <w:tcW w:w="851" w:type="dxa"/>
            <w:vMerge w:val="continue"/>
            <w:tcBorders>
              <w:top w:val="single" w:color="auto" w:sz="4" w:space="0"/>
              <w:left w:val="single" w:color="auto" w:sz="4" w:space="0"/>
              <w:bottom w:val="single" w:color="auto" w:sz="4" w:space="0"/>
              <w:right w:val="single" w:color="auto" w:sz="4" w:space="0"/>
            </w:tcBorders>
            <w:vAlign w:val="center"/>
          </w:tcPr>
          <w:p>
            <w:pPr>
              <w:widowControl/>
              <w:spacing w:line="259" w:lineRule="auto"/>
              <w:ind w:left="154"/>
              <w:jc w:val="center"/>
              <w:rPr>
                <w:rFonts w:ascii="Arial Unicode MS" w:hAnsi="Arial Unicode MS" w:eastAsia="Times New Roman" w:cs="Arial Unicode MS"/>
                <w:color w:val="000000"/>
                <w:sz w:val="32"/>
              </w:rPr>
            </w:pPr>
          </w:p>
        </w:tc>
        <w:tc>
          <w:tcPr>
            <w:tcW w:w="1315" w:type="dxa"/>
            <w:vMerge w:val="continue"/>
            <w:tcBorders>
              <w:left w:val="single" w:color="auto" w:sz="4" w:space="0"/>
              <w:right w:val="single" w:color="000000" w:sz="4" w:space="0"/>
            </w:tcBorders>
            <w:vAlign w:val="center"/>
          </w:tcPr>
          <w:p>
            <w:pPr>
              <w:widowControl/>
              <w:spacing w:line="259" w:lineRule="auto"/>
              <w:ind w:left="151"/>
              <w:jc w:val="center"/>
              <w:rPr>
                <w:rFonts w:ascii="Arial Unicode MS" w:hAnsi="Arial Unicode MS" w:eastAsia="Times New Roman" w:cs="Arial Unicode MS"/>
                <w:color w:val="000000"/>
                <w:sz w:val="32"/>
              </w:rPr>
            </w:pPr>
          </w:p>
        </w:tc>
      </w:tr>
      <w:tr>
        <w:tblPrEx>
          <w:tblCellMar>
            <w:top w:w="13" w:type="dxa"/>
            <w:left w:w="10" w:type="dxa"/>
            <w:bottom w:w="8" w:type="dxa"/>
            <w:right w:w="115" w:type="dxa"/>
          </w:tblCellMar>
        </w:tblPrEx>
        <w:trPr>
          <w:trHeight w:val="466" w:hRule="atLeast"/>
        </w:trPr>
        <w:tc>
          <w:tcPr>
            <w:tcW w:w="0" w:type="auto"/>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157"/>
              <w:jc w:val="center"/>
              <w:rPr>
                <w:rFonts w:ascii="Times New Roman" w:hAnsi="Times New Roman"/>
                <w:color w:val="000000"/>
                <w:szCs w:val="21"/>
              </w:rPr>
            </w:pPr>
            <w:r>
              <w:rPr>
                <w:rFonts w:ascii="Times New Roman" w:hAnsi="Times New Roman"/>
                <w:color w:val="000000"/>
                <w:szCs w:val="21"/>
              </w:rPr>
              <w:t>10</w:t>
            </w:r>
          </w:p>
        </w:tc>
        <w:tc>
          <w:tcPr>
            <w:tcW w:w="0" w:type="auto"/>
            <w:tcBorders>
              <w:top w:val="single" w:color="auto" w:sz="4" w:space="0"/>
              <w:left w:val="single" w:color="auto" w:sz="4" w:space="0"/>
              <w:bottom w:val="single" w:color="auto" w:sz="4" w:space="0"/>
              <w:right w:val="single" w:color="auto" w:sz="4" w:space="0"/>
            </w:tcBorders>
            <w:vAlign w:val="center"/>
          </w:tcPr>
          <w:p>
            <w:pPr>
              <w:widowControl/>
              <w:spacing w:line="259" w:lineRule="auto"/>
              <w:ind w:left="154"/>
              <w:jc w:val="center"/>
              <w:rPr>
                <w:rFonts w:ascii="Times New Roman" w:hAnsi="Times New Roman"/>
                <w:color w:val="000000"/>
              </w:rPr>
            </w:pPr>
            <w:r>
              <w:rPr>
                <w:rFonts w:hint="eastAsia"/>
              </w:rPr>
              <w:t>桂馥西路（北段）道路工程</w:t>
            </w:r>
          </w:p>
        </w:tc>
        <w:tc>
          <w:tcPr>
            <w:tcW w:w="6733" w:type="dxa"/>
            <w:tcBorders>
              <w:top w:val="single" w:color="auto" w:sz="4" w:space="0"/>
              <w:left w:val="single" w:color="auto" w:sz="4" w:space="0"/>
              <w:bottom w:val="single" w:color="auto" w:sz="4" w:space="0"/>
              <w:right w:val="single" w:color="auto" w:sz="4" w:space="0"/>
            </w:tcBorders>
            <w:vAlign w:val="center"/>
          </w:tcPr>
          <w:p>
            <w:pPr>
              <w:widowControl/>
              <w:spacing w:line="259" w:lineRule="auto"/>
              <w:ind w:left="154"/>
              <w:jc w:val="center"/>
              <w:rPr>
                <w:rFonts w:ascii="Times New Roman" w:hAnsi="Times New Roman"/>
                <w:color w:val="000000"/>
              </w:rPr>
            </w:pPr>
            <w:r>
              <w:rPr>
                <w:rFonts w:hint="eastAsia"/>
              </w:rPr>
              <w:t>道路属于城市支路，全长</w:t>
            </w:r>
            <w:r>
              <w:t>392.842m</w:t>
            </w:r>
            <w:r>
              <w:rPr>
                <w:rFonts w:hint="eastAsia"/>
              </w:rPr>
              <w:t>，设计车速</w:t>
            </w:r>
            <w:r>
              <w:t>30km/h</w:t>
            </w:r>
            <w:r>
              <w:rPr>
                <w:rFonts w:hint="eastAsia"/>
              </w:rPr>
              <w:t>，双向两车道，标准路幅宽度</w:t>
            </w:r>
            <w:r>
              <w:t>16m</w:t>
            </w:r>
            <w:r>
              <w:rPr>
                <w:rFonts w:hint="eastAsia"/>
              </w:rPr>
              <w:t>，人行道采用透水铺装。</w:t>
            </w:r>
          </w:p>
        </w:tc>
        <w:tc>
          <w:tcPr>
            <w:tcW w:w="1192" w:type="dxa"/>
            <w:tcBorders>
              <w:top w:val="single" w:color="auto" w:sz="4" w:space="0"/>
              <w:bottom w:val="single" w:color="auto" w:sz="4" w:space="0"/>
              <w:right w:val="single" w:color="auto" w:sz="4" w:space="0"/>
            </w:tcBorders>
            <w:vAlign w:val="center"/>
          </w:tcPr>
          <w:p>
            <w:pPr>
              <w:widowControl/>
              <w:spacing w:line="259" w:lineRule="auto"/>
              <w:ind w:left="151"/>
              <w:jc w:val="center"/>
              <w:rPr>
                <w:rFonts w:ascii="Times New Roman" w:hAnsi="Times New Roman"/>
                <w:color w:val="000000"/>
              </w:rPr>
            </w:pPr>
            <w:r>
              <w:t>2021-2021</w:t>
            </w:r>
          </w:p>
        </w:tc>
        <w:tc>
          <w:tcPr>
            <w:tcW w:w="1134" w:type="dxa"/>
            <w:tcBorders>
              <w:top w:val="single" w:color="000000" w:sz="4" w:space="0"/>
              <w:left w:val="single" w:color="auto" w:sz="4" w:space="0"/>
              <w:bottom w:val="single" w:color="000000" w:sz="4" w:space="0"/>
              <w:right w:val="single" w:color="auto" w:sz="4" w:space="0"/>
            </w:tcBorders>
          </w:tcPr>
          <w:p>
            <w:pPr>
              <w:widowControl/>
              <w:spacing w:line="259" w:lineRule="auto"/>
              <w:ind w:left="156"/>
              <w:jc w:val="center"/>
              <w:rPr>
                <w:rFonts w:ascii="Times New Roman" w:hAnsi="Times New Roman"/>
                <w:color w:val="000000"/>
              </w:rPr>
            </w:pPr>
            <w:r>
              <w:rPr>
                <w:rFonts w:hint="eastAsia"/>
              </w:rPr>
              <w:t>区住建委</w:t>
            </w:r>
          </w:p>
        </w:tc>
        <w:tc>
          <w:tcPr>
            <w:tcW w:w="851" w:type="dxa"/>
            <w:vMerge w:val="continue"/>
            <w:tcBorders>
              <w:top w:val="single" w:color="auto" w:sz="4" w:space="0"/>
              <w:left w:val="single" w:color="auto" w:sz="4" w:space="0"/>
              <w:bottom w:val="single" w:color="auto" w:sz="4" w:space="0"/>
              <w:right w:val="single" w:color="auto" w:sz="4" w:space="0"/>
            </w:tcBorders>
            <w:vAlign w:val="center"/>
          </w:tcPr>
          <w:p>
            <w:pPr>
              <w:widowControl/>
              <w:spacing w:line="259" w:lineRule="auto"/>
              <w:ind w:left="154"/>
              <w:jc w:val="center"/>
              <w:rPr>
                <w:rFonts w:ascii="Times New Roman" w:hAnsi="Times New Roman"/>
                <w:color w:val="000000"/>
              </w:rPr>
            </w:pPr>
          </w:p>
        </w:tc>
        <w:tc>
          <w:tcPr>
            <w:tcW w:w="1315" w:type="dxa"/>
            <w:vMerge w:val="continue"/>
            <w:tcBorders>
              <w:left w:val="single" w:color="auto" w:sz="4" w:space="0"/>
              <w:right w:val="single" w:color="000000" w:sz="4" w:space="0"/>
            </w:tcBorders>
            <w:vAlign w:val="center"/>
          </w:tcPr>
          <w:p>
            <w:pPr>
              <w:widowControl/>
              <w:spacing w:line="259" w:lineRule="auto"/>
              <w:ind w:left="151"/>
              <w:jc w:val="center"/>
              <w:rPr>
                <w:rFonts w:ascii="Times New Roman" w:hAnsi="Times New Roman"/>
                <w:color w:val="000000"/>
              </w:rPr>
            </w:pPr>
          </w:p>
        </w:tc>
      </w:tr>
      <w:tr>
        <w:tblPrEx>
          <w:tblCellMar>
            <w:top w:w="13" w:type="dxa"/>
            <w:left w:w="10" w:type="dxa"/>
            <w:bottom w:w="8" w:type="dxa"/>
            <w:right w:w="115" w:type="dxa"/>
          </w:tblCellMar>
        </w:tblPrEx>
        <w:trPr>
          <w:trHeight w:val="466" w:hRule="atLeast"/>
        </w:trPr>
        <w:tc>
          <w:tcPr>
            <w:tcW w:w="0" w:type="auto"/>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157"/>
              <w:jc w:val="center"/>
              <w:rPr>
                <w:rFonts w:ascii="Times New Roman" w:hAnsi="Times New Roman"/>
                <w:color w:val="000000"/>
                <w:szCs w:val="21"/>
              </w:rPr>
            </w:pPr>
            <w:r>
              <w:rPr>
                <w:rFonts w:ascii="Times New Roman" w:hAnsi="Times New Roman"/>
                <w:color w:val="000000"/>
                <w:szCs w:val="21"/>
              </w:rPr>
              <w:t>11</w:t>
            </w:r>
          </w:p>
        </w:tc>
        <w:tc>
          <w:tcPr>
            <w:tcW w:w="0" w:type="auto"/>
            <w:tcBorders>
              <w:top w:val="single" w:color="auto" w:sz="4" w:space="0"/>
              <w:left w:val="single" w:color="auto" w:sz="4" w:space="0"/>
              <w:bottom w:val="single" w:color="auto" w:sz="4" w:space="0"/>
              <w:right w:val="single" w:color="auto" w:sz="4" w:space="0"/>
            </w:tcBorders>
            <w:vAlign w:val="center"/>
          </w:tcPr>
          <w:p>
            <w:pPr>
              <w:widowControl/>
              <w:spacing w:line="259" w:lineRule="auto"/>
              <w:ind w:left="154"/>
              <w:jc w:val="center"/>
              <w:rPr>
                <w:rFonts w:ascii="Times New Roman" w:hAnsi="Times New Roman"/>
                <w:color w:val="000000"/>
              </w:rPr>
            </w:pPr>
            <w:r>
              <w:rPr>
                <w:rFonts w:hint="eastAsia"/>
              </w:rPr>
              <w:t>中央公园西路北拓段道路工程</w:t>
            </w:r>
          </w:p>
        </w:tc>
        <w:tc>
          <w:tcPr>
            <w:tcW w:w="6733" w:type="dxa"/>
            <w:tcBorders>
              <w:top w:val="single" w:color="auto" w:sz="4" w:space="0"/>
              <w:left w:val="single" w:color="auto" w:sz="4" w:space="0"/>
              <w:bottom w:val="single" w:color="auto" w:sz="4" w:space="0"/>
              <w:right w:val="single" w:color="auto" w:sz="4" w:space="0"/>
            </w:tcBorders>
            <w:vAlign w:val="center"/>
          </w:tcPr>
          <w:p>
            <w:pPr>
              <w:widowControl/>
              <w:spacing w:line="259" w:lineRule="auto"/>
              <w:ind w:left="154"/>
              <w:jc w:val="center"/>
              <w:rPr>
                <w:rFonts w:ascii="Times New Roman" w:hAnsi="Times New Roman"/>
                <w:color w:val="000000"/>
              </w:rPr>
            </w:pPr>
            <w:r>
              <w:rPr>
                <w:rFonts w:hint="eastAsia"/>
              </w:rPr>
              <w:t>本项目道路占地面积</w:t>
            </w:r>
            <w:r>
              <w:t>117260</w:t>
            </w:r>
            <w:r>
              <w:rPr>
                <w:rFonts w:hint="eastAsia"/>
              </w:rPr>
              <w:t>㎡，主要结构物含四座桥梁、一座隧道（双洞</w:t>
            </w:r>
            <w:r>
              <w:t>480m,</w:t>
            </w:r>
            <w:r>
              <w:rPr>
                <w:rFonts w:hint="eastAsia"/>
              </w:rPr>
              <w:t>单洞宽</w:t>
            </w:r>
            <w:r>
              <w:t>14.25m</w:t>
            </w:r>
            <w:r>
              <w:rPr>
                <w:rFonts w:hint="eastAsia"/>
              </w:rPr>
              <w:t>），标准路幅宽度为</w:t>
            </w:r>
            <w:r>
              <w:t>32m</w:t>
            </w:r>
            <w:r>
              <w:rPr>
                <w:rFonts w:hint="eastAsia"/>
              </w:rPr>
              <w:t>，双向六车道，人行道采用透水铺装。</w:t>
            </w:r>
          </w:p>
        </w:tc>
        <w:tc>
          <w:tcPr>
            <w:tcW w:w="1192" w:type="dxa"/>
            <w:tcBorders>
              <w:top w:val="single" w:color="auto" w:sz="4" w:space="0"/>
              <w:bottom w:val="single" w:color="auto" w:sz="4" w:space="0"/>
              <w:right w:val="single" w:color="auto" w:sz="4" w:space="0"/>
            </w:tcBorders>
            <w:vAlign w:val="center"/>
          </w:tcPr>
          <w:p>
            <w:pPr>
              <w:widowControl/>
              <w:spacing w:line="259" w:lineRule="auto"/>
              <w:ind w:left="151"/>
              <w:jc w:val="center"/>
              <w:rPr>
                <w:rFonts w:ascii="Times New Roman" w:hAnsi="Times New Roman"/>
                <w:color w:val="000000"/>
              </w:rPr>
            </w:pPr>
            <w:r>
              <w:t>2021-2023</w:t>
            </w:r>
          </w:p>
        </w:tc>
        <w:tc>
          <w:tcPr>
            <w:tcW w:w="1134" w:type="dxa"/>
            <w:tcBorders>
              <w:top w:val="single" w:color="000000" w:sz="4" w:space="0"/>
              <w:left w:val="single" w:color="auto" w:sz="4" w:space="0"/>
              <w:bottom w:val="single" w:color="000000" w:sz="4" w:space="0"/>
              <w:right w:val="single" w:color="auto" w:sz="4" w:space="0"/>
            </w:tcBorders>
          </w:tcPr>
          <w:p>
            <w:pPr>
              <w:widowControl/>
              <w:spacing w:line="259" w:lineRule="auto"/>
              <w:ind w:left="156"/>
              <w:jc w:val="center"/>
              <w:rPr>
                <w:rFonts w:ascii="Times New Roman" w:hAnsi="Times New Roman"/>
                <w:color w:val="000000"/>
              </w:rPr>
            </w:pPr>
            <w:r>
              <w:rPr>
                <w:rFonts w:hint="eastAsia"/>
              </w:rPr>
              <w:t>区住建委</w:t>
            </w:r>
          </w:p>
        </w:tc>
        <w:tc>
          <w:tcPr>
            <w:tcW w:w="851" w:type="dxa"/>
            <w:vMerge w:val="continue"/>
            <w:tcBorders>
              <w:top w:val="single" w:color="auto" w:sz="4" w:space="0"/>
              <w:left w:val="single" w:color="auto" w:sz="4" w:space="0"/>
              <w:bottom w:val="single" w:color="auto" w:sz="4" w:space="0"/>
              <w:right w:val="single" w:color="auto" w:sz="4" w:space="0"/>
            </w:tcBorders>
            <w:vAlign w:val="center"/>
          </w:tcPr>
          <w:p>
            <w:pPr>
              <w:widowControl/>
              <w:spacing w:line="259" w:lineRule="auto"/>
              <w:ind w:left="154"/>
              <w:jc w:val="center"/>
              <w:rPr>
                <w:rFonts w:ascii="Times New Roman" w:hAnsi="Times New Roman"/>
                <w:color w:val="000000"/>
              </w:rPr>
            </w:pPr>
          </w:p>
        </w:tc>
        <w:tc>
          <w:tcPr>
            <w:tcW w:w="1315" w:type="dxa"/>
            <w:vMerge w:val="continue"/>
            <w:tcBorders>
              <w:left w:val="single" w:color="auto" w:sz="4" w:space="0"/>
              <w:right w:val="single" w:color="000000" w:sz="4" w:space="0"/>
            </w:tcBorders>
            <w:vAlign w:val="center"/>
          </w:tcPr>
          <w:p>
            <w:pPr>
              <w:widowControl/>
              <w:spacing w:line="259" w:lineRule="auto"/>
              <w:ind w:left="151"/>
              <w:jc w:val="center"/>
              <w:rPr>
                <w:rFonts w:ascii="Times New Roman" w:hAnsi="Times New Roman"/>
                <w:color w:val="000000"/>
              </w:rPr>
            </w:pPr>
          </w:p>
        </w:tc>
      </w:tr>
      <w:tr>
        <w:tblPrEx>
          <w:tblCellMar>
            <w:top w:w="13" w:type="dxa"/>
            <w:left w:w="10" w:type="dxa"/>
            <w:bottom w:w="8" w:type="dxa"/>
            <w:right w:w="115" w:type="dxa"/>
          </w:tblCellMar>
        </w:tblPrEx>
        <w:trPr>
          <w:trHeight w:val="466" w:hRule="atLeast"/>
        </w:trPr>
        <w:tc>
          <w:tcPr>
            <w:tcW w:w="0" w:type="auto"/>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157"/>
              <w:jc w:val="center"/>
              <w:rPr>
                <w:rFonts w:ascii="Times New Roman" w:hAnsi="Times New Roman"/>
                <w:color w:val="000000"/>
                <w:szCs w:val="21"/>
              </w:rPr>
            </w:pPr>
            <w:r>
              <w:rPr>
                <w:rFonts w:ascii="Times New Roman" w:hAnsi="Times New Roman"/>
                <w:color w:val="000000"/>
                <w:szCs w:val="21"/>
              </w:rPr>
              <w:t>12</w:t>
            </w:r>
          </w:p>
        </w:tc>
        <w:tc>
          <w:tcPr>
            <w:tcW w:w="0" w:type="auto"/>
            <w:tcBorders>
              <w:top w:val="single" w:color="auto" w:sz="4" w:space="0"/>
              <w:left w:val="single" w:color="auto" w:sz="4" w:space="0"/>
              <w:bottom w:val="single" w:color="auto" w:sz="4" w:space="0"/>
              <w:right w:val="single" w:color="auto" w:sz="4" w:space="0"/>
            </w:tcBorders>
            <w:vAlign w:val="center"/>
          </w:tcPr>
          <w:p>
            <w:pPr>
              <w:widowControl/>
              <w:spacing w:line="259" w:lineRule="auto"/>
              <w:ind w:left="154"/>
              <w:jc w:val="center"/>
              <w:rPr>
                <w:rFonts w:ascii="Times New Roman" w:hAnsi="Times New Roman"/>
                <w:color w:val="000000"/>
              </w:rPr>
            </w:pPr>
            <w:r>
              <w:rPr>
                <w:rFonts w:hint="eastAsia"/>
              </w:rPr>
              <w:t>双桥路道路工程</w:t>
            </w:r>
          </w:p>
        </w:tc>
        <w:tc>
          <w:tcPr>
            <w:tcW w:w="6733" w:type="dxa"/>
            <w:tcBorders>
              <w:top w:val="single" w:color="auto" w:sz="4" w:space="0"/>
              <w:left w:val="single" w:color="auto" w:sz="4" w:space="0"/>
              <w:bottom w:val="single" w:color="auto" w:sz="4" w:space="0"/>
              <w:right w:val="single" w:color="auto" w:sz="4" w:space="0"/>
            </w:tcBorders>
            <w:vAlign w:val="center"/>
          </w:tcPr>
          <w:p>
            <w:pPr>
              <w:widowControl/>
              <w:spacing w:line="259" w:lineRule="auto"/>
              <w:ind w:left="154"/>
              <w:jc w:val="center"/>
              <w:rPr>
                <w:rFonts w:ascii="Times New Roman" w:hAnsi="Times New Roman"/>
                <w:color w:val="000000"/>
              </w:rPr>
            </w:pPr>
            <w:r>
              <w:rPr>
                <w:rFonts w:hint="eastAsia"/>
              </w:rPr>
              <w:t>本项目双桥路道路工程道路全长</w:t>
            </w:r>
            <w:r>
              <w:t>2025.464m</w:t>
            </w:r>
            <w:r>
              <w:rPr>
                <w:rFonts w:hint="eastAsia"/>
              </w:rPr>
              <w:t>，标准路幅</w:t>
            </w:r>
            <w:r>
              <w:t>32</w:t>
            </w:r>
            <w:r>
              <w:rPr>
                <w:rFonts w:hint="eastAsia"/>
              </w:rPr>
              <w:t>米，人行道采用透水铺装。</w:t>
            </w:r>
          </w:p>
        </w:tc>
        <w:tc>
          <w:tcPr>
            <w:tcW w:w="1192" w:type="dxa"/>
            <w:tcBorders>
              <w:top w:val="single" w:color="auto" w:sz="4" w:space="0"/>
              <w:bottom w:val="single" w:color="auto" w:sz="4" w:space="0"/>
              <w:right w:val="single" w:color="auto" w:sz="4" w:space="0"/>
            </w:tcBorders>
            <w:vAlign w:val="center"/>
          </w:tcPr>
          <w:p>
            <w:pPr>
              <w:widowControl/>
              <w:spacing w:line="259" w:lineRule="auto"/>
              <w:ind w:left="151"/>
              <w:jc w:val="center"/>
              <w:rPr>
                <w:rFonts w:ascii="Times New Roman" w:hAnsi="Times New Roman"/>
                <w:color w:val="000000"/>
              </w:rPr>
            </w:pPr>
            <w:r>
              <w:t>2021-2023</w:t>
            </w:r>
          </w:p>
        </w:tc>
        <w:tc>
          <w:tcPr>
            <w:tcW w:w="1134" w:type="dxa"/>
            <w:tcBorders>
              <w:top w:val="single" w:color="000000" w:sz="4" w:space="0"/>
              <w:left w:val="single" w:color="auto" w:sz="4" w:space="0"/>
              <w:bottom w:val="single" w:color="000000" w:sz="4" w:space="0"/>
              <w:right w:val="single" w:color="auto" w:sz="4" w:space="0"/>
            </w:tcBorders>
          </w:tcPr>
          <w:p>
            <w:pPr>
              <w:widowControl/>
              <w:spacing w:line="259" w:lineRule="auto"/>
              <w:ind w:left="156"/>
              <w:jc w:val="center"/>
              <w:rPr>
                <w:rFonts w:ascii="Times New Roman" w:hAnsi="Times New Roman"/>
                <w:color w:val="000000"/>
              </w:rPr>
            </w:pPr>
            <w:r>
              <w:rPr>
                <w:rFonts w:hint="eastAsia"/>
              </w:rPr>
              <w:t>区住建委</w:t>
            </w:r>
          </w:p>
        </w:tc>
        <w:tc>
          <w:tcPr>
            <w:tcW w:w="851" w:type="dxa"/>
            <w:vMerge w:val="continue"/>
            <w:tcBorders>
              <w:top w:val="single" w:color="auto" w:sz="4" w:space="0"/>
              <w:left w:val="single" w:color="auto" w:sz="4" w:space="0"/>
              <w:bottom w:val="single" w:color="auto" w:sz="4" w:space="0"/>
              <w:right w:val="single" w:color="auto" w:sz="4" w:space="0"/>
            </w:tcBorders>
            <w:vAlign w:val="center"/>
          </w:tcPr>
          <w:p>
            <w:pPr>
              <w:widowControl/>
              <w:spacing w:line="259" w:lineRule="auto"/>
              <w:ind w:left="154"/>
              <w:jc w:val="center"/>
              <w:rPr>
                <w:rFonts w:ascii="Times New Roman" w:hAnsi="Times New Roman"/>
                <w:color w:val="000000"/>
              </w:rPr>
            </w:pPr>
          </w:p>
        </w:tc>
        <w:tc>
          <w:tcPr>
            <w:tcW w:w="1315" w:type="dxa"/>
            <w:vMerge w:val="continue"/>
            <w:tcBorders>
              <w:left w:val="single" w:color="auto" w:sz="4" w:space="0"/>
              <w:right w:val="single" w:color="000000" w:sz="4" w:space="0"/>
            </w:tcBorders>
            <w:vAlign w:val="center"/>
          </w:tcPr>
          <w:p>
            <w:pPr>
              <w:widowControl/>
              <w:spacing w:line="259" w:lineRule="auto"/>
              <w:ind w:left="151"/>
              <w:jc w:val="center"/>
              <w:rPr>
                <w:rFonts w:ascii="Times New Roman" w:hAnsi="Times New Roman"/>
                <w:color w:val="000000"/>
              </w:rPr>
            </w:pPr>
          </w:p>
        </w:tc>
      </w:tr>
      <w:tr>
        <w:tblPrEx>
          <w:tblCellMar>
            <w:top w:w="13" w:type="dxa"/>
            <w:left w:w="10" w:type="dxa"/>
            <w:bottom w:w="8" w:type="dxa"/>
            <w:right w:w="115" w:type="dxa"/>
          </w:tblCellMar>
        </w:tblPrEx>
        <w:trPr>
          <w:trHeight w:val="466" w:hRule="atLeast"/>
        </w:trPr>
        <w:tc>
          <w:tcPr>
            <w:tcW w:w="0" w:type="auto"/>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157"/>
              <w:jc w:val="center"/>
              <w:rPr>
                <w:rFonts w:ascii="Times New Roman" w:hAnsi="Times New Roman"/>
                <w:color w:val="000000"/>
                <w:szCs w:val="21"/>
              </w:rPr>
            </w:pPr>
            <w:r>
              <w:rPr>
                <w:rFonts w:ascii="Times New Roman" w:hAnsi="Times New Roman"/>
                <w:color w:val="000000"/>
                <w:szCs w:val="21"/>
              </w:rPr>
              <w:t>13</w:t>
            </w:r>
          </w:p>
        </w:tc>
        <w:tc>
          <w:tcPr>
            <w:tcW w:w="0" w:type="auto"/>
            <w:tcBorders>
              <w:top w:val="single" w:color="auto" w:sz="4" w:space="0"/>
              <w:left w:val="single" w:color="auto" w:sz="4" w:space="0"/>
              <w:bottom w:val="single" w:color="auto" w:sz="4" w:space="0"/>
              <w:right w:val="single" w:color="auto" w:sz="4" w:space="0"/>
            </w:tcBorders>
            <w:vAlign w:val="center"/>
          </w:tcPr>
          <w:p>
            <w:pPr>
              <w:widowControl/>
              <w:spacing w:line="259" w:lineRule="auto"/>
              <w:ind w:left="154"/>
              <w:jc w:val="center"/>
              <w:rPr>
                <w:rFonts w:ascii="Times New Roman" w:hAnsi="Times New Roman"/>
                <w:color w:val="000000"/>
              </w:rPr>
            </w:pPr>
            <w:r>
              <w:rPr>
                <w:rFonts w:hint="eastAsia"/>
              </w:rPr>
              <w:t>中央公园东路北拓段道路工程</w:t>
            </w:r>
          </w:p>
        </w:tc>
        <w:tc>
          <w:tcPr>
            <w:tcW w:w="6733" w:type="dxa"/>
            <w:tcBorders>
              <w:top w:val="single" w:color="auto" w:sz="4" w:space="0"/>
              <w:left w:val="single" w:color="auto" w:sz="4" w:space="0"/>
              <w:bottom w:val="single" w:color="auto" w:sz="4" w:space="0"/>
              <w:right w:val="single" w:color="auto" w:sz="4" w:space="0"/>
            </w:tcBorders>
            <w:vAlign w:val="center"/>
          </w:tcPr>
          <w:p>
            <w:pPr>
              <w:widowControl/>
              <w:spacing w:line="259" w:lineRule="auto"/>
              <w:ind w:left="154"/>
              <w:jc w:val="center"/>
              <w:rPr>
                <w:rFonts w:ascii="Times New Roman" w:hAnsi="Times New Roman"/>
                <w:color w:val="000000"/>
              </w:rPr>
            </w:pPr>
            <w:r>
              <w:rPr>
                <w:rFonts w:hint="eastAsia"/>
              </w:rPr>
              <w:t>道路等级为城市主干路，道路全长约为</w:t>
            </w:r>
            <w:r>
              <w:t>1.169km</w:t>
            </w:r>
            <w:r>
              <w:rPr>
                <w:rFonts w:hint="eastAsia"/>
              </w:rPr>
              <w:t>，路幅标准宽度为</w:t>
            </w:r>
            <w:r>
              <w:t>40m</w:t>
            </w:r>
            <w:r>
              <w:rPr>
                <w:rFonts w:hint="eastAsia"/>
              </w:rPr>
              <w:t>，双向六车道，人行道采用透水铺装。</w:t>
            </w:r>
          </w:p>
        </w:tc>
        <w:tc>
          <w:tcPr>
            <w:tcW w:w="1192" w:type="dxa"/>
            <w:tcBorders>
              <w:top w:val="single" w:color="auto" w:sz="4" w:space="0"/>
              <w:bottom w:val="single" w:color="auto" w:sz="4" w:space="0"/>
              <w:right w:val="single" w:color="auto" w:sz="4" w:space="0"/>
            </w:tcBorders>
            <w:vAlign w:val="center"/>
          </w:tcPr>
          <w:p>
            <w:pPr>
              <w:widowControl/>
              <w:spacing w:line="259" w:lineRule="auto"/>
              <w:ind w:left="151"/>
              <w:jc w:val="center"/>
              <w:rPr>
                <w:rFonts w:ascii="Times New Roman" w:hAnsi="Times New Roman"/>
                <w:color w:val="000000"/>
              </w:rPr>
            </w:pPr>
            <w:r>
              <w:t>2021-2023</w:t>
            </w:r>
          </w:p>
        </w:tc>
        <w:tc>
          <w:tcPr>
            <w:tcW w:w="1134" w:type="dxa"/>
            <w:tcBorders>
              <w:top w:val="single" w:color="000000" w:sz="4" w:space="0"/>
              <w:left w:val="single" w:color="auto" w:sz="4" w:space="0"/>
              <w:bottom w:val="single" w:color="000000" w:sz="4" w:space="0"/>
              <w:right w:val="single" w:color="auto" w:sz="4" w:space="0"/>
            </w:tcBorders>
          </w:tcPr>
          <w:p>
            <w:pPr>
              <w:widowControl/>
              <w:spacing w:line="259" w:lineRule="auto"/>
              <w:ind w:left="156"/>
              <w:jc w:val="center"/>
              <w:rPr>
                <w:rFonts w:ascii="Times New Roman" w:hAnsi="Times New Roman"/>
                <w:color w:val="000000"/>
              </w:rPr>
            </w:pPr>
            <w:r>
              <w:rPr>
                <w:rFonts w:hint="eastAsia"/>
              </w:rPr>
              <w:t>区住建委</w:t>
            </w:r>
          </w:p>
        </w:tc>
        <w:tc>
          <w:tcPr>
            <w:tcW w:w="851" w:type="dxa"/>
            <w:vMerge w:val="continue"/>
            <w:tcBorders>
              <w:top w:val="single" w:color="auto" w:sz="4" w:space="0"/>
              <w:left w:val="single" w:color="auto" w:sz="4" w:space="0"/>
              <w:bottom w:val="single" w:color="auto" w:sz="4" w:space="0"/>
              <w:right w:val="single" w:color="auto" w:sz="4" w:space="0"/>
            </w:tcBorders>
            <w:vAlign w:val="center"/>
          </w:tcPr>
          <w:p>
            <w:pPr>
              <w:widowControl/>
              <w:spacing w:line="259" w:lineRule="auto"/>
              <w:ind w:left="154"/>
              <w:jc w:val="center"/>
              <w:rPr>
                <w:rFonts w:ascii="Times New Roman" w:hAnsi="Times New Roman"/>
                <w:color w:val="000000"/>
              </w:rPr>
            </w:pPr>
          </w:p>
        </w:tc>
        <w:tc>
          <w:tcPr>
            <w:tcW w:w="1315" w:type="dxa"/>
            <w:vMerge w:val="continue"/>
            <w:tcBorders>
              <w:left w:val="single" w:color="auto" w:sz="4" w:space="0"/>
              <w:right w:val="single" w:color="000000" w:sz="4" w:space="0"/>
            </w:tcBorders>
            <w:vAlign w:val="center"/>
          </w:tcPr>
          <w:p>
            <w:pPr>
              <w:widowControl/>
              <w:spacing w:line="259" w:lineRule="auto"/>
              <w:ind w:left="151"/>
              <w:jc w:val="center"/>
              <w:rPr>
                <w:rFonts w:ascii="Times New Roman" w:hAnsi="Times New Roman"/>
                <w:color w:val="000000"/>
              </w:rPr>
            </w:pPr>
          </w:p>
        </w:tc>
      </w:tr>
      <w:tr>
        <w:tblPrEx>
          <w:tblCellMar>
            <w:top w:w="13" w:type="dxa"/>
            <w:left w:w="10" w:type="dxa"/>
            <w:bottom w:w="8" w:type="dxa"/>
            <w:right w:w="115" w:type="dxa"/>
          </w:tblCellMar>
        </w:tblPrEx>
        <w:trPr>
          <w:trHeight w:val="466" w:hRule="atLeast"/>
        </w:trPr>
        <w:tc>
          <w:tcPr>
            <w:tcW w:w="0" w:type="auto"/>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157"/>
              <w:jc w:val="center"/>
              <w:rPr>
                <w:rFonts w:ascii="Times New Roman" w:hAnsi="Times New Roman"/>
                <w:color w:val="000000"/>
                <w:szCs w:val="21"/>
              </w:rPr>
            </w:pPr>
            <w:r>
              <w:rPr>
                <w:rFonts w:ascii="Times New Roman" w:hAnsi="Times New Roman"/>
                <w:color w:val="000000"/>
                <w:szCs w:val="21"/>
              </w:rPr>
              <w:t>14</w:t>
            </w:r>
          </w:p>
        </w:tc>
        <w:tc>
          <w:tcPr>
            <w:tcW w:w="0" w:type="auto"/>
            <w:tcBorders>
              <w:top w:val="single" w:color="auto" w:sz="4" w:space="0"/>
              <w:left w:val="single" w:color="auto" w:sz="4" w:space="0"/>
              <w:bottom w:val="single" w:color="auto" w:sz="4" w:space="0"/>
              <w:right w:val="single" w:color="auto" w:sz="4" w:space="0"/>
            </w:tcBorders>
            <w:vAlign w:val="center"/>
          </w:tcPr>
          <w:p>
            <w:pPr>
              <w:widowControl/>
              <w:spacing w:line="259" w:lineRule="auto"/>
              <w:ind w:left="154"/>
              <w:jc w:val="center"/>
              <w:rPr>
                <w:rFonts w:ascii="Times New Roman" w:hAnsi="Times New Roman"/>
                <w:color w:val="000000"/>
              </w:rPr>
            </w:pPr>
            <w:r>
              <w:rPr>
                <w:rFonts w:hint="eastAsia"/>
              </w:rPr>
              <w:t>空港新城</w:t>
            </w:r>
            <w:r>
              <w:t>Z4-1</w:t>
            </w:r>
            <w:r>
              <w:rPr>
                <w:rFonts w:hint="eastAsia"/>
              </w:rPr>
              <w:t>道路工程</w:t>
            </w:r>
          </w:p>
        </w:tc>
        <w:tc>
          <w:tcPr>
            <w:tcW w:w="6733" w:type="dxa"/>
            <w:tcBorders>
              <w:top w:val="single" w:color="auto" w:sz="4" w:space="0"/>
              <w:left w:val="single" w:color="auto" w:sz="4" w:space="0"/>
              <w:bottom w:val="single" w:color="auto" w:sz="4" w:space="0"/>
              <w:right w:val="single" w:color="auto" w:sz="4" w:space="0"/>
            </w:tcBorders>
            <w:vAlign w:val="center"/>
          </w:tcPr>
          <w:p>
            <w:pPr>
              <w:widowControl/>
              <w:spacing w:line="259" w:lineRule="auto"/>
              <w:ind w:left="154"/>
              <w:jc w:val="center"/>
              <w:rPr>
                <w:rFonts w:ascii="Times New Roman" w:hAnsi="Times New Roman"/>
                <w:color w:val="000000"/>
              </w:rPr>
            </w:pPr>
            <w:r>
              <w:rPr>
                <w:rFonts w:hint="eastAsia"/>
              </w:rPr>
              <w:t>道路全长约为</w:t>
            </w:r>
            <w:r>
              <w:t>806.882m</w:t>
            </w:r>
            <w:r>
              <w:rPr>
                <w:rFonts w:hint="eastAsia"/>
              </w:rPr>
              <w:t>，路幅标准宽度为</w:t>
            </w:r>
            <w:r>
              <w:t>26m</w:t>
            </w:r>
            <w:r>
              <w:rPr>
                <w:rFonts w:hint="eastAsia"/>
              </w:rPr>
              <w:t>，，人行道采用透水铺装。</w:t>
            </w:r>
          </w:p>
        </w:tc>
        <w:tc>
          <w:tcPr>
            <w:tcW w:w="1192" w:type="dxa"/>
            <w:tcBorders>
              <w:top w:val="single" w:color="auto" w:sz="4" w:space="0"/>
              <w:bottom w:val="single" w:color="auto" w:sz="4" w:space="0"/>
              <w:right w:val="single" w:color="auto" w:sz="4" w:space="0"/>
            </w:tcBorders>
            <w:vAlign w:val="center"/>
          </w:tcPr>
          <w:p>
            <w:pPr>
              <w:widowControl/>
              <w:spacing w:line="259" w:lineRule="auto"/>
              <w:ind w:left="151"/>
              <w:jc w:val="center"/>
              <w:rPr>
                <w:rFonts w:ascii="Times New Roman" w:hAnsi="Times New Roman"/>
                <w:color w:val="000000"/>
              </w:rPr>
            </w:pPr>
            <w:r>
              <w:t>2021-2022</w:t>
            </w:r>
          </w:p>
        </w:tc>
        <w:tc>
          <w:tcPr>
            <w:tcW w:w="1134" w:type="dxa"/>
            <w:tcBorders>
              <w:top w:val="single" w:color="000000" w:sz="4" w:space="0"/>
              <w:left w:val="single" w:color="auto" w:sz="4" w:space="0"/>
              <w:bottom w:val="single" w:color="000000" w:sz="4" w:space="0"/>
              <w:right w:val="single" w:color="auto" w:sz="4" w:space="0"/>
            </w:tcBorders>
          </w:tcPr>
          <w:p>
            <w:pPr>
              <w:widowControl/>
              <w:spacing w:line="259" w:lineRule="auto"/>
              <w:ind w:left="156"/>
              <w:jc w:val="center"/>
              <w:rPr>
                <w:rFonts w:ascii="Times New Roman" w:hAnsi="Times New Roman"/>
                <w:color w:val="000000"/>
              </w:rPr>
            </w:pPr>
            <w:r>
              <w:rPr>
                <w:rFonts w:hint="eastAsia"/>
              </w:rPr>
              <w:t>区住建委</w:t>
            </w:r>
          </w:p>
        </w:tc>
        <w:tc>
          <w:tcPr>
            <w:tcW w:w="851" w:type="dxa"/>
            <w:vMerge w:val="continue"/>
            <w:tcBorders>
              <w:top w:val="single" w:color="auto" w:sz="4" w:space="0"/>
              <w:left w:val="single" w:color="auto" w:sz="4" w:space="0"/>
              <w:bottom w:val="single" w:color="auto" w:sz="4" w:space="0"/>
              <w:right w:val="single" w:color="auto" w:sz="4" w:space="0"/>
            </w:tcBorders>
            <w:vAlign w:val="center"/>
          </w:tcPr>
          <w:p>
            <w:pPr>
              <w:widowControl/>
              <w:spacing w:line="259" w:lineRule="auto"/>
              <w:ind w:left="154"/>
              <w:jc w:val="center"/>
              <w:rPr>
                <w:rFonts w:ascii="Times New Roman" w:hAnsi="Times New Roman"/>
                <w:color w:val="000000"/>
              </w:rPr>
            </w:pPr>
          </w:p>
        </w:tc>
        <w:tc>
          <w:tcPr>
            <w:tcW w:w="1315" w:type="dxa"/>
            <w:vMerge w:val="continue"/>
            <w:tcBorders>
              <w:left w:val="single" w:color="auto" w:sz="4" w:space="0"/>
              <w:right w:val="single" w:color="000000" w:sz="4" w:space="0"/>
            </w:tcBorders>
            <w:vAlign w:val="center"/>
          </w:tcPr>
          <w:p>
            <w:pPr>
              <w:widowControl/>
              <w:spacing w:line="259" w:lineRule="auto"/>
              <w:ind w:left="151"/>
              <w:jc w:val="center"/>
              <w:rPr>
                <w:rFonts w:ascii="Times New Roman" w:hAnsi="Times New Roman"/>
                <w:color w:val="000000"/>
              </w:rPr>
            </w:pPr>
          </w:p>
        </w:tc>
      </w:tr>
      <w:tr>
        <w:tblPrEx>
          <w:tblCellMar>
            <w:top w:w="13" w:type="dxa"/>
            <w:left w:w="10" w:type="dxa"/>
            <w:bottom w:w="8" w:type="dxa"/>
            <w:right w:w="115" w:type="dxa"/>
          </w:tblCellMar>
        </w:tblPrEx>
        <w:trPr>
          <w:trHeight w:val="466" w:hRule="atLeast"/>
        </w:trPr>
        <w:tc>
          <w:tcPr>
            <w:tcW w:w="0" w:type="auto"/>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157"/>
              <w:jc w:val="center"/>
              <w:rPr>
                <w:rFonts w:ascii="Times New Roman" w:hAnsi="Times New Roman"/>
                <w:color w:val="000000"/>
                <w:szCs w:val="21"/>
              </w:rPr>
            </w:pPr>
            <w:r>
              <w:rPr>
                <w:rFonts w:ascii="Times New Roman" w:hAnsi="Times New Roman"/>
                <w:color w:val="000000"/>
                <w:szCs w:val="21"/>
              </w:rPr>
              <w:t>15</w:t>
            </w:r>
          </w:p>
        </w:tc>
        <w:tc>
          <w:tcPr>
            <w:tcW w:w="0" w:type="auto"/>
            <w:tcBorders>
              <w:top w:val="single" w:color="auto" w:sz="4" w:space="0"/>
              <w:left w:val="single" w:color="auto" w:sz="4" w:space="0"/>
              <w:bottom w:val="single" w:color="auto" w:sz="4" w:space="0"/>
              <w:right w:val="single" w:color="auto" w:sz="4" w:space="0"/>
            </w:tcBorders>
            <w:vAlign w:val="center"/>
          </w:tcPr>
          <w:p>
            <w:pPr>
              <w:widowControl/>
              <w:spacing w:line="259" w:lineRule="auto"/>
              <w:ind w:left="154"/>
              <w:jc w:val="center"/>
              <w:rPr>
                <w:rFonts w:ascii="Times New Roman" w:hAnsi="Times New Roman"/>
                <w:color w:val="000000"/>
              </w:rPr>
            </w:pPr>
            <w:r>
              <w:t>Z11B</w:t>
            </w:r>
            <w:r>
              <w:rPr>
                <w:rFonts w:hint="eastAsia"/>
              </w:rPr>
              <w:t>线西延段道路工程</w:t>
            </w:r>
          </w:p>
        </w:tc>
        <w:tc>
          <w:tcPr>
            <w:tcW w:w="6733" w:type="dxa"/>
            <w:tcBorders>
              <w:top w:val="single" w:color="auto" w:sz="4" w:space="0"/>
              <w:left w:val="single" w:color="auto" w:sz="4" w:space="0"/>
              <w:bottom w:val="single" w:color="auto" w:sz="4" w:space="0"/>
              <w:right w:val="single" w:color="auto" w:sz="4" w:space="0"/>
            </w:tcBorders>
            <w:vAlign w:val="center"/>
          </w:tcPr>
          <w:p>
            <w:pPr>
              <w:widowControl/>
              <w:spacing w:line="259" w:lineRule="auto"/>
              <w:ind w:left="154"/>
              <w:jc w:val="center"/>
              <w:rPr>
                <w:rFonts w:ascii="Times New Roman" w:hAnsi="Times New Roman"/>
                <w:color w:val="000000"/>
              </w:rPr>
            </w:pPr>
            <w:r>
              <w:rPr>
                <w:rFonts w:hint="eastAsia"/>
              </w:rPr>
              <w:t>全长</w:t>
            </w:r>
            <w:r>
              <w:t>252.115m</w:t>
            </w:r>
            <w:r>
              <w:rPr>
                <w:rFonts w:hint="eastAsia"/>
              </w:rPr>
              <w:t>，标准路幅</w:t>
            </w:r>
            <w:r>
              <w:t>12m</w:t>
            </w:r>
            <w:r>
              <w:rPr>
                <w:rFonts w:hint="eastAsia"/>
              </w:rPr>
              <w:t>，人行道采用透水铺装。</w:t>
            </w:r>
          </w:p>
        </w:tc>
        <w:tc>
          <w:tcPr>
            <w:tcW w:w="1192" w:type="dxa"/>
            <w:tcBorders>
              <w:top w:val="single" w:color="auto" w:sz="4" w:space="0"/>
              <w:bottom w:val="single" w:color="auto" w:sz="4" w:space="0"/>
              <w:right w:val="single" w:color="auto" w:sz="4" w:space="0"/>
            </w:tcBorders>
            <w:vAlign w:val="center"/>
          </w:tcPr>
          <w:p>
            <w:pPr>
              <w:widowControl/>
              <w:spacing w:line="259" w:lineRule="auto"/>
              <w:ind w:left="151"/>
              <w:jc w:val="center"/>
              <w:rPr>
                <w:rFonts w:ascii="Times New Roman" w:hAnsi="Times New Roman"/>
                <w:color w:val="000000"/>
              </w:rPr>
            </w:pPr>
            <w:r>
              <w:t>2021-2022</w:t>
            </w:r>
          </w:p>
        </w:tc>
        <w:tc>
          <w:tcPr>
            <w:tcW w:w="1134" w:type="dxa"/>
            <w:tcBorders>
              <w:top w:val="single" w:color="000000" w:sz="4" w:space="0"/>
              <w:left w:val="single" w:color="auto" w:sz="4" w:space="0"/>
              <w:bottom w:val="single" w:color="000000" w:sz="4" w:space="0"/>
              <w:right w:val="single" w:color="auto" w:sz="4" w:space="0"/>
            </w:tcBorders>
          </w:tcPr>
          <w:p>
            <w:pPr>
              <w:widowControl/>
              <w:spacing w:line="259" w:lineRule="auto"/>
              <w:ind w:left="156"/>
              <w:jc w:val="center"/>
              <w:rPr>
                <w:rFonts w:ascii="Times New Roman" w:hAnsi="Times New Roman"/>
                <w:color w:val="000000"/>
              </w:rPr>
            </w:pPr>
            <w:r>
              <w:rPr>
                <w:rFonts w:hint="eastAsia"/>
              </w:rPr>
              <w:t>区住建委</w:t>
            </w:r>
          </w:p>
        </w:tc>
        <w:tc>
          <w:tcPr>
            <w:tcW w:w="851" w:type="dxa"/>
            <w:vMerge w:val="continue"/>
            <w:tcBorders>
              <w:top w:val="single" w:color="auto" w:sz="4" w:space="0"/>
              <w:left w:val="single" w:color="auto" w:sz="4" w:space="0"/>
              <w:bottom w:val="single" w:color="auto" w:sz="4" w:space="0"/>
              <w:right w:val="single" w:color="auto" w:sz="4" w:space="0"/>
            </w:tcBorders>
            <w:vAlign w:val="center"/>
          </w:tcPr>
          <w:p>
            <w:pPr>
              <w:widowControl/>
              <w:spacing w:line="259" w:lineRule="auto"/>
              <w:ind w:left="154"/>
              <w:jc w:val="center"/>
              <w:rPr>
                <w:rFonts w:ascii="Times New Roman" w:hAnsi="Times New Roman"/>
                <w:color w:val="000000"/>
              </w:rPr>
            </w:pPr>
          </w:p>
        </w:tc>
        <w:tc>
          <w:tcPr>
            <w:tcW w:w="1315" w:type="dxa"/>
            <w:vMerge w:val="continue"/>
            <w:tcBorders>
              <w:left w:val="single" w:color="auto" w:sz="4" w:space="0"/>
              <w:right w:val="single" w:color="000000" w:sz="4" w:space="0"/>
            </w:tcBorders>
            <w:vAlign w:val="center"/>
          </w:tcPr>
          <w:p>
            <w:pPr>
              <w:widowControl/>
              <w:spacing w:line="259" w:lineRule="auto"/>
              <w:ind w:left="151"/>
              <w:jc w:val="center"/>
              <w:rPr>
                <w:rFonts w:ascii="Times New Roman" w:hAnsi="Times New Roman"/>
                <w:color w:val="000000"/>
              </w:rPr>
            </w:pPr>
          </w:p>
        </w:tc>
      </w:tr>
      <w:tr>
        <w:tblPrEx>
          <w:tblCellMar>
            <w:top w:w="13" w:type="dxa"/>
            <w:left w:w="10" w:type="dxa"/>
            <w:bottom w:w="8" w:type="dxa"/>
            <w:right w:w="115" w:type="dxa"/>
          </w:tblCellMar>
        </w:tblPrEx>
        <w:trPr>
          <w:trHeight w:val="466" w:hRule="atLeast"/>
        </w:trPr>
        <w:tc>
          <w:tcPr>
            <w:tcW w:w="0" w:type="auto"/>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157"/>
              <w:jc w:val="center"/>
              <w:rPr>
                <w:rFonts w:ascii="Times New Roman" w:hAnsi="Times New Roman"/>
                <w:color w:val="000000"/>
                <w:szCs w:val="21"/>
              </w:rPr>
            </w:pPr>
            <w:r>
              <w:rPr>
                <w:rFonts w:ascii="Times New Roman" w:hAnsi="Times New Roman"/>
                <w:color w:val="000000"/>
                <w:szCs w:val="21"/>
              </w:rPr>
              <w:t>16</w:t>
            </w:r>
          </w:p>
        </w:tc>
        <w:tc>
          <w:tcPr>
            <w:tcW w:w="0" w:type="auto"/>
            <w:tcBorders>
              <w:top w:val="single" w:color="auto" w:sz="4" w:space="0"/>
              <w:left w:val="single" w:color="auto" w:sz="4" w:space="0"/>
              <w:bottom w:val="single" w:color="auto" w:sz="4" w:space="0"/>
              <w:right w:val="single" w:color="auto" w:sz="4" w:space="0"/>
            </w:tcBorders>
            <w:vAlign w:val="center"/>
          </w:tcPr>
          <w:p>
            <w:pPr>
              <w:widowControl/>
              <w:spacing w:line="259" w:lineRule="auto"/>
              <w:ind w:left="154"/>
              <w:jc w:val="center"/>
              <w:rPr>
                <w:rFonts w:ascii="Times New Roman" w:hAnsi="Times New Roman"/>
                <w:color w:val="000000"/>
              </w:rPr>
            </w:pPr>
            <w:r>
              <w:rPr>
                <w:rFonts w:hint="eastAsia"/>
              </w:rPr>
              <w:t>丝绸厂</w:t>
            </w:r>
            <w:r>
              <w:t>B</w:t>
            </w:r>
            <w:r>
              <w:rPr>
                <w:rFonts w:hint="eastAsia"/>
              </w:rPr>
              <w:t>线</w:t>
            </w:r>
          </w:p>
        </w:tc>
        <w:tc>
          <w:tcPr>
            <w:tcW w:w="6733" w:type="dxa"/>
            <w:tcBorders>
              <w:top w:val="single" w:color="auto" w:sz="4" w:space="0"/>
              <w:left w:val="single" w:color="auto" w:sz="4" w:space="0"/>
              <w:bottom w:val="single" w:color="auto" w:sz="4" w:space="0"/>
              <w:right w:val="single" w:color="auto" w:sz="4" w:space="0"/>
            </w:tcBorders>
            <w:vAlign w:val="center"/>
          </w:tcPr>
          <w:p>
            <w:pPr>
              <w:widowControl/>
              <w:spacing w:line="259" w:lineRule="auto"/>
              <w:ind w:left="154"/>
              <w:jc w:val="center"/>
              <w:rPr>
                <w:rFonts w:ascii="Times New Roman" w:hAnsi="Times New Roman"/>
                <w:color w:val="000000"/>
              </w:rPr>
            </w:pPr>
            <w:r>
              <w:rPr>
                <w:rFonts w:hint="eastAsia"/>
              </w:rPr>
              <w:t>全长</w:t>
            </w:r>
            <w:r>
              <w:t>289.488m</w:t>
            </w:r>
            <w:r>
              <w:rPr>
                <w:rFonts w:hint="eastAsia"/>
              </w:rPr>
              <w:t>，双向两车道，标准路幅宽度</w:t>
            </w:r>
            <w:r>
              <w:t>16m</w:t>
            </w:r>
            <w:r>
              <w:rPr>
                <w:rFonts w:hint="eastAsia"/>
              </w:rPr>
              <w:t>，人行道采用透水铺装。</w:t>
            </w:r>
          </w:p>
        </w:tc>
        <w:tc>
          <w:tcPr>
            <w:tcW w:w="1192" w:type="dxa"/>
            <w:tcBorders>
              <w:top w:val="single" w:color="auto" w:sz="4" w:space="0"/>
              <w:bottom w:val="single" w:color="auto" w:sz="4" w:space="0"/>
              <w:right w:val="single" w:color="auto" w:sz="4" w:space="0"/>
            </w:tcBorders>
            <w:vAlign w:val="center"/>
          </w:tcPr>
          <w:p>
            <w:pPr>
              <w:widowControl/>
              <w:spacing w:line="259" w:lineRule="auto"/>
              <w:ind w:left="151"/>
              <w:jc w:val="center"/>
              <w:rPr>
                <w:rFonts w:ascii="Times New Roman" w:hAnsi="Times New Roman"/>
                <w:color w:val="000000"/>
              </w:rPr>
            </w:pPr>
            <w:r>
              <w:t>2022-2023</w:t>
            </w:r>
          </w:p>
        </w:tc>
        <w:tc>
          <w:tcPr>
            <w:tcW w:w="1134" w:type="dxa"/>
            <w:tcBorders>
              <w:top w:val="single" w:color="000000" w:sz="4" w:space="0"/>
              <w:left w:val="single" w:color="auto" w:sz="4" w:space="0"/>
              <w:bottom w:val="single" w:color="000000" w:sz="4" w:space="0"/>
              <w:right w:val="single" w:color="auto" w:sz="4" w:space="0"/>
            </w:tcBorders>
          </w:tcPr>
          <w:p>
            <w:pPr>
              <w:widowControl/>
              <w:spacing w:line="259" w:lineRule="auto"/>
              <w:ind w:left="156"/>
              <w:jc w:val="center"/>
              <w:rPr>
                <w:rFonts w:ascii="Times New Roman" w:hAnsi="Times New Roman"/>
                <w:color w:val="000000"/>
              </w:rPr>
            </w:pPr>
            <w:r>
              <w:rPr>
                <w:rFonts w:hint="eastAsia"/>
              </w:rPr>
              <w:t>区住建委</w:t>
            </w:r>
          </w:p>
        </w:tc>
        <w:tc>
          <w:tcPr>
            <w:tcW w:w="851" w:type="dxa"/>
            <w:vMerge w:val="continue"/>
            <w:tcBorders>
              <w:top w:val="single" w:color="auto" w:sz="4" w:space="0"/>
              <w:left w:val="single" w:color="auto" w:sz="4" w:space="0"/>
              <w:bottom w:val="single" w:color="auto" w:sz="4" w:space="0"/>
              <w:right w:val="single" w:color="auto" w:sz="4" w:space="0"/>
            </w:tcBorders>
            <w:vAlign w:val="center"/>
          </w:tcPr>
          <w:p>
            <w:pPr>
              <w:widowControl/>
              <w:spacing w:line="259" w:lineRule="auto"/>
              <w:ind w:left="154"/>
              <w:jc w:val="center"/>
              <w:rPr>
                <w:rFonts w:ascii="Times New Roman" w:hAnsi="Times New Roman"/>
                <w:color w:val="000000"/>
              </w:rPr>
            </w:pPr>
          </w:p>
        </w:tc>
        <w:tc>
          <w:tcPr>
            <w:tcW w:w="1315" w:type="dxa"/>
            <w:vMerge w:val="continue"/>
            <w:tcBorders>
              <w:left w:val="single" w:color="auto" w:sz="4" w:space="0"/>
              <w:right w:val="single" w:color="000000" w:sz="4" w:space="0"/>
            </w:tcBorders>
            <w:vAlign w:val="center"/>
          </w:tcPr>
          <w:p>
            <w:pPr>
              <w:widowControl/>
              <w:spacing w:line="259" w:lineRule="auto"/>
              <w:ind w:left="151"/>
              <w:jc w:val="center"/>
              <w:rPr>
                <w:rFonts w:ascii="Times New Roman" w:hAnsi="Times New Roman"/>
                <w:color w:val="000000"/>
              </w:rPr>
            </w:pPr>
          </w:p>
        </w:tc>
      </w:tr>
      <w:tr>
        <w:tblPrEx>
          <w:tblCellMar>
            <w:top w:w="13" w:type="dxa"/>
            <w:left w:w="10" w:type="dxa"/>
            <w:bottom w:w="8" w:type="dxa"/>
            <w:right w:w="115" w:type="dxa"/>
          </w:tblCellMar>
        </w:tblPrEx>
        <w:trPr>
          <w:trHeight w:val="466" w:hRule="atLeast"/>
        </w:trPr>
        <w:tc>
          <w:tcPr>
            <w:tcW w:w="0" w:type="auto"/>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157"/>
              <w:jc w:val="center"/>
              <w:rPr>
                <w:rFonts w:ascii="Times New Roman" w:hAnsi="Times New Roman"/>
                <w:color w:val="000000"/>
                <w:szCs w:val="21"/>
              </w:rPr>
            </w:pPr>
            <w:r>
              <w:rPr>
                <w:rFonts w:ascii="Times New Roman" w:hAnsi="Times New Roman"/>
                <w:color w:val="000000"/>
                <w:szCs w:val="21"/>
              </w:rPr>
              <w:t>17</w:t>
            </w:r>
          </w:p>
        </w:tc>
        <w:tc>
          <w:tcPr>
            <w:tcW w:w="0" w:type="auto"/>
            <w:tcBorders>
              <w:top w:val="single" w:color="auto" w:sz="4" w:space="0"/>
              <w:left w:val="single" w:color="auto" w:sz="4" w:space="0"/>
              <w:bottom w:val="single" w:color="auto" w:sz="4" w:space="0"/>
              <w:right w:val="single" w:color="auto" w:sz="4" w:space="0"/>
            </w:tcBorders>
            <w:vAlign w:val="center"/>
          </w:tcPr>
          <w:p>
            <w:pPr>
              <w:widowControl/>
              <w:spacing w:line="259" w:lineRule="auto"/>
              <w:ind w:left="154"/>
              <w:jc w:val="center"/>
              <w:rPr>
                <w:rFonts w:ascii="Times New Roman" w:hAnsi="Times New Roman"/>
                <w:color w:val="000000"/>
              </w:rPr>
            </w:pPr>
            <w:r>
              <w:rPr>
                <w:rFonts w:hint="eastAsia"/>
              </w:rPr>
              <w:t>丝绸厂</w:t>
            </w:r>
            <w:r>
              <w:t>C</w:t>
            </w:r>
            <w:r>
              <w:rPr>
                <w:rFonts w:hint="eastAsia"/>
              </w:rPr>
              <w:t>线</w:t>
            </w:r>
          </w:p>
        </w:tc>
        <w:tc>
          <w:tcPr>
            <w:tcW w:w="6733" w:type="dxa"/>
            <w:tcBorders>
              <w:top w:val="single" w:color="auto" w:sz="4" w:space="0"/>
              <w:left w:val="single" w:color="auto" w:sz="4" w:space="0"/>
              <w:bottom w:val="single" w:color="auto" w:sz="4" w:space="0"/>
              <w:right w:val="single" w:color="auto" w:sz="4" w:space="0"/>
            </w:tcBorders>
            <w:vAlign w:val="center"/>
          </w:tcPr>
          <w:p>
            <w:pPr>
              <w:widowControl/>
              <w:spacing w:line="259" w:lineRule="auto"/>
              <w:ind w:left="154"/>
              <w:jc w:val="center"/>
              <w:rPr>
                <w:rFonts w:ascii="Times New Roman" w:hAnsi="Times New Roman"/>
                <w:color w:val="000000"/>
              </w:rPr>
            </w:pPr>
            <w:r>
              <w:rPr>
                <w:rFonts w:hint="eastAsia"/>
              </w:rPr>
              <w:t>全长</w:t>
            </w:r>
            <w:r>
              <w:t>525.493m</w:t>
            </w:r>
            <w:r>
              <w:rPr>
                <w:rFonts w:hint="eastAsia"/>
              </w:rPr>
              <w:t>，双向两车道，标准路幅宽度</w:t>
            </w:r>
            <w:r>
              <w:t>16m</w:t>
            </w:r>
            <w:r>
              <w:rPr>
                <w:rFonts w:hint="eastAsia"/>
              </w:rPr>
              <w:t>，人行道采用透水铺装。</w:t>
            </w:r>
          </w:p>
        </w:tc>
        <w:tc>
          <w:tcPr>
            <w:tcW w:w="1192" w:type="dxa"/>
            <w:tcBorders>
              <w:top w:val="single" w:color="auto" w:sz="4" w:space="0"/>
              <w:bottom w:val="single" w:color="auto" w:sz="4" w:space="0"/>
              <w:right w:val="single" w:color="auto" w:sz="4" w:space="0"/>
            </w:tcBorders>
            <w:vAlign w:val="center"/>
          </w:tcPr>
          <w:p>
            <w:pPr>
              <w:widowControl/>
              <w:spacing w:line="259" w:lineRule="auto"/>
              <w:ind w:left="151"/>
              <w:jc w:val="center"/>
              <w:rPr>
                <w:rFonts w:ascii="Times New Roman" w:hAnsi="Times New Roman"/>
                <w:color w:val="000000"/>
              </w:rPr>
            </w:pPr>
            <w:r>
              <w:t>2022-2023</w:t>
            </w:r>
          </w:p>
        </w:tc>
        <w:tc>
          <w:tcPr>
            <w:tcW w:w="1134" w:type="dxa"/>
            <w:tcBorders>
              <w:top w:val="single" w:color="000000" w:sz="4" w:space="0"/>
              <w:left w:val="single" w:color="auto" w:sz="4" w:space="0"/>
              <w:bottom w:val="single" w:color="000000" w:sz="4" w:space="0"/>
              <w:right w:val="single" w:color="auto" w:sz="4" w:space="0"/>
            </w:tcBorders>
          </w:tcPr>
          <w:p>
            <w:pPr>
              <w:widowControl/>
              <w:spacing w:line="259" w:lineRule="auto"/>
              <w:ind w:left="156"/>
              <w:jc w:val="center"/>
              <w:rPr>
                <w:rFonts w:ascii="Times New Roman" w:hAnsi="Times New Roman"/>
                <w:color w:val="000000"/>
              </w:rPr>
            </w:pPr>
            <w:r>
              <w:rPr>
                <w:rFonts w:hint="eastAsia"/>
              </w:rPr>
              <w:t>区住建委</w:t>
            </w:r>
          </w:p>
        </w:tc>
        <w:tc>
          <w:tcPr>
            <w:tcW w:w="851" w:type="dxa"/>
            <w:vMerge w:val="continue"/>
            <w:tcBorders>
              <w:top w:val="single" w:color="auto" w:sz="4" w:space="0"/>
              <w:left w:val="single" w:color="auto" w:sz="4" w:space="0"/>
              <w:bottom w:val="single" w:color="auto" w:sz="4" w:space="0"/>
              <w:right w:val="single" w:color="auto" w:sz="4" w:space="0"/>
            </w:tcBorders>
            <w:vAlign w:val="center"/>
          </w:tcPr>
          <w:p>
            <w:pPr>
              <w:widowControl/>
              <w:spacing w:line="259" w:lineRule="auto"/>
              <w:ind w:left="154"/>
              <w:jc w:val="center"/>
              <w:rPr>
                <w:rFonts w:ascii="Times New Roman" w:hAnsi="Times New Roman"/>
                <w:color w:val="000000"/>
              </w:rPr>
            </w:pPr>
          </w:p>
        </w:tc>
        <w:tc>
          <w:tcPr>
            <w:tcW w:w="1315" w:type="dxa"/>
            <w:vMerge w:val="continue"/>
            <w:tcBorders>
              <w:left w:val="single" w:color="auto" w:sz="4" w:space="0"/>
              <w:bottom w:val="single" w:color="000000" w:sz="4" w:space="0"/>
              <w:right w:val="single" w:color="000000" w:sz="4" w:space="0"/>
            </w:tcBorders>
            <w:vAlign w:val="center"/>
          </w:tcPr>
          <w:p>
            <w:pPr>
              <w:widowControl/>
              <w:spacing w:line="259" w:lineRule="auto"/>
              <w:ind w:left="151"/>
              <w:jc w:val="center"/>
              <w:rPr>
                <w:rFonts w:ascii="Times New Roman" w:hAnsi="Times New Roman"/>
                <w:color w:val="000000"/>
              </w:rPr>
            </w:pPr>
          </w:p>
        </w:tc>
      </w:tr>
      <w:tr>
        <w:tblPrEx>
          <w:tblCellMar>
            <w:top w:w="13" w:type="dxa"/>
            <w:left w:w="10" w:type="dxa"/>
            <w:bottom w:w="8" w:type="dxa"/>
            <w:right w:w="115" w:type="dxa"/>
          </w:tblCellMar>
        </w:tblPrEx>
        <w:trPr>
          <w:trHeight w:val="466" w:hRule="atLeast"/>
        </w:trPr>
        <w:tc>
          <w:tcPr>
            <w:tcW w:w="0" w:type="auto"/>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157"/>
              <w:jc w:val="center"/>
              <w:rPr>
                <w:rFonts w:ascii="Times New Roman" w:hAnsi="Times New Roman"/>
                <w:color w:val="000000"/>
                <w:szCs w:val="21"/>
              </w:rPr>
            </w:pPr>
            <w:r>
              <w:rPr>
                <w:rFonts w:ascii="Times New Roman" w:hAnsi="Times New Roman"/>
                <w:color w:val="000000"/>
                <w:szCs w:val="21"/>
              </w:rPr>
              <w:t>18</w:t>
            </w:r>
          </w:p>
        </w:tc>
        <w:tc>
          <w:tcPr>
            <w:tcW w:w="0" w:type="auto"/>
            <w:tcBorders>
              <w:top w:val="single" w:color="auto" w:sz="4" w:space="0"/>
              <w:left w:val="single" w:color="auto" w:sz="4" w:space="0"/>
              <w:bottom w:val="single" w:color="auto" w:sz="4" w:space="0"/>
              <w:right w:val="single" w:color="auto" w:sz="4" w:space="0"/>
            </w:tcBorders>
            <w:vAlign w:val="center"/>
          </w:tcPr>
          <w:p>
            <w:pPr>
              <w:widowControl/>
              <w:spacing w:line="259" w:lineRule="auto"/>
              <w:ind w:left="154"/>
              <w:jc w:val="center"/>
              <w:rPr>
                <w:rFonts w:ascii="Times New Roman" w:hAnsi="Times New Roman"/>
                <w:color w:val="000000"/>
              </w:rPr>
            </w:pPr>
            <w:r>
              <w:rPr>
                <w:rFonts w:hint="eastAsia"/>
              </w:rPr>
              <w:t>丝绸厂</w:t>
            </w:r>
            <w:r>
              <w:t>D</w:t>
            </w:r>
            <w:r>
              <w:rPr>
                <w:rFonts w:hint="eastAsia"/>
              </w:rPr>
              <w:t>线</w:t>
            </w:r>
          </w:p>
        </w:tc>
        <w:tc>
          <w:tcPr>
            <w:tcW w:w="6733" w:type="dxa"/>
            <w:tcBorders>
              <w:top w:val="single" w:color="auto" w:sz="4" w:space="0"/>
              <w:left w:val="single" w:color="auto" w:sz="4" w:space="0"/>
              <w:bottom w:val="single" w:color="auto" w:sz="4" w:space="0"/>
              <w:right w:val="single" w:color="auto" w:sz="4" w:space="0"/>
            </w:tcBorders>
            <w:vAlign w:val="center"/>
          </w:tcPr>
          <w:p>
            <w:pPr>
              <w:widowControl/>
              <w:spacing w:line="259" w:lineRule="auto"/>
              <w:ind w:left="154"/>
              <w:jc w:val="center"/>
              <w:rPr>
                <w:rFonts w:ascii="Times New Roman" w:hAnsi="Times New Roman"/>
                <w:color w:val="000000"/>
              </w:rPr>
            </w:pPr>
            <w:r>
              <w:rPr>
                <w:rFonts w:hint="eastAsia"/>
              </w:rPr>
              <w:t>全长</w:t>
            </w:r>
            <w:r>
              <w:t>262.7047m</w:t>
            </w:r>
            <w:r>
              <w:rPr>
                <w:rFonts w:hint="eastAsia"/>
              </w:rPr>
              <w:t>，双向两车道，标准路幅宽度</w:t>
            </w:r>
            <w:r>
              <w:t>16m</w:t>
            </w:r>
            <w:r>
              <w:rPr>
                <w:rFonts w:hint="eastAsia"/>
              </w:rPr>
              <w:t>，人行道采用透水铺装。</w:t>
            </w:r>
          </w:p>
        </w:tc>
        <w:tc>
          <w:tcPr>
            <w:tcW w:w="1192" w:type="dxa"/>
            <w:tcBorders>
              <w:top w:val="single" w:color="auto" w:sz="4" w:space="0"/>
              <w:left w:val="single" w:color="auto" w:sz="4" w:space="0"/>
              <w:bottom w:val="single" w:color="000000" w:sz="4" w:space="0"/>
              <w:right w:val="single" w:color="000000" w:sz="4" w:space="0"/>
            </w:tcBorders>
          </w:tcPr>
          <w:p>
            <w:pPr>
              <w:widowControl/>
              <w:spacing w:line="259" w:lineRule="auto"/>
              <w:ind w:left="151"/>
              <w:jc w:val="center"/>
              <w:rPr>
                <w:rFonts w:ascii="Times New Roman" w:hAnsi="Times New Roman"/>
                <w:color w:val="000000"/>
              </w:rPr>
            </w:pPr>
            <w:r>
              <w:t>2022-2023</w:t>
            </w:r>
          </w:p>
        </w:tc>
        <w:tc>
          <w:tcPr>
            <w:tcW w:w="1134" w:type="dxa"/>
            <w:tcBorders>
              <w:top w:val="single" w:color="000000" w:sz="4" w:space="0"/>
              <w:left w:val="single" w:color="000000" w:sz="4" w:space="0"/>
              <w:bottom w:val="single" w:color="000000" w:sz="4" w:space="0"/>
              <w:right w:val="single" w:color="auto" w:sz="4" w:space="0"/>
            </w:tcBorders>
          </w:tcPr>
          <w:p>
            <w:pPr>
              <w:widowControl/>
              <w:spacing w:line="259" w:lineRule="auto"/>
              <w:ind w:left="156"/>
              <w:jc w:val="center"/>
              <w:rPr>
                <w:rFonts w:ascii="Times New Roman" w:hAnsi="Times New Roman"/>
                <w:color w:val="000000"/>
              </w:rPr>
            </w:pPr>
            <w:r>
              <w:rPr>
                <w:rFonts w:hint="eastAsia"/>
              </w:rPr>
              <w:t>区住建委</w:t>
            </w:r>
          </w:p>
        </w:tc>
        <w:tc>
          <w:tcPr>
            <w:tcW w:w="851" w:type="dxa"/>
            <w:vMerge w:val="continue"/>
            <w:tcBorders>
              <w:top w:val="single" w:color="auto" w:sz="4" w:space="0"/>
              <w:left w:val="single" w:color="auto" w:sz="4" w:space="0"/>
              <w:bottom w:val="single" w:color="auto" w:sz="4" w:space="0"/>
              <w:right w:val="single" w:color="auto" w:sz="4" w:space="0"/>
            </w:tcBorders>
            <w:vAlign w:val="center"/>
          </w:tcPr>
          <w:p>
            <w:pPr>
              <w:widowControl/>
              <w:spacing w:line="259" w:lineRule="auto"/>
              <w:ind w:left="154"/>
              <w:jc w:val="center"/>
              <w:rPr>
                <w:rFonts w:ascii="Times New Roman" w:hAnsi="Times New Roman"/>
                <w:color w:val="000000"/>
              </w:rPr>
            </w:pPr>
          </w:p>
        </w:tc>
        <w:tc>
          <w:tcPr>
            <w:tcW w:w="1315" w:type="dxa"/>
            <w:vMerge w:val="restart"/>
            <w:tcBorders>
              <w:top w:val="single" w:color="000000" w:sz="4" w:space="0"/>
              <w:left w:val="single" w:color="auto" w:sz="4" w:space="0"/>
              <w:right w:val="single" w:color="000000" w:sz="4" w:space="0"/>
            </w:tcBorders>
            <w:vAlign w:val="center"/>
          </w:tcPr>
          <w:p>
            <w:pPr>
              <w:widowControl/>
              <w:spacing w:line="259" w:lineRule="auto"/>
              <w:ind w:left="151"/>
              <w:jc w:val="center"/>
              <w:rPr>
                <w:rFonts w:ascii="Times New Roman" w:hAnsi="Times New Roman"/>
                <w:color w:val="000000"/>
              </w:rPr>
            </w:pPr>
            <w:r>
              <w:rPr>
                <w:rFonts w:hint="eastAsia" w:ascii="宋体" w:hAnsi="宋体" w:cs="宋体"/>
              </w:rPr>
              <w:t>已列入《渝北区“十四五”城市基础设施专项规划》</w:t>
            </w:r>
          </w:p>
        </w:tc>
      </w:tr>
      <w:tr>
        <w:tblPrEx>
          <w:tblCellMar>
            <w:top w:w="13" w:type="dxa"/>
            <w:left w:w="10" w:type="dxa"/>
            <w:bottom w:w="8" w:type="dxa"/>
            <w:right w:w="115" w:type="dxa"/>
          </w:tblCellMar>
        </w:tblPrEx>
        <w:trPr>
          <w:trHeight w:val="466" w:hRule="atLeast"/>
        </w:trPr>
        <w:tc>
          <w:tcPr>
            <w:tcW w:w="0" w:type="auto"/>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157"/>
              <w:jc w:val="center"/>
              <w:rPr>
                <w:rFonts w:ascii="Times New Roman" w:hAnsi="Times New Roman"/>
                <w:color w:val="000000"/>
                <w:szCs w:val="21"/>
              </w:rPr>
            </w:pPr>
            <w:r>
              <w:rPr>
                <w:rFonts w:ascii="Times New Roman" w:hAnsi="Times New Roman"/>
                <w:color w:val="000000"/>
                <w:szCs w:val="21"/>
              </w:rPr>
              <w:t>19</w:t>
            </w:r>
          </w:p>
        </w:tc>
        <w:tc>
          <w:tcPr>
            <w:tcW w:w="0" w:type="auto"/>
            <w:tcBorders>
              <w:top w:val="single" w:color="auto" w:sz="4" w:space="0"/>
              <w:left w:val="single" w:color="auto" w:sz="4" w:space="0"/>
              <w:bottom w:val="single" w:color="auto" w:sz="4" w:space="0"/>
              <w:right w:val="single" w:color="auto" w:sz="4" w:space="0"/>
            </w:tcBorders>
            <w:vAlign w:val="center"/>
          </w:tcPr>
          <w:p>
            <w:pPr>
              <w:widowControl/>
              <w:spacing w:line="259" w:lineRule="auto"/>
              <w:ind w:left="154"/>
              <w:jc w:val="center"/>
              <w:rPr>
                <w:rFonts w:ascii="Times New Roman" w:hAnsi="Times New Roman"/>
                <w:color w:val="000000"/>
              </w:rPr>
            </w:pPr>
            <w:r>
              <w:rPr>
                <w:rFonts w:hint="eastAsia"/>
              </w:rPr>
              <w:t>丝绸厂</w:t>
            </w:r>
            <w:r>
              <w:t>E</w:t>
            </w:r>
            <w:r>
              <w:rPr>
                <w:rFonts w:hint="eastAsia"/>
              </w:rPr>
              <w:t>线</w:t>
            </w:r>
          </w:p>
        </w:tc>
        <w:tc>
          <w:tcPr>
            <w:tcW w:w="6733" w:type="dxa"/>
            <w:tcBorders>
              <w:top w:val="single" w:color="auto" w:sz="4" w:space="0"/>
              <w:left w:val="single" w:color="auto" w:sz="4" w:space="0"/>
              <w:bottom w:val="single" w:color="auto" w:sz="4" w:space="0"/>
              <w:right w:val="single" w:color="auto" w:sz="4" w:space="0"/>
            </w:tcBorders>
            <w:vAlign w:val="center"/>
          </w:tcPr>
          <w:p>
            <w:pPr>
              <w:widowControl/>
              <w:spacing w:line="259" w:lineRule="auto"/>
              <w:ind w:left="154"/>
              <w:jc w:val="center"/>
              <w:rPr>
                <w:rFonts w:ascii="Times New Roman" w:hAnsi="Times New Roman"/>
                <w:color w:val="000000"/>
              </w:rPr>
            </w:pPr>
            <w:r>
              <w:rPr>
                <w:rFonts w:hint="eastAsia"/>
              </w:rPr>
              <w:t>全长</w:t>
            </w:r>
            <w:r>
              <w:t>617.471m</w:t>
            </w:r>
            <w:r>
              <w:rPr>
                <w:rFonts w:hint="eastAsia"/>
              </w:rPr>
              <w:t>，双向两车道，标准路幅宽度</w:t>
            </w:r>
            <w:r>
              <w:t>26m</w:t>
            </w:r>
            <w:r>
              <w:rPr>
                <w:rFonts w:hint="eastAsia"/>
              </w:rPr>
              <w:t>，人行道采用透水铺装。</w:t>
            </w:r>
          </w:p>
        </w:tc>
        <w:tc>
          <w:tcPr>
            <w:tcW w:w="1192" w:type="dxa"/>
            <w:tcBorders>
              <w:top w:val="single" w:color="000000" w:sz="4" w:space="0"/>
              <w:left w:val="single" w:color="auto" w:sz="4" w:space="0"/>
              <w:bottom w:val="single" w:color="000000" w:sz="4" w:space="0"/>
              <w:right w:val="single" w:color="000000" w:sz="4" w:space="0"/>
            </w:tcBorders>
          </w:tcPr>
          <w:p>
            <w:pPr>
              <w:widowControl/>
              <w:spacing w:line="259" w:lineRule="auto"/>
              <w:ind w:left="151"/>
              <w:jc w:val="center"/>
              <w:rPr>
                <w:rFonts w:ascii="Times New Roman" w:hAnsi="Times New Roman"/>
                <w:color w:val="000000"/>
              </w:rPr>
            </w:pPr>
            <w:r>
              <w:t>2022-2023</w:t>
            </w:r>
          </w:p>
        </w:tc>
        <w:tc>
          <w:tcPr>
            <w:tcW w:w="1134" w:type="dxa"/>
            <w:tcBorders>
              <w:top w:val="single" w:color="000000" w:sz="4" w:space="0"/>
              <w:left w:val="single" w:color="000000" w:sz="4" w:space="0"/>
              <w:bottom w:val="single" w:color="000000" w:sz="4" w:space="0"/>
              <w:right w:val="single" w:color="auto" w:sz="4" w:space="0"/>
            </w:tcBorders>
          </w:tcPr>
          <w:p>
            <w:pPr>
              <w:widowControl/>
              <w:spacing w:line="259" w:lineRule="auto"/>
              <w:ind w:left="156"/>
              <w:jc w:val="center"/>
              <w:rPr>
                <w:rFonts w:ascii="Times New Roman" w:hAnsi="Times New Roman"/>
                <w:color w:val="000000"/>
              </w:rPr>
            </w:pPr>
            <w:r>
              <w:rPr>
                <w:rFonts w:hint="eastAsia"/>
              </w:rPr>
              <w:t>区住建委</w:t>
            </w:r>
          </w:p>
        </w:tc>
        <w:tc>
          <w:tcPr>
            <w:tcW w:w="851" w:type="dxa"/>
            <w:vMerge w:val="continue"/>
            <w:tcBorders>
              <w:top w:val="single" w:color="auto" w:sz="4" w:space="0"/>
              <w:left w:val="single" w:color="auto" w:sz="4" w:space="0"/>
              <w:bottom w:val="single" w:color="auto" w:sz="4" w:space="0"/>
              <w:right w:val="single" w:color="auto" w:sz="4" w:space="0"/>
            </w:tcBorders>
            <w:vAlign w:val="center"/>
          </w:tcPr>
          <w:p>
            <w:pPr>
              <w:widowControl/>
              <w:spacing w:line="259" w:lineRule="auto"/>
              <w:ind w:left="154"/>
              <w:jc w:val="center"/>
              <w:rPr>
                <w:rFonts w:ascii="Times New Roman" w:hAnsi="Times New Roman"/>
                <w:color w:val="000000"/>
              </w:rPr>
            </w:pPr>
          </w:p>
        </w:tc>
        <w:tc>
          <w:tcPr>
            <w:tcW w:w="1315" w:type="dxa"/>
            <w:vMerge w:val="continue"/>
            <w:tcBorders>
              <w:left w:val="single" w:color="auto" w:sz="4" w:space="0"/>
              <w:right w:val="single" w:color="000000" w:sz="4" w:space="0"/>
            </w:tcBorders>
            <w:vAlign w:val="center"/>
          </w:tcPr>
          <w:p>
            <w:pPr>
              <w:widowControl/>
              <w:spacing w:line="259" w:lineRule="auto"/>
              <w:ind w:left="151"/>
              <w:jc w:val="center"/>
              <w:rPr>
                <w:rFonts w:ascii="Times New Roman" w:hAnsi="Times New Roman"/>
                <w:color w:val="000000"/>
              </w:rPr>
            </w:pPr>
          </w:p>
        </w:tc>
      </w:tr>
      <w:tr>
        <w:tblPrEx>
          <w:tblCellMar>
            <w:top w:w="13" w:type="dxa"/>
            <w:left w:w="10" w:type="dxa"/>
            <w:bottom w:w="8" w:type="dxa"/>
            <w:right w:w="115" w:type="dxa"/>
          </w:tblCellMar>
        </w:tblPrEx>
        <w:trPr>
          <w:trHeight w:val="466" w:hRule="atLeast"/>
        </w:trPr>
        <w:tc>
          <w:tcPr>
            <w:tcW w:w="0" w:type="auto"/>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157"/>
              <w:jc w:val="center"/>
              <w:rPr>
                <w:rFonts w:ascii="Times New Roman" w:hAnsi="Times New Roman"/>
                <w:color w:val="000000"/>
                <w:szCs w:val="21"/>
              </w:rPr>
            </w:pPr>
            <w:r>
              <w:rPr>
                <w:rFonts w:ascii="Times New Roman" w:hAnsi="Times New Roman"/>
                <w:color w:val="000000"/>
                <w:szCs w:val="21"/>
              </w:rPr>
              <w:t>20</w:t>
            </w:r>
          </w:p>
        </w:tc>
        <w:tc>
          <w:tcPr>
            <w:tcW w:w="0" w:type="auto"/>
            <w:tcBorders>
              <w:top w:val="single" w:color="auto" w:sz="4" w:space="0"/>
              <w:left w:val="single" w:color="auto" w:sz="4" w:space="0"/>
              <w:bottom w:val="single" w:color="auto" w:sz="4" w:space="0"/>
              <w:right w:val="single" w:color="auto" w:sz="4" w:space="0"/>
            </w:tcBorders>
            <w:vAlign w:val="center"/>
          </w:tcPr>
          <w:p>
            <w:pPr>
              <w:widowControl/>
              <w:spacing w:line="259" w:lineRule="auto"/>
              <w:ind w:left="154"/>
              <w:jc w:val="center"/>
              <w:rPr>
                <w:rFonts w:ascii="Times New Roman" w:hAnsi="Times New Roman"/>
                <w:color w:val="000000"/>
              </w:rPr>
            </w:pPr>
            <w:r>
              <w:rPr>
                <w:rFonts w:hint="eastAsia"/>
              </w:rPr>
              <w:t>孟春路南段</w:t>
            </w:r>
          </w:p>
        </w:tc>
        <w:tc>
          <w:tcPr>
            <w:tcW w:w="6733" w:type="dxa"/>
            <w:tcBorders>
              <w:top w:val="single" w:color="auto" w:sz="4" w:space="0"/>
              <w:left w:val="single" w:color="auto" w:sz="4" w:space="0"/>
              <w:bottom w:val="single" w:color="auto" w:sz="4" w:space="0"/>
              <w:right w:val="single" w:color="auto" w:sz="4" w:space="0"/>
            </w:tcBorders>
            <w:vAlign w:val="center"/>
          </w:tcPr>
          <w:p>
            <w:pPr>
              <w:widowControl/>
              <w:spacing w:line="259" w:lineRule="auto"/>
              <w:ind w:left="154"/>
              <w:jc w:val="center"/>
              <w:rPr>
                <w:rFonts w:ascii="Times New Roman" w:hAnsi="Times New Roman"/>
                <w:color w:val="000000"/>
              </w:rPr>
            </w:pPr>
            <w:r>
              <w:rPr>
                <w:rFonts w:hint="eastAsia"/>
              </w:rPr>
              <w:t>本项目道路属于城市支路，全长</w:t>
            </w:r>
            <w:r>
              <w:t>196.178m</w:t>
            </w:r>
            <w:r>
              <w:rPr>
                <w:rFonts w:hint="eastAsia"/>
              </w:rPr>
              <w:t>，双向两车道，标准路幅宽度</w:t>
            </w:r>
            <w:r>
              <w:t>18m</w:t>
            </w:r>
            <w:r>
              <w:rPr>
                <w:rFonts w:hint="eastAsia"/>
              </w:rPr>
              <w:t>，人行道采用透水铺装。</w:t>
            </w:r>
          </w:p>
        </w:tc>
        <w:tc>
          <w:tcPr>
            <w:tcW w:w="1192" w:type="dxa"/>
            <w:tcBorders>
              <w:top w:val="single" w:color="000000" w:sz="4" w:space="0"/>
              <w:left w:val="single" w:color="auto" w:sz="4" w:space="0"/>
              <w:bottom w:val="single" w:color="000000" w:sz="4" w:space="0"/>
              <w:right w:val="single" w:color="000000" w:sz="4" w:space="0"/>
            </w:tcBorders>
          </w:tcPr>
          <w:p>
            <w:pPr>
              <w:widowControl/>
              <w:spacing w:line="259" w:lineRule="auto"/>
              <w:ind w:left="151"/>
              <w:jc w:val="center"/>
              <w:rPr>
                <w:rFonts w:ascii="Times New Roman" w:hAnsi="Times New Roman"/>
                <w:color w:val="000000"/>
              </w:rPr>
            </w:pPr>
            <w:r>
              <w:t>2022-2023</w:t>
            </w:r>
          </w:p>
        </w:tc>
        <w:tc>
          <w:tcPr>
            <w:tcW w:w="1134" w:type="dxa"/>
            <w:tcBorders>
              <w:top w:val="single" w:color="000000" w:sz="4" w:space="0"/>
              <w:left w:val="single" w:color="000000" w:sz="4" w:space="0"/>
              <w:bottom w:val="single" w:color="000000" w:sz="4" w:space="0"/>
              <w:right w:val="single" w:color="auto" w:sz="4" w:space="0"/>
            </w:tcBorders>
          </w:tcPr>
          <w:p>
            <w:pPr>
              <w:widowControl/>
              <w:spacing w:line="259" w:lineRule="auto"/>
              <w:ind w:left="156"/>
              <w:jc w:val="center"/>
              <w:rPr>
                <w:rFonts w:ascii="Times New Roman" w:hAnsi="Times New Roman"/>
                <w:color w:val="000000"/>
              </w:rPr>
            </w:pPr>
            <w:r>
              <w:rPr>
                <w:rFonts w:hint="eastAsia"/>
              </w:rPr>
              <w:t>区住建委</w:t>
            </w:r>
          </w:p>
        </w:tc>
        <w:tc>
          <w:tcPr>
            <w:tcW w:w="851" w:type="dxa"/>
            <w:vMerge w:val="continue"/>
            <w:tcBorders>
              <w:top w:val="single" w:color="auto" w:sz="4" w:space="0"/>
              <w:left w:val="single" w:color="auto" w:sz="4" w:space="0"/>
              <w:bottom w:val="single" w:color="auto" w:sz="4" w:space="0"/>
              <w:right w:val="single" w:color="auto" w:sz="4" w:space="0"/>
            </w:tcBorders>
            <w:vAlign w:val="center"/>
          </w:tcPr>
          <w:p>
            <w:pPr>
              <w:widowControl/>
              <w:spacing w:line="259" w:lineRule="auto"/>
              <w:ind w:left="154"/>
              <w:jc w:val="center"/>
              <w:rPr>
                <w:rFonts w:ascii="Times New Roman" w:hAnsi="Times New Roman"/>
                <w:color w:val="000000"/>
              </w:rPr>
            </w:pPr>
          </w:p>
        </w:tc>
        <w:tc>
          <w:tcPr>
            <w:tcW w:w="1315" w:type="dxa"/>
            <w:vMerge w:val="continue"/>
            <w:tcBorders>
              <w:left w:val="single" w:color="auto" w:sz="4" w:space="0"/>
              <w:right w:val="single" w:color="000000" w:sz="4" w:space="0"/>
            </w:tcBorders>
            <w:vAlign w:val="center"/>
          </w:tcPr>
          <w:p>
            <w:pPr>
              <w:widowControl/>
              <w:spacing w:line="259" w:lineRule="auto"/>
              <w:ind w:left="151"/>
              <w:jc w:val="center"/>
              <w:rPr>
                <w:rFonts w:ascii="Times New Roman" w:hAnsi="Times New Roman"/>
                <w:color w:val="000000"/>
              </w:rPr>
            </w:pPr>
          </w:p>
        </w:tc>
      </w:tr>
      <w:tr>
        <w:tblPrEx>
          <w:tblCellMar>
            <w:top w:w="13" w:type="dxa"/>
            <w:left w:w="10" w:type="dxa"/>
            <w:bottom w:w="8" w:type="dxa"/>
            <w:right w:w="115" w:type="dxa"/>
          </w:tblCellMar>
        </w:tblPrEx>
        <w:trPr>
          <w:trHeight w:val="466" w:hRule="atLeast"/>
        </w:trPr>
        <w:tc>
          <w:tcPr>
            <w:tcW w:w="0" w:type="auto"/>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157"/>
              <w:jc w:val="center"/>
              <w:rPr>
                <w:rFonts w:ascii="Times New Roman" w:hAnsi="Times New Roman"/>
                <w:color w:val="000000"/>
                <w:szCs w:val="21"/>
              </w:rPr>
            </w:pPr>
            <w:r>
              <w:rPr>
                <w:rFonts w:ascii="Times New Roman" w:hAnsi="Times New Roman"/>
                <w:color w:val="000000"/>
                <w:szCs w:val="21"/>
              </w:rPr>
              <w:t>21</w:t>
            </w:r>
          </w:p>
        </w:tc>
        <w:tc>
          <w:tcPr>
            <w:tcW w:w="0" w:type="auto"/>
            <w:tcBorders>
              <w:top w:val="single" w:color="auto" w:sz="4" w:space="0"/>
              <w:left w:val="single" w:color="auto" w:sz="4" w:space="0"/>
              <w:bottom w:val="single" w:color="auto" w:sz="4" w:space="0"/>
              <w:right w:val="single" w:color="auto" w:sz="4" w:space="0"/>
            </w:tcBorders>
            <w:vAlign w:val="center"/>
          </w:tcPr>
          <w:p>
            <w:pPr>
              <w:widowControl/>
              <w:spacing w:line="259" w:lineRule="auto"/>
              <w:ind w:left="154"/>
              <w:jc w:val="center"/>
              <w:rPr>
                <w:rFonts w:ascii="Times New Roman" w:hAnsi="Times New Roman"/>
                <w:color w:val="000000"/>
              </w:rPr>
            </w:pPr>
            <w:r>
              <w:rPr>
                <w:rFonts w:hint="eastAsia"/>
              </w:rPr>
              <w:t>中航翡翠城小学支路</w:t>
            </w:r>
          </w:p>
        </w:tc>
        <w:tc>
          <w:tcPr>
            <w:tcW w:w="6733" w:type="dxa"/>
            <w:tcBorders>
              <w:top w:val="single" w:color="auto" w:sz="4" w:space="0"/>
              <w:left w:val="single" w:color="auto" w:sz="4" w:space="0"/>
              <w:bottom w:val="single" w:color="auto" w:sz="4" w:space="0"/>
              <w:right w:val="single" w:color="auto" w:sz="4" w:space="0"/>
            </w:tcBorders>
            <w:vAlign w:val="center"/>
          </w:tcPr>
          <w:p>
            <w:pPr>
              <w:widowControl/>
              <w:spacing w:line="259" w:lineRule="auto"/>
              <w:ind w:left="154"/>
              <w:jc w:val="center"/>
              <w:rPr>
                <w:rFonts w:ascii="Times New Roman" w:hAnsi="Times New Roman"/>
                <w:color w:val="000000"/>
              </w:rPr>
            </w:pPr>
            <w:r>
              <w:rPr>
                <w:rFonts w:hint="eastAsia"/>
              </w:rPr>
              <w:t>全长</w:t>
            </w:r>
            <w:r>
              <w:t>331.359m</w:t>
            </w:r>
            <w:r>
              <w:rPr>
                <w:rFonts w:hint="eastAsia"/>
              </w:rPr>
              <w:t>，规划路幅宽</w:t>
            </w:r>
            <w:r>
              <w:t>16m</w:t>
            </w:r>
            <w:r>
              <w:rPr>
                <w:rFonts w:hint="eastAsia"/>
              </w:rPr>
              <w:t>，其中车行道</w:t>
            </w:r>
            <w:r>
              <w:t>8m</w:t>
            </w:r>
            <w:r>
              <w:rPr>
                <w:rFonts w:hint="eastAsia"/>
              </w:rPr>
              <w:t>，人行道宽</w:t>
            </w:r>
            <w:r>
              <w:t>8m</w:t>
            </w:r>
            <w:r>
              <w:rPr>
                <w:rFonts w:hint="eastAsia"/>
              </w:rPr>
              <w:t>，双向两车道，人行道采用透水铺装。</w:t>
            </w:r>
          </w:p>
        </w:tc>
        <w:tc>
          <w:tcPr>
            <w:tcW w:w="1192" w:type="dxa"/>
            <w:tcBorders>
              <w:top w:val="single" w:color="000000" w:sz="4" w:space="0"/>
              <w:left w:val="single" w:color="auto" w:sz="4" w:space="0"/>
              <w:bottom w:val="single" w:color="000000" w:sz="4" w:space="0"/>
              <w:right w:val="single" w:color="000000" w:sz="4" w:space="0"/>
            </w:tcBorders>
          </w:tcPr>
          <w:p>
            <w:pPr>
              <w:widowControl/>
              <w:spacing w:line="259" w:lineRule="auto"/>
              <w:ind w:left="151"/>
              <w:jc w:val="center"/>
              <w:rPr>
                <w:rFonts w:ascii="Times New Roman" w:hAnsi="Times New Roman"/>
                <w:color w:val="000000"/>
              </w:rPr>
            </w:pPr>
            <w:r>
              <w:t>2022-2023</w:t>
            </w:r>
          </w:p>
        </w:tc>
        <w:tc>
          <w:tcPr>
            <w:tcW w:w="1134" w:type="dxa"/>
            <w:tcBorders>
              <w:top w:val="single" w:color="000000" w:sz="4" w:space="0"/>
              <w:left w:val="single" w:color="000000" w:sz="4" w:space="0"/>
              <w:bottom w:val="single" w:color="000000" w:sz="4" w:space="0"/>
              <w:right w:val="single" w:color="auto" w:sz="4" w:space="0"/>
            </w:tcBorders>
          </w:tcPr>
          <w:p>
            <w:pPr>
              <w:widowControl/>
              <w:spacing w:line="259" w:lineRule="auto"/>
              <w:ind w:left="156"/>
              <w:jc w:val="center"/>
              <w:rPr>
                <w:rFonts w:ascii="Times New Roman" w:hAnsi="Times New Roman"/>
                <w:color w:val="000000"/>
              </w:rPr>
            </w:pPr>
            <w:r>
              <w:rPr>
                <w:rFonts w:hint="eastAsia"/>
              </w:rPr>
              <w:t>区住建委</w:t>
            </w:r>
          </w:p>
        </w:tc>
        <w:tc>
          <w:tcPr>
            <w:tcW w:w="851" w:type="dxa"/>
            <w:vMerge w:val="continue"/>
            <w:tcBorders>
              <w:top w:val="single" w:color="auto" w:sz="4" w:space="0"/>
              <w:left w:val="single" w:color="auto" w:sz="4" w:space="0"/>
              <w:bottom w:val="single" w:color="auto" w:sz="4" w:space="0"/>
              <w:right w:val="single" w:color="auto" w:sz="4" w:space="0"/>
            </w:tcBorders>
            <w:vAlign w:val="center"/>
          </w:tcPr>
          <w:p>
            <w:pPr>
              <w:widowControl/>
              <w:spacing w:line="259" w:lineRule="auto"/>
              <w:ind w:left="154"/>
              <w:jc w:val="center"/>
              <w:rPr>
                <w:rFonts w:ascii="Times New Roman" w:hAnsi="Times New Roman"/>
                <w:color w:val="000000"/>
              </w:rPr>
            </w:pPr>
          </w:p>
        </w:tc>
        <w:tc>
          <w:tcPr>
            <w:tcW w:w="1315" w:type="dxa"/>
            <w:vMerge w:val="continue"/>
            <w:tcBorders>
              <w:left w:val="single" w:color="auto" w:sz="4" w:space="0"/>
              <w:bottom w:val="single" w:color="000000" w:sz="4" w:space="0"/>
              <w:right w:val="single" w:color="000000" w:sz="4" w:space="0"/>
            </w:tcBorders>
            <w:vAlign w:val="center"/>
          </w:tcPr>
          <w:p>
            <w:pPr>
              <w:widowControl/>
              <w:spacing w:line="259" w:lineRule="auto"/>
              <w:ind w:left="151"/>
              <w:jc w:val="center"/>
              <w:rPr>
                <w:rFonts w:ascii="Times New Roman" w:hAnsi="Times New Roman"/>
                <w:color w:val="000000"/>
              </w:rPr>
            </w:pPr>
          </w:p>
        </w:tc>
      </w:tr>
      <w:tr>
        <w:tblPrEx>
          <w:tblCellMar>
            <w:top w:w="13" w:type="dxa"/>
            <w:left w:w="10" w:type="dxa"/>
            <w:bottom w:w="8" w:type="dxa"/>
            <w:right w:w="115" w:type="dxa"/>
          </w:tblCellMar>
        </w:tblPrEx>
        <w:trPr>
          <w:trHeight w:val="463" w:hRule="atLeast"/>
        </w:trPr>
        <w:tc>
          <w:tcPr>
            <w:tcW w:w="0" w:type="auto"/>
            <w:gridSpan w:val="2"/>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154"/>
              <w:jc w:val="center"/>
              <w:rPr>
                <w:rFonts w:ascii="Arial Unicode MS" w:hAnsi="Arial Unicode MS" w:eastAsia="Times New Roman" w:cs="Arial Unicode MS"/>
                <w:color w:val="000000"/>
                <w:sz w:val="32"/>
              </w:rPr>
            </w:pPr>
            <w:r>
              <w:rPr>
                <w:rFonts w:hint="eastAsia" w:ascii="宋体" w:hAnsi="宋体" w:cs="宋体"/>
                <w:color w:val="000000"/>
              </w:rPr>
              <w:t>合计</w:t>
            </w:r>
          </w:p>
        </w:tc>
        <w:tc>
          <w:tcPr>
            <w:tcW w:w="6733" w:type="dxa"/>
            <w:tcBorders>
              <w:top w:val="single" w:color="auto" w:sz="4" w:space="0"/>
              <w:left w:val="single" w:color="000000" w:sz="4" w:space="0"/>
              <w:bottom w:val="single" w:color="000000" w:sz="4" w:space="0"/>
              <w:right w:val="single" w:color="000000" w:sz="4" w:space="0"/>
            </w:tcBorders>
            <w:vAlign w:val="center"/>
          </w:tcPr>
          <w:p>
            <w:pPr>
              <w:widowControl/>
              <w:spacing w:line="259" w:lineRule="auto"/>
              <w:ind w:left="154"/>
              <w:jc w:val="center"/>
              <w:rPr>
                <w:rFonts w:ascii="Arial Unicode MS" w:hAnsi="Arial Unicode MS" w:eastAsia="Times New Roman" w:cs="Arial Unicode MS"/>
                <w:color w:val="000000"/>
                <w:sz w:val="32"/>
              </w:rPr>
            </w:pPr>
          </w:p>
        </w:tc>
        <w:tc>
          <w:tcPr>
            <w:tcW w:w="1192"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151"/>
              <w:jc w:val="center"/>
              <w:rPr>
                <w:rFonts w:ascii="Arial Unicode MS" w:hAnsi="Arial Unicode MS" w:eastAsia="Times New Roman" w:cs="Arial Unicode MS"/>
                <w:color w:val="000000"/>
                <w:sz w:val="32"/>
              </w:rPr>
            </w:pPr>
          </w:p>
        </w:tc>
        <w:tc>
          <w:tcPr>
            <w:tcW w:w="1134"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156"/>
              <w:jc w:val="center"/>
              <w:rPr>
                <w:rFonts w:ascii="Arial Unicode MS" w:hAnsi="Arial Unicode MS" w:eastAsia="Times New Roman" w:cs="Arial Unicode MS"/>
                <w:color w:val="000000"/>
                <w:sz w:val="32"/>
              </w:rPr>
            </w:pPr>
          </w:p>
        </w:tc>
        <w:tc>
          <w:tcPr>
            <w:tcW w:w="851" w:type="dxa"/>
            <w:tcBorders>
              <w:top w:val="single" w:color="auto" w:sz="4" w:space="0"/>
              <w:left w:val="single" w:color="000000" w:sz="4" w:space="0"/>
              <w:bottom w:val="single" w:color="000000" w:sz="4" w:space="0"/>
              <w:right w:val="single" w:color="000000" w:sz="4" w:space="0"/>
            </w:tcBorders>
            <w:vAlign w:val="center"/>
          </w:tcPr>
          <w:p>
            <w:pPr>
              <w:widowControl/>
              <w:spacing w:line="259" w:lineRule="auto"/>
              <w:ind w:left="154"/>
              <w:jc w:val="center"/>
              <w:rPr>
                <w:rFonts w:ascii="Arial Unicode MS" w:hAnsi="Arial Unicode MS" w:eastAsia="Times New Roman" w:cs="Arial Unicode MS"/>
                <w:color w:val="000000"/>
                <w:sz w:val="32"/>
              </w:rPr>
            </w:pPr>
            <w:r>
              <w:rPr>
                <w:rFonts w:ascii="Times New Roman" w:hAnsi="Times New Roman"/>
                <w:color w:val="000000"/>
              </w:rPr>
              <w:t>29000</w:t>
            </w:r>
          </w:p>
        </w:tc>
        <w:tc>
          <w:tcPr>
            <w:tcW w:w="1315"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151"/>
              <w:jc w:val="center"/>
              <w:rPr>
                <w:rFonts w:ascii="Arial Unicode MS" w:hAnsi="Arial Unicode MS" w:eastAsia="Times New Roman" w:cs="Arial Unicode MS"/>
                <w:color w:val="000000"/>
                <w:sz w:val="32"/>
              </w:rPr>
            </w:pPr>
          </w:p>
        </w:tc>
      </w:tr>
    </w:tbl>
    <w:p/>
    <w:p>
      <w:pPr>
        <w:widowControl/>
        <w:jc w:val="left"/>
        <w:rPr>
          <w:rFonts w:ascii="微软雅黑" w:hAnsi="微软雅黑" w:eastAsia="微软雅黑" w:cs="微软雅黑"/>
          <w:sz w:val="32"/>
        </w:rPr>
      </w:pPr>
      <w:r>
        <w:rPr>
          <w:rFonts w:ascii="微软雅黑" w:hAnsi="微软雅黑" w:eastAsia="微软雅黑" w:cs="微软雅黑"/>
          <w:sz w:val="32"/>
        </w:rPr>
        <w:br w:type="page"/>
      </w:r>
    </w:p>
    <w:p>
      <w:pPr>
        <w:keepNext/>
        <w:keepLines/>
        <w:widowControl/>
        <w:spacing w:line="259" w:lineRule="auto"/>
        <w:ind w:left="10" w:right="9" w:hanging="10"/>
        <w:jc w:val="center"/>
        <w:outlineLvl w:val="2"/>
        <w:rPr>
          <w:rFonts w:ascii="微软雅黑" w:hAnsi="微软雅黑" w:eastAsia="微软雅黑" w:cs="微软雅黑"/>
          <w:sz w:val="32"/>
        </w:rPr>
      </w:pPr>
      <w:bookmarkStart w:id="139" w:name="_Toc90482830"/>
      <w:r>
        <w:rPr>
          <w:rFonts w:hint="eastAsia" w:ascii="微软雅黑" w:hAnsi="微软雅黑" w:eastAsia="微软雅黑" w:cs="微软雅黑"/>
          <w:sz w:val="32"/>
        </w:rPr>
        <w:t>附表</w:t>
      </w:r>
      <w:r>
        <w:rPr>
          <w:rFonts w:ascii="微软雅黑" w:hAnsi="微软雅黑" w:eastAsia="微软雅黑" w:cs="微软雅黑"/>
          <w:sz w:val="32"/>
        </w:rPr>
        <w:t xml:space="preserve"> 5 </w:t>
      </w:r>
      <w:r>
        <w:rPr>
          <w:rFonts w:hint="eastAsia" w:ascii="微软雅黑" w:hAnsi="微软雅黑" w:eastAsia="微软雅黑" w:cs="微软雅黑"/>
          <w:sz w:val="32"/>
        </w:rPr>
        <w:t>渝北区“十四五”能力建设项目</w:t>
      </w:r>
      <w:bookmarkEnd w:id="139"/>
    </w:p>
    <w:p>
      <w:pPr>
        <w:widowControl/>
        <w:spacing w:after="4" w:line="266" w:lineRule="auto"/>
        <w:ind w:left="-10" w:hanging="5"/>
        <w:jc w:val="center"/>
        <w:rPr>
          <w:rFonts w:ascii="微软雅黑" w:hAnsi="微软雅黑" w:eastAsia="微软雅黑" w:cs="微软雅黑"/>
          <w:sz w:val="32"/>
        </w:rPr>
      </w:pPr>
    </w:p>
    <w:tbl>
      <w:tblPr>
        <w:tblStyle w:val="21"/>
        <w:tblW w:w="14165" w:type="dxa"/>
        <w:tblInd w:w="-108" w:type="dxa"/>
        <w:tblLayout w:type="fixed"/>
        <w:tblCellMar>
          <w:top w:w="0" w:type="dxa"/>
          <w:left w:w="0" w:type="dxa"/>
          <w:bottom w:w="0" w:type="dxa"/>
          <w:right w:w="130" w:type="dxa"/>
        </w:tblCellMar>
      </w:tblPr>
      <w:tblGrid>
        <w:gridCol w:w="665"/>
        <w:gridCol w:w="974"/>
        <w:gridCol w:w="1380"/>
        <w:gridCol w:w="1381"/>
        <w:gridCol w:w="3157"/>
        <w:gridCol w:w="1193"/>
        <w:gridCol w:w="1065"/>
        <w:gridCol w:w="1175"/>
        <w:gridCol w:w="1075"/>
        <w:gridCol w:w="796"/>
        <w:gridCol w:w="1304"/>
      </w:tblGrid>
      <w:tr>
        <w:tblPrEx>
          <w:tblCellMar>
            <w:top w:w="0" w:type="dxa"/>
            <w:left w:w="0" w:type="dxa"/>
            <w:bottom w:w="0" w:type="dxa"/>
            <w:right w:w="130" w:type="dxa"/>
          </w:tblCellMar>
        </w:tblPrEx>
        <w:trPr>
          <w:trHeight w:val="576" w:hRule="atLeast"/>
        </w:trPr>
        <w:tc>
          <w:tcPr>
            <w:tcW w:w="665" w:type="dxa"/>
            <w:vMerge w:val="restart"/>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233"/>
              <w:jc w:val="left"/>
              <w:rPr>
                <w:rFonts w:ascii="Arial Unicode MS" w:hAnsi="Arial Unicode MS" w:eastAsia="Times New Roman" w:cs="Arial Unicode MS"/>
                <w:sz w:val="32"/>
              </w:rPr>
            </w:pPr>
            <w:r>
              <w:rPr>
                <w:rFonts w:hint="eastAsia" w:ascii="宋体" w:hAnsi="宋体" w:cs="宋体"/>
              </w:rPr>
              <w:t>序号</w:t>
            </w:r>
          </w:p>
        </w:tc>
        <w:tc>
          <w:tcPr>
            <w:tcW w:w="974" w:type="dxa"/>
            <w:vMerge w:val="restart"/>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178"/>
              <w:rPr>
                <w:rFonts w:ascii="Arial Unicode MS" w:hAnsi="Arial Unicode MS" w:eastAsia="Times New Roman" w:cs="Arial Unicode MS"/>
                <w:sz w:val="32"/>
              </w:rPr>
            </w:pPr>
            <w:r>
              <w:rPr>
                <w:rFonts w:hint="eastAsia" w:ascii="宋体" w:hAnsi="宋体" w:cs="宋体"/>
              </w:rPr>
              <w:t>项目类别</w:t>
            </w:r>
          </w:p>
        </w:tc>
        <w:tc>
          <w:tcPr>
            <w:tcW w:w="1380" w:type="dxa"/>
            <w:vMerge w:val="restart"/>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131"/>
              <w:jc w:val="center"/>
              <w:rPr>
                <w:rFonts w:ascii="Arial Unicode MS" w:hAnsi="Arial Unicode MS" w:eastAsia="Times New Roman" w:cs="Arial Unicode MS"/>
                <w:sz w:val="32"/>
              </w:rPr>
            </w:pPr>
            <w:r>
              <w:rPr>
                <w:rFonts w:hint="eastAsia" w:ascii="宋体" w:hAnsi="宋体" w:cs="宋体"/>
              </w:rPr>
              <w:t>项目名称</w:t>
            </w:r>
          </w:p>
        </w:tc>
        <w:tc>
          <w:tcPr>
            <w:tcW w:w="1381" w:type="dxa"/>
            <w:vMerge w:val="restart"/>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130"/>
              <w:jc w:val="center"/>
              <w:rPr>
                <w:rFonts w:ascii="Arial Unicode MS" w:hAnsi="Arial Unicode MS" w:eastAsia="Times New Roman" w:cs="Arial Unicode MS"/>
                <w:sz w:val="32"/>
              </w:rPr>
            </w:pPr>
            <w:r>
              <w:rPr>
                <w:rFonts w:hint="eastAsia" w:ascii="宋体" w:hAnsi="宋体" w:cs="宋体"/>
              </w:rPr>
              <w:t>项目所在地</w:t>
            </w:r>
          </w:p>
        </w:tc>
        <w:tc>
          <w:tcPr>
            <w:tcW w:w="3157" w:type="dxa"/>
            <w:vMerge w:val="restart"/>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355"/>
              <w:jc w:val="center"/>
              <w:rPr>
                <w:rFonts w:ascii="Arial Unicode MS" w:hAnsi="Arial Unicode MS" w:eastAsia="Times New Roman" w:cs="Arial Unicode MS"/>
                <w:sz w:val="32"/>
              </w:rPr>
            </w:pPr>
            <w:r>
              <w:rPr>
                <w:rFonts w:hint="eastAsia" w:ascii="宋体" w:hAnsi="宋体" w:cs="宋体"/>
              </w:rPr>
              <w:t>主要建设内容</w:t>
            </w:r>
          </w:p>
        </w:tc>
        <w:tc>
          <w:tcPr>
            <w:tcW w:w="1193" w:type="dxa"/>
            <w:vMerge w:val="restart"/>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65"/>
              <w:jc w:val="center"/>
              <w:rPr>
                <w:rFonts w:ascii="Arial Unicode MS" w:hAnsi="Arial Unicode MS" w:eastAsia="Times New Roman" w:cs="Arial Unicode MS"/>
                <w:sz w:val="32"/>
              </w:rPr>
            </w:pPr>
            <w:r>
              <w:rPr>
                <w:rFonts w:hint="eastAsia" w:ascii="宋体" w:hAnsi="宋体" w:cs="宋体"/>
              </w:rPr>
              <w:t>建设时限</w:t>
            </w:r>
          </w:p>
        </w:tc>
        <w:tc>
          <w:tcPr>
            <w:tcW w:w="1065" w:type="dxa"/>
            <w:vMerge w:val="restart"/>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65"/>
              <w:jc w:val="center"/>
              <w:rPr>
                <w:rFonts w:ascii="Arial Unicode MS" w:hAnsi="Arial Unicode MS" w:eastAsia="Times New Roman" w:cs="Arial Unicode MS"/>
                <w:sz w:val="32"/>
              </w:rPr>
            </w:pPr>
            <w:r>
              <w:rPr>
                <w:rFonts w:hint="eastAsia" w:ascii="宋体" w:hAnsi="宋体" w:cs="宋体"/>
              </w:rPr>
              <w:t>负责部门</w:t>
            </w:r>
          </w:p>
        </w:tc>
        <w:tc>
          <w:tcPr>
            <w:tcW w:w="1175" w:type="dxa"/>
            <w:vMerge w:val="restart"/>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180"/>
              <w:jc w:val="left"/>
              <w:rPr>
                <w:rFonts w:ascii="Arial Unicode MS" w:hAnsi="Arial Unicode MS" w:eastAsia="Times New Roman" w:cs="Arial Unicode MS"/>
                <w:sz w:val="32"/>
              </w:rPr>
            </w:pPr>
            <w:r>
              <w:rPr>
                <w:rFonts w:hint="eastAsia" w:ascii="宋体" w:hAnsi="宋体" w:cs="宋体"/>
              </w:rPr>
              <w:t>预期效果</w:t>
            </w:r>
          </w:p>
        </w:tc>
        <w:tc>
          <w:tcPr>
            <w:tcW w:w="1075"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130"/>
              <w:jc w:val="center"/>
              <w:rPr>
                <w:rFonts w:ascii="Arial Unicode MS" w:hAnsi="Arial Unicode MS" w:eastAsia="Times New Roman" w:cs="Arial Unicode MS"/>
                <w:sz w:val="32"/>
              </w:rPr>
            </w:pPr>
            <w:r>
              <w:rPr>
                <w:rFonts w:hint="eastAsia" w:ascii="宋体" w:hAnsi="宋体" w:cs="宋体"/>
              </w:rPr>
              <w:t>投资</w:t>
            </w:r>
          </w:p>
        </w:tc>
        <w:tc>
          <w:tcPr>
            <w:tcW w:w="796" w:type="dxa"/>
            <w:vMerge w:val="restart"/>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46"/>
              <w:jc w:val="center"/>
              <w:rPr>
                <w:rFonts w:ascii="Arial Unicode MS" w:hAnsi="Arial Unicode MS" w:eastAsia="Times New Roman" w:cs="Arial Unicode MS"/>
                <w:sz w:val="32"/>
              </w:rPr>
            </w:pPr>
            <w:r>
              <w:rPr>
                <w:rFonts w:hint="eastAsia" w:ascii="宋体" w:hAnsi="宋体" w:cs="宋体"/>
              </w:rPr>
              <w:t>投资渠道</w:t>
            </w:r>
          </w:p>
        </w:tc>
        <w:tc>
          <w:tcPr>
            <w:tcW w:w="1304" w:type="dxa"/>
            <w:vMerge w:val="restart"/>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129"/>
              <w:jc w:val="center"/>
              <w:rPr>
                <w:rFonts w:ascii="Arial Unicode MS" w:hAnsi="Arial Unicode MS" w:eastAsia="Times New Roman" w:cs="Arial Unicode MS"/>
                <w:sz w:val="32"/>
              </w:rPr>
            </w:pPr>
            <w:r>
              <w:rPr>
                <w:rFonts w:hint="eastAsia" w:ascii="宋体" w:hAnsi="宋体" w:cs="宋体"/>
              </w:rPr>
              <w:t>备注</w:t>
            </w:r>
          </w:p>
        </w:tc>
      </w:tr>
      <w:tr>
        <w:tblPrEx>
          <w:tblCellMar>
            <w:top w:w="0" w:type="dxa"/>
            <w:left w:w="0" w:type="dxa"/>
            <w:bottom w:w="0" w:type="dxa"/>
            <w:right w:w="130" w:type="dxa"/>
          </w:tblCellMar>
        </w:tblPrEx>
        <w:trPr>
          <w:trHeight w:val="576" w:hRule="atLeast"/>
        </w:trPr>
        <w:tc>
          <w:tcPr>
            <w:tcW w:w="665" w:type="dxa"/>
            <w:vMerge w:val="continue"/>
            <w:tcBorders>
              <w:top w:val="nil"/>
              <w:left w:val="single" w:color="000000" w:sz="4" w:space="0"/>
              <w:bottom w:val="single" w:color="000000" w:sz="4" w:space="0"/>
              <w:right w:val="single" w:color="000000" w:sz="4" w:space="0"/>
            </w:tcBorders>
            <w:vAlign w:val="bottom"/>
          </w:tcPr>
          <w:p>
            <w:pPr>
              <w:widowControl/>
              <w:spacing w:after="160" w:line="259" w:lineRule="auto"/>
              <w:jc w:val="left"/>
              <w:rPr>
                <w:rFonts w:ascii="Arial Unicode MS" w:hAnsi="Arial Unicode MS" w:eastAsia="Times New Roman" w:cs="Arial Unicode MS"/>
                <w:sz w:val="32"/>
              </w:rPr>
            </w:pPr>
          </w:p>
        </w:tc>
        <w:tc>
          <w:tcPr>
            <w:tcW w:w="974" w:type="dxa"/>
            <w:vMerge w:val="continue"/>
            <w:tcBorders>
              <w:top w:val="nil"/>
              <w:left w:val="single" w:color="000000" w:sz="4" w:space="0"/>
              <w:bottom w:val="single" w:color="000000" w:sz="4" w:space="0"/>
              <w:right w:val="single" w:color="000000" w:sz="4" w:space="0"/>
            </w:tcBorders>
          </w:tcPr>
          <w:p>
            <w:pPr>
              <w:widowControl/>
              <w:spacing w:after="160" w:line="259" w:lineRule="auto"/>
              <w:jc w:val="left"/>
              <w:rPr>
                <w:rFonts w:ascii="Arial Unicode MS" w:hAnsi="Arial Unicode MS" w:eastAsia="Times New Roman" w:cs="Arial Unicode MS"/>
                <w:sz w:val="32"/>
              </w:rPr>
            </w:pPr>
          </w:p>
        </w:tc>
        <w:tc>
          <w:tcPr>
            <w:tcW w:w="1380" w:type="dxa"/>
            <w:vMerge w:val="continue"/>
            <w:tcBorders>
              <w:top w:val="nil"/>
              <w:left w:val="single" w:color="000000" w:sz="4" w:space="0"/>
              <w:bottom w:val="single" w:color="000000" w:sz="4" w:space="0"/>
              <w:right w:val="single" w:color="000000" w:sz="4" w:space="0"/>
            </w:tcBorders>
          </w:tcPr>
          <w:p>
            <w:pPr>
              <w:widowControl/>
              <w:spacing w:after="160" w:line="259" w:lineRule="auto"/>
              <w:jc w:val="left"/>
              <w:rPr>
                <w:rFonts w:ascii="Arial Unicode MS" w:hAnsi="Arial Unicode MS" w:eastAsia="Times New Roman" w:cs="Arial Unicode MS"/>
                <w:sz w:val="32"/>
              </w:rPr>
            </w:pPr>
          </w:p>
        </w:tc>
        <w:tc>
          <w:tcPr>
            <w:tcW w:w="1381" w:type="dxa"/>
            <w:vMerge w:val="continue"/>
            <w:tcBorders>
              <w:top w:val="nil"/>
              <w:left w:val="single" w:color="000000" w:sz="4" w:space="0"/>
              <w:bottom w:val="single" w:color="000000" w:sz="4" w:space="0"/>
              <w:right w:val="single" w:color="000000" w:sz="4" w:space="0"/>
            </w:tcBorders>
          </w:tcPr>
          <w:p>
            <w:pPr>
              <w:widowControl/>
              <w:spacing w:after="160" w:line="259" w:lineRule="auto"/>
              <w:jc w:val="left"/>
              <w:rPr>
                <w:rFonts w:ascii="Arial Unicode MS" w:hAnsi="Arial Unicode MS" w:eastAsia="Times New Roman" w:cs="Arial Unicode MS"/>
                <w:sz w:val="32"/>
              </w:rPr>
            </w:pPr>
          </w:p>
        </w:tc>
        <w:tc>
          <w:tcPr>
            <w:tcW w:w="3157" w:type="dxa"/>
            <w:vMerge w:val="continue"/>
            <w:tcBorders>
              <w:top w:val="nil"/>
              <w:left w:val="single" w:color="000000" w:sz="4" w:space="0"/>
              <w:bottom w:val="single" w:color="000000" w:sz="4" w:space="0"/>
              <w:right w:val="single" w:color="000000" w:sz="4" w:space="0"/>
            </w:tcBorders>
          </w:tcPr>
          <w:p>
            <w:pPr>
              <w:widowControl/>
              <w:spacing w:after="160" w:line="259" w:lineRule="auto"/>
              <w:jc w:val="left"/>
              <w:rPr>
                <w:rFonts w:ascii="Arial Unicode MS" w:hAnsi="Arial Unicode MS" w:eastAsia="Times New Roman" w:cs="Arial Unicode MS"/>
                <w:sz w:val="32"/>
              </w:rPr>
            </w:pPr>
          </w:p>
        </w:tc>
        <w:tc>
          <w:tcPr>
            <w:tcW w:w="1193" w:type="dxa"/>
            <w:vMerge w:val="continue"/>
            <w:tcBorders>
              <w:top w:val="nil"/>
              <w:left w:val="single" w:color="000000" w:sz="4" w:space="0"/>
              <w:bottom w:val="single" w:color="000000" w:sz="4" w:space="0"/>
              <w:right w:val="single" w:color="000000" w:sz="4" w:space="0"/>
            </w:tcBorders>
          </w:tcPr>
          <w:p>
            <w:pPr>
              <w:widowControl/>
              <w:spacing w:after="160" w:line="259" w:lineRule="auto"/>
              <w:jc w:val="left"/>
              <w:rPr>
                <w:rFonts w:ascii="Arial Unicode MS" w:hAnsi="Arial Unicode MS" w:eastAsia="Times New Roman" w:cs="Arial Unicode MS"/>
                <w:sz w:val="32"/>
              </w:rPr>
            </w:pPr>
          </w:p>
        </w:tc>
        <w:tc>
          <w:tcPr>
            <w:tcW w:w="1065" w:type="dxa"/>
            <w:vMerge w:val="continue"/>
            <w:tcBorders>
              <w:top w:val="nil"/>
              <w:left w:val="single" w:color="000000" w:sz="4" w:space="0"/>
              <w:bottom w:val="single" w:color="000000" w:sz="4" w:space="0"/>
              <w:right w:val="single" w:color="000000" w:sz="4" w:space="0"/>
            </w:tcBorders>
          </w:tcPr>
          <w:p>
            <w:pPr>
              <w:widowControl/>
              <w:spacing w:after="160" w:line="259" w:lineRule="auto"/>
              <w:jc w:val="left"/>
              <w:rPr>
                <w:rFonts w:ascii="Arial Unicode MS" w:hAnsi="Arial Unicode MS" w:eastAsia="Times New Roman" w:cs="Arial Unicode MS"/>
                <w:sz w:val="32"/>
              </w:rPr>
            </w:pPr>
          </w:p>
        </w:tc>
        <w:tc>
          <w:tcPr>
            <w:tcW w:w="1175" w:type="dxa"/>
            <w:vMerge w:val="continue"/>
            <w:tcBorders>
              <w:top w:val="nil"/>
              <w:left w:val="single" w:color="000000" w:sz="4" w:space="0"/>
              <w:bottom w:val="single" w:color="000000" w:sz="4" w:space="0"/>
              <w:right w:val="single" w:color="000000" w:sz="4" w:space="0"/>
            </w:tcBorders>
          </w:tcPr>
          <w:p>
            <w:pPr>
              <w:widowControl/>
              <w:spacing w:after="160" w:line="259" w:lineRule="auto"/>
              <w:jc w:val="left"/>
              <w:rPr>
                <w:rFonts w:ascii="Arial Unicode MS" w:hAnsi="Arial Unicode MS" w:eastAsia="Times New Roman" w:cs="Arial Unicode MS"/>
                <w:sz w:val="32"/>
              </w:rPr>
            </w:pPr>
          </w:p>
        </w:tc>
        <w:tc>
          <w:tcPr>
            <w:tcW w:w="1075"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130"/>
              <w:jc w:val="center"/>
              <w:rPr>
                <w:rFonts w:ascii="Arial Unicode MS" w:hAnsi="Arial Unicode MS" w:eastAsia="Times New Roman" w:cs="Arial Unicode MS"/>
                <w:sz w:val="32"/>
              </w:rPr>
            </w:pPr>
            <w:r>
              <w:rPr>
                <w:rFonts w:hint="eastAsia" w:ascii="宋体" w:hAnsi="宋体" w:cs="宋体"/>
              </w:rPr>
              <w:t>万元</w:t>
            </w:r>
          </w:p>
        </w:tc>
        <w:tc>
          <w:tcPr>
            <w:tcW w:w="796" w:type="dxa"/>
            <w:vMerge w:val="continue"/>
            <w:tcBorders>
              <w:top w:val="nil"/>
              <w:left w:val="single" w:color="000000" w:sz="4" w:space="0"/>
              <w:bottom w:val="single" w:color="000000" w:sz="4" w:space="0"/>
              <w:right w:val="single" w:color="000000" w:sz="4" w:space="0"/>
            </w:tcBorders>
          </w:tcPr>
          <w:p>
            <w:pPr>
              <w:widowControl/>
              <w:spacing w:after="160" w:line="259" w:lineRule="auto"/>
              <w:jc w:val="left"/>
              <w:rPr>
                <w:rFonts w:ascii="Arial Unicode MS" w:hAnsi="Arial Unicode MS" w:eastAsia="Times New Roman" w:cs="Arial Unicode MS"/>
                <w:sz w:val="32"/>
              </w:rPr>
            </w:pPr>
          </w:p>
        </w:tc>
        <w:tc>
          <w:tcPr>
            <w:tcW w:w="1304" w:type="dxa"/>
            <w:vMerge w:val="continue"/>
            <w:tcBorders>
              <w:top w:val="nil"/>
              <w:left w:val="single" w:color="000000" w:sz="4" w:space="0"/>
              <w:bottom w:val="single" w:color="000000" w:sz="4" w:space="0"/>
              <w:right w:val="single" w:color="000000" w:sz="4" w:space="0"/>
            </w:tcBorders>
          </w:tcPr>
          <w:p>
            <w:pPr>
              <w:widowControl/>
              <w:spacing w:after="160" w:line="259" w:lineRule="auto"/>
              <w:jc w:val="left"/>
              <w:rPr>
                <w:rFonts w:ascii="Arial Unicode MS" w:hAnsi="Arial Unicode MS" w:eastAsia="Times New Roman" w:cs="Arial Unicode MS"/>
                <w:sz w:val="32"/>
              </w:rPr>
            </w:pPr>
          </w:p>
        </w:tc>
      </w:tr>
      <w:tr>
        <w:tblPrEx>
          <w:tblCellMar>
            <w:top w:w="0" w:type="dxa"/>
            <w:left w:w="0" w:type="dxa"/>
            <w:bottom w:w="0" w:type="dxa"/>
            <w:right w:w="130" w:type="dxa"/>
          </w:tblCellMar>
        </w:tblPrEx>
        <w:trPr>
          <w:trHeight w:val="578" w:hRule="atLeast"/>
        </w:trPr>
        <w:tc>
          <w:tcPr>
            <w:tcW w:w="665"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130"/>
              <w:jc w:val="center"/>
              <w:rPr>
                <w:rFonts w:ascii="Arial Unicode MS" w:hAnsi="Arial Unicode MS" w:eastAsia="Times New Roman" w:cs="Arial Unicode MS"/>
                <w:sz w:val="32"/>
              </w:rPr>
            </w:pPr>
            <w:r>
              <w:rPr>
                <w:rFonts w:ascii="Times New Roman" w:hAnsi="Times New Roman"/>
              </w:rPr>
              <w:t xml:space="preserve">1 </w:t>
            </w:r>
          </w:p>
        </w:tc>
        <w:tc>
          <w:tcPr>
            <w:tcW w:w="974" w:type="dxa"/>
            <w:tcBorders>
              <w:top w:val="single" w:color="000000" w:sz="4" w:space="0"/>
              <w:left w:val="single" w:color="000000" w:sz="4" w:space="0"/>
              <w:bottom w:val="single" w:color="000000" w:sz="4" w:space="0"/>
              <w:right w:val="single" w:color="000000" w:sz="4" w:space="0"/>
            </w:tcBorders>
          </w:tcPr>
          <w:p>
            <w:pPr>
              <w:widowControl/>
              <w:spacing w:line="259" w:lineRule="auto"/>
              <w:ind w:left="131"/>
              <w:jc w:val="center"/>
              <w:rPr>
                <w:rFonts w:ascii="宋体" w:cs="宋体"/>
              </w:rPr>
            </w:pPr>
            <w:r>
              <w:rPr>
                <w:rFonts w:hint="eastAsia" w:ascii="宋体" w:hAnsi="宋体" w:cs="宋体"/>
              </w:rPr>
              <w:t>取用水监测</w:t>
            </w:r>
          </w:p>
        </w:tc>
        <w:tc>
          <w:tcPr>
            <w:tcW w:w="1380"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131"/>
              <w:jc w:val="center"/>
              <w:rPr>
                <w:rFonts w:ascii="Arial Unicode MS" w:hAnsi="Arial Unicode MS" w:eastAsia="Times New Roman" w:cs="Arial Unicode MS"/>
                <w:sz w:val="32"/>
              </w:rPr>
            </w:pPr>
            <w:r>
              <w:rPr>
                <w:rFonts w:hint="eastAsia" w:ascii="宋体" w:hAnsi="宋体" w:cs="宋体"/>
              </w:rPr>
              <w:t>国家水资源管理系统运行维护</w:t>
            </w:r>
          </w:p>
        </w:tc>
        <w:tc>
          <w:tcPr>
            <w:tcW w:w="1381"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180"/>
              <w:jc w:val="center"/>
              <w:rPr>
                <w:rFonts w:ascii="Times New Roman" w:hAnsi="Times New Roman"/>
              </w:rPr>
            </w:pPr>
            <w:r>
              <w:rPr>
                <w:rFonts w:hint="eastAsia" w:ascii="宋体" w:hAnsi="宋体" w:cs="宋体"/>
              </w:rPr>
              <w:t>渝北区</w:t>
            </w:r>
          </w:p>
        </w:tc>
        <w:tc>
          <w:tcPr>
            <w:tcW w:w="3157"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131"/>
              <w:jc w:val="center"/>
              <w:rPr>
                <w:rFonts w:ascii="Arial Unicode MS" w:hAnsi="Arial Unicode MS" w:eastAsia="Times New Roman" w:cs="Arial Unicode MS"/>
                <w:sz w:val="32"/>
              </w:rPr>
            </w:pPr>
            <w:r>
              <w:rPr>
                <w:rFonts w:hint="eastAsia" w:ascii="宋体" w:hAnsi="宋体" w:cs="宋体"/>
              </w:rPr>
              <w:t>每年对区内取用水在线监测站点的水资源管理信息系统急性维护</w:t>
            </w:r>
          </w:p>
        </w:tc>
        <w:tc>
          <w:tcPr>
            <w:tcW w:w="1193"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131"/>
              <w:jc w:val="center"/>
              <w:rPr>
                <w:rFonts w:ascii="Arial Unicode MS" w:hAnsi="Arial Unicode MS" w:eastAsia="Times New Roman" w:cs="Arial Unicode MS"/>
                <w:sz w:val="32"/>
              </w:rPr>
            </w:pPr>
            <w:r>
              <w:rPr>
                <w:rFonts w:ascii="宋体" w:hAnsi="宋体" w:cs="宋体"/>
              </w:rPr>
              <w:t>2021</w:t>
            </w:r>
            <w:r>
              <w:rPr>
                <w:rFonts w:hint="eastAsia" w:ascii="宋体" w:hAnsi="宋体" w:cs="宋体"/>
              </w:rPr>
              <w:t>年</w:t>
            </w:r>
            <w:r>
              <w:rPr>
                <w:rFonts w:ascii="宋体" w:cs="宋体"/>
              </w:rPr>
              <w:t>-</w:t>
            </w:r>
            <w:r>
              <w:rPr>
                <w:rFonts w:ascii="宋体" w:hAnsi="宋体" w:cs="宋体"/>
              </w:rPr>
              <w:t>2025</w:t>
            </w:r>
            <w:r>
              <w:rPr>
                <w:rFonts w:hint="eastAsia" w:ascii="宋体" w:hAnsi="宋体" w:cs="宋体"/>
              </w:rPr>
              <w:t>年</w:t>
            </w:r>
          </w:p>
        </w:tc>
        <w:tc>
          <w:tcPr>
            <w:tcW w:w="1065"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65"/>
              <w:jc w:val="center"/>
              <w:rPr>
                <w:rFonts w:ascii="Arial Unicode MS" w:hAnsi="Arial Unicode MS" w:eastAsia="Times New Roman" w:cs="Arial Unicode MS"/>
                <w:sz w:val="32"/>
              </w:rPr>
            </w:pPr>
            <w:r>
              <w:rPr>
                <w:rFonts w:hint="eastAsia" w:ascii="宋体" w:hAnsi="宋体" w:cs="宋体"/>
              </w:rPr>
              <w:t>区水利局</w:t>
            </w:r>
          </w:p>
        </w:tc>
        <w:tc>
          <w:tcPr>
            <w:tcW w:w="1175"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179"/>
              <w:jc w:val="center"/>
              <w:rPr>
                <w:rFonts w:ascii="Arial Unicode MS" w:hAnsi="Arial Unicode MS" w:eastAsia="Times New Roman" w:cs="Arial Unicode MS"/>
                <w:sz w:val="32"/>
              </w:rPr>
            </w:pPr>
          </w:p>
        </w:tc>
        <w:tc>
          <w:tcPr>
            <w:tcW w:w="1075"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178"/>
              <w:jc w:val="center"/>
              <w:rPr>
                <w:rFonts w:ascii="Arial Unicode MS" w:hAnsi="Arial Unicode MS" w:eastAsia="Times New Roman" w:cs="Arial Unicode MS"/>
                <w:sz w:val="32"/>
              </w:rPr>
            </w:pPr>
            <w:r>
              <w:rPr>
                <w:rFonts w:ascii="Times New Roman" w:hAnsi="Times New Roman"/>
              </w:rPr>
              <w:t>50</w:t>
            </w:r>
          </w:p>
        </w:tc>
        <w:tc>
          <w:tcPr>
            <w:tcW w:w="796"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180"/>
              <w:jc w:val="center"/>
              <w:rPr>
                <w:rFonts w:ascii="Arial Unicode MS" w:hAnsi="Arial Unicode MS" w:eastAsia="Times New Roman" w:cs="Arial Unicode MS"/>
                <w:sz w:val="32"/>
              </w:rPr>
            </w:pPr>
          </w:p>
        </w:tc>
        <w:tc>
          <w:tcPr>
            <w:tcW w:w="1304"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131"/>
              <w:jc w:val="center"/>
              <w:rPr>
                <w:rFonts w:ascii="Arial Unicode MS" w:hAnsi="Arial Unicode MS" w:eastAsia="Times New Roman" w:cs="Arial Unicode MS"/>
                <w:sz w:val="32"/>
              </w:rPr>
            </w:pPr>
          </w:p>
        </w:tc>
      </w:tr>
      <w:tr>
        <w:tblPrEx>
          <w:tblCellMar>
            <w:top w:w="0" w:type="dxa"/>
            <w:left w:w="0" w:type="dxa"/>
            <w:bottom w:w="0" w:type="dxa"/>
            <w:right w:w="130" w:type="dxa"/>
          </w:tblCellMar>
        </w:tblPrEx>
        <w:trPr>
          <w:trHeight w:val="576" w:hRule="atLeast"/>
        </w:trPr>
        <w:tc>
          <w:tcPr>
            <w:tcW w:w="665"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130"/>
              <w:jc w:val="center"/>
              <w:rPr>
                <w:rFonts w:ascii="Arial Unicode MS" w:hAnsi="Arial Unicode MS" w:eastAsia="Times New Roman" w:cs="Arial Unicode MS"/>
                <w:sz w:val="32"/>
              </w:rPr>
            </w:pPr>
            <w:r>
              <w:rPr>
                <w:rFonts w:ascii="Times New Roman" w:hAnsi="Times New Roman" w:eastAsia="Times New Roman"/>
              </w:rPr>
              <w:t>2</w:t>
            </w:r>
          </w:p>
        </w:tc>
        <w:tc>
          <w:tcPr>
            <w:tcW w:w="974"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178"/>
              <w:jc w:val="center"/>
              <w:rPr>
                <w:rFonts w:ascii="Arial Unicode MS" w:hAnsi="Arial Unicode MS" w:eastAsia="Times New Roman" w:cs="Arial Unicode MS"/>
                <w:sz w:val="32"/>
              </w:rPr>
            </w:pPr>
            <w:r>
              <w:rPr>
                <w:rFonts w:hint="eastAsia" w:ascii="宋体" w:hAnsi="宋体" w:cs="宋体"/>
              </w:rPr>
              <w:t>取用水监测</w:t>
            </w:r>
          </w:p>
        </w:tc>
        <w:tc>
          <w:tcPr>
            <w:tcW w:w="1380"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182"/>
              <w:jc w:val="center"/>
              <w:rPr>
                <w:rFonts w:ascii="Arial Unicode MS" w:hAnsi="Arial Unicode MS" w:eastAsia="Times New Roman" w:cs="Arial Unicode MS"/>
                <w:sz w:val="32"/>
              </w:rPr>
            </w:pPr>
            <w:r>
              <w:rPr>
                <w:rFonts w:hint="eastAsia" w:ascii="宋体" w:hAnsi="宋体" w:cs="宋体"/>
              </w:rPr>
              <w:t>水质监测实验室提档升级</w:t>
            </w:r>
          </w:p>
        </w:tc>
        <w:tc>
          <w:tcPr>
            <w:tcW w:w="1381"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180"/>
              <w:jc w:val="center"/>
              <w:rPr>
                <w:rFonts w:ascii="Arial Unicode MS" w:hAnsi="Arial Unicode MS" w:eastAsia="Times New Roman" w:cs="Arial Unicode MS"/>
                <w:sz w:val="32"/>
              </w:rPr>
            </w:pPr>
            <w:r>
              <w:rPr>
                <w:rFonts w:hint="eastAsia" w:ascii="Times New Roman" w:hAnsi="Times New Roman"/>
              </w:rPr>
              <w:t>渝北区</w:t>
            </w:r>
            <w:r>
              <w:rPr>
                <w:rFonts w:ascii="Times New Roman" w:hAnsi="Times New Roman"/>
              </w:rPr>
              <w:t xml:space="preserve"> </w:t>
            </w:r>
          </w:p>
        </w:tc>
        <w:tc>
          <w:tcPr>
            <w:tcW w:w="3157"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177"/>
              <w:jc w:val="center"/>
              <w:rPr>
                <w:rFonts w:ascii="Arial Unicode MS" w:hAnsi="Arial Unicode MS" w:eastAsia="Times New Roman" w:cs="Arial Unicode MS"/>
                <w:sz w:val="32"/>
              </w:rPr>
            </w:pPr>
            <w:r>
              <w:rPr>
                <w:rFonts w:hint="eastAsia" w:ascii="宋体" w:hAnsi="宋体" w:cs="宋体"/>
              </w:rPr>
              <w:t>仪器设备升级、更换。</w:t>
            </w:r>
          </w:p>
        </w:tc>
        <w:tc>
          <w:tcPr>
            <w:tcW w:w="1193"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178"/>
              <w:jc w:val="center"/>
              <w:rPr>
                <w:rFonts w:ascii="Arial Unicode MS" w:hAnsi="Arial Unicode MS" w:eastAsia="Times New Roman" w:cs="Arial Unicode MS"/>
                <w:sz w:val="32"/>
              </w:rPr>
            </w:pPr>
            <w:r>
              <w:rPr>
                <w:rFonts w:ascii="Times New Roman" w:hAnsi="Times New Roman" w:eastAsia="Times New Roman"/>
              </w:rPr>
              <w:t>2022</w:t>
            </w:r>
            <w:r>
              <w:rPr>
                <w:rFonts w:hint="eastAsia" w:ascii="宋体" w:hAnsi="宋体" w:cs="宋体"/>
              </w:rPr>
              <w:t>年</w:t>
            </w:r>
          </w:p>
        </w:tc>
        <w:tc>
          <w:tcPr>
            <w:tcW w:w="1065"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65"/>
              <w:jc w:val="center"/>
              <w:rPr>
                <w:rFonts w:ascii="Arial Unicode MS" w:hAnsi="Arial Unicode MS" w:eastAsia="Times New Roman" w:cs="Arial Unicode MS"/>
                <w:sz w:val="32"/>
              </w:rPr>
            </w:pPr>
            <w:r>
              <w:rPr>
                <w:rFonts w:hint="eastAsia" w:ascii="宋体" w:hAnsi="宋体" w:cs="宋体"/>
              </w:rPr>
              <w:t>区水利局</w:t>
            </w:r>
          </w:p>
        </w:tc>
        <w:tc>
          <w:tcPr>
            <w:tcW w:w="1175"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179"/>
              <w:jc w:val="center"/>
              <w:rPr>
                <w:rFonts w:ascii="Arial Unicode MS" w:hAnsi="Arial Unicode MS" w:eastAsia="Times New Roman" w:cs="Arial Unicode MS"/>
                <w:sz w:val="32"/>
              </w:rPr>
            </w:pPr>
          </w:p>
        </w:tc>
        <w:tc>
          <w:tcPr>
            <w:tcW w:w="1075"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178"/>
              <w:jc w:val="center"/>
              <w:rPr>
                <w:rFonts w:ascii="Arial Unicode MS" w:hAnsi="Arial Unicode MS" w:eastAsia="Times New Roman" w:cs="Arial Unicode MS"/>
                <w:sz w:val="32"/>
              </w:rPr>
            </w:pPr>
            <w:r>
              <w:rPr>
                <w:rFonts w:ascii="Times New Roman" w:hAnsi="Times New Roman"/>
              </w:rPr>
              <w:t xml:space="preserve">550 </w:t>
            </w:r>
          </w:p>
        </w:tc>
        <w:tc>
          <w:tcPr>
            <w:tcW w:w="796"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180"/>
              <w:jc w:val="center"/>
              <w:rPr>
                <w:rFonts w:ascii="Arial Unicode MS" w:hAnsi="Arial Unicode MS" w:eastAsia="Times New Roman" w:cs="Arial Unicode MS"/>
                <w:sz w:val="32"/>
              </w:rPr>
            </w:pPr>
          </w:p>
        </w:tc>
        <w:tc>
          <w:tcPr>
            <w:tcW w:w="1304"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182"/>
              <w:jc w:val="center"/>
              <w:rPr>
                <w:rFonts w:ascii="Arial Unicode MS" w:hAnsi="Arial Unicode MS" w:eastAsia="Times New Roman" w:cs="Arial Unicode MS"/>
                <w:sz w:val="32"/>
              </w:rPr>
            </w:pPr>
          </w:p>
        </w:tc>
      </w:tr>
      <w:tr>
        <w:tblPrEx>
          <w:tblCellMar>
            <w:top w:w="0" w:type="dxa"/>
            <w:left w:w="0" w:type="dxa"/>
            <w:bottom w:w="0" w:type="dxa"/>
            <w:right w:w="130" w:type="dxa"/>
          </w:tblCellMar>
        </w:tblPrEx>
        <w:trPr>
          <w:trHeight w:val="578" w:hRule="atLeast"/>
        </w:trPr>
        <w:tc>
          <w:tcPr>
            <w:tcW w:w="665" w:type="dxa"/>
            <w:tcBorders>
              <w:top w:val="single" w:color="000000" w:sz="4" w:space="0"/>
              <w:left w:val="single" w:color="000000" w:sz="4" w:space="0"/>
              <w:bottom w:val="single" w:color="000000" w:sz="4" w:space="0"/>
              <w:right w:val="nil"/>
            </w:tcBorders>
          </w:tcPr>
          <w:p>
            <w:pPr>
              <w:widowControl/>
              <w:spacing w:after="160" w:line="259" w:lineRule="auto"/>
              <w:jc w:val="left"/>
              <w:rPr>
                <w:rFonts w:ascii="Arial Unicode MS" w:hAnsi="Arial Unicode MS" w:eastAsia="Times New Roman" w:cs="Arial Unicode MS"/>
                <w:sz w:val="32"/>
              </w:rPr>
            </w:pPr>
          </w:p>
        </w:tc>
        <w:tc>
          <w:tcPr>
            <w:tcW w:w="974" w:type="dxa"/>
            <w:tcBorders>
              <w:top w:val="single" w:color="000000" w:sz="4" w:space="0"/>
              <w:left w:val="nil"/>
              <w:bottom w:val="single" w:color="000000" w:sz="4" w:space="0"/>
              <w:right w:val="single" w:color="000000" w:sz="4" w:space="0"/>
            </w:tcBorders>
            <w:vAlign w:val="center"/>
          </w:tcPr>
          <w:p>
            <w:pPr>
              <w:widowControl/>
              <w:spacing w:line="259" w:lineRule="auto"/>
              <w:ind w:left="-55"/>
              <w:jc w:val="left"/>
              <w:rPr>
                <w:rFonts w:ascii="Arial Unicode MS" w:hAnsi="Arial Unicode MS" w:eastAsia="Times New Roman" w:cs="Arial Unicode MS"/>
                <w:sz w:val="32"/>
              </w:rPr>
            </w:pPr>
            <w:r>
              <w:rPr>
                <w:rFonts w:hint="eastAsia" w:ascii="宋体" w:hAnsi="宋体" w:cs="宋体"/>
              </w:rPr>
              <w:t>合计</w:t>
            </w:r>
          </w:p>
        </w:tc>
        <w:tc>
          <w:tcPr>
            <w:tcW w:w="1380"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182"/>
              <w:jc w:val="center"/>
              <w:rPr>
                <w:rFonts w:ascii="Arial Unicode MS" w:hAnsi="Arial Unicode MS" w:eastAsia="Times New Roman" w:cs="Arial Unicode MS"/>
                <w:sz w:val="32"/>
              </w:rPr>
            </w:pPr>
          </w:p>
        </w:tc>
        <w:tc>
          <w:tcPr>
            <w:tcW w:w="1381"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180"/>
              <w:jc w:val="center"/>
              <w:rPr>
                <w:rFonts w:ascii="Arial Unicode MS" w:hAnsi="Arial Unicode MS" w:eastAsia="Times New Roman" w:cs="Arial Unicode MS"/>
                <w:sz w:val="32"/>
              </w:rPr>
            </w:pPr>
          </w:p>
        </w:tc>
        <w:tc>
          <w:tcPr>
            <w:tcW w:w="3157"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177"/>
              <w:jc w:val="center"/>
              <w:rPr>
                <w:rFonts w:ascii="Arial Unicode MS" w:hAnsi="Arial Unicode MS" w:eastAsia="Times New Roman" w:cs="Arial Unicode MS"/>
                <w:sz w:val="32"/>
              </w:rPr>
            </w:pPr>
          </w:p>
        </w:tc>
        <w:tc>
          <w:tcPr>
            <w:tcW w:w="1193"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178"/>
              <w:jc w:val="center"/>
              <w:rPr>
                <w:rFonts w:ascii="Arial Unicode MS" w:hAnsi="Arial Unicode MS" w:eastAsia="Times New Roman" w:cs="Arial Unicode MS"/>
                <w:sz w:val="32"/>
              </w:rPr>
            </w:pPr>
          </w:p>
        </w:tc>
        <w:tc>
          <w:tcPr>
            <w:tcW w:w="1065"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178"/>
              <w:jc w:val="center"/>
              <w:rPr>
                <w:rFonts w:ascii="Arial Unicode MS" w:hAnsi="Arial Unicode MS" w:eastAsia="Times New Roman" w:cs="Arial Unicode MS"/>
                <w:sz w:val="32"/>
              </w:rPr>
            </w:pPr>
          </w:p>
        </w:tc>
        <w:tc>
          <w:tcPr>
            <w:tcW w:w="1175"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179"/>
              <w:jc w:val="center"/>
              <w:rPr>
                <w:rFonts w:ascii="Arial Unicode MS" w:hAnsi="Arial Unicode MS" w:eastAsia="Times New Roman" w:cs="Arial Unicode MS"/>
                <w:sz w:val="32"/>
              </w:rPr>
            </w:pPr>
          </w:p>
        </w:tc>
        <w:tc>
          <w:tcPr>
            <w:tcW w:w="1075"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178"/>
              <w:jc w:val="center"/>
              <w:rPr>
                <w:rFonts w:ascii="Arial Unicode MS" w:hAnsi="Arial Unicode MS" w:eastAsia="Times New Roman" w:cs="Arial Unicode MS"/>
                <w:sz w:val="32"/>
              </w:rPr>
            </w:pPr>
            <w:r>
              <w:rPr>
                <w:rFonts w:ascii="Times New Roman" w:hAnsi="Times New Roman"/>
              </w:rPr>
              <w:t>600</w:t>
            </w:r>
          </w:p>
        </w:tc>
        <w:tc>
          <w:tcPr>
            <w:tcW w:w="796"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180"/>
              <w:jc w:val="center"/>
              <w:rPr>
                <w:rFonts w:ascii="Arial Unicode MS" w:hAnsi="Arial Unicode MS" w:eastAsia="Times New Roman" w:cs="Arial Unicode MS"/>
                <w:sz w:val="32"/>
              </w:rPr>
            </w:pPr>
          </w:p>
        </w:tc>
        <w:tc>
          <w:tcPr>
            <w:tcW w:w="1304"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182"/>
              <w:jc w:val="center"/>
              <w:rPr>
                <w:rFonts w:ascii="Arial Unicode MS" w:hAnsi="Arial Unicode MS" w:eastAsia="Times New Roman" w:cs="Arial Unicode MS"/>
                <w:sz w:val="32"/>
              </w:rPr>
            </w:pPr>
          </w:p>
        </w:tc>
      </w:tr>
    </w:tbl>
    <w:p>
      <w:pPr>
        <w:widowControl/>
        <w:spacing w:after="4" w:line="256" w:lineRule="auto"/>
        <w:ind w:left="116" w:hanging="10"/>
        <w:jc w:val="left"/>
        <w:rPr>
          <w:rFonts w:ascii="Arial Unicode MS" w:hAnsi="Arial Unicode MS" w:eastAsia="Times New Roman" w:cs="Arial Unicode MS"/>
          <w:sz w:val="32"/>
        </w:rPr>
      </w:pPr>
      <w:r>
        <w:rPr>
          <w:rFonts w:hint="eastAsia" w:ascii="宋体" w:hAnsi="宋体" w:cs="宋体"/>
        </w:rPr>
        <w:t>说明：</w:t>
      </w:r>
      <w:r>
        <w:rPr>
          <w:rFonts w:ascii="Times New Roman" w:hAnsi="Times New Roman"/>
        </w:rPr>
        <w:t>1</w:t>
      </w:r>
      <w:r>
        <w:rPr>
          <w:rFonts w:hint="eastAsia" w:ascii="宋体" w:hAnsi="宋体" w:cs="宋体"/>
        </w:rPr>
        <w:t>．项目类别指取水用计量、取用水监测、节水执法监督能力等；</w:t>
      </w:r>
    </w:p>
    <w:p>
      <w:pPr>
        <w:widowControl/>
        <w:spacing w:after="4" w:line="256" w:lineRule="auto"/>
        <w:ind w:left="750" w:hanging="10"/>
        <w:jc w:val="left"/>
        <w:rPr>
          <w:rFonts w:ascii="Arial Unicode MS" w:hAnsi="Arial Unicode MS" w:eastAsia="Times New Roman" w:cs="Arial Unicode MS"/>
          <w:sz w:val="32"/>
        </w:rPr>
      </w:pPr>
      <w:r>
        <w:rPr>
          <w:rFonts w:ascii="Times New Roman" w:hAnsi="Times New Roman"/>
        </w:rPr>
        <w:t>2</w:t>
      </w:r>
      <w:r>
        <w:rPr>
          <w:rFonts w:hint="eastAsia" w:ascii="宋体" w:hAnsi="宋体" w:cs="宋体"/>
        </w:rPr>
        <w:t>．项目所在地按</w:t>
      </w:r>
      <w:r>
        <w:rPr>
          <w:rFonts w:hint="eastAsia" w:ascii="宋体" w:cs="宋体"/>
        </w:rPr>
        <w:t>“××</w:t>
      </w:r>
      <w:r>
        <w:rPr>
          <w:rFonts w:hint="eastAsia" w:ascii="宋体" w:hAnsi="宋体" w:cs="宋体"/>
        </w:rPr>
        <w:t>区（县）</w:t>
      </w:r>
      <w:r>
        <w:rPr>
          <w:rFonts w:hint="eastAsia" w:ascii="宋体" w:cs="宋体"/>
        </w:rPr>
        <w:t>××</w:t>
      </w:r>
      <w:r>
        <w:rPr>
          <w:rFonts w:hint="eastAsia" w:ascii="宋体" w:hAnsi="宋体" w:cs="宋体"/>
        </w:rPr>
        <w:t>镇</w:t>
      </w:r>
      <w:r>
        <w:rPr>
          <w:rFonts w:hint="eastAsia" w:ascii="宋体" w:cs="宋体"/>
        </w:rPr>
        <w:t>”</w:t>
      </w:r>
      <w:r>
        <w:rPr>
          <w:rFonts w:hint="eastAsia" w:ascii="宋体" w:hAnsi="宋体" w:cs="宋体"/>
        </w:rPr>
        <w:t>格式填写。</w:t>
      </w:r>
    </w:p>
    <w:p>
      <w:pPr>
        <w:widowControl/>
        <w:spacing w:after="4" w:line="256" w:lineRule="auto"/>
        <w:ind w:left="718" w:hanging="10"/>
        <w:jc w:val="left"/>
        <w:rPr>
          <w:rFonts w:ascii="Arial Unicode MS" w:hAnsi="Arial Unicode MS" w:eastAsia="Times New Roman" w:cs="Arial Unicode MS"/>
          <w:sz w:val="32"/>
        </w:rPr>
      </w:pPr>
      <w:r>
        <w:rPr>
          <w:rFonts w:ascii="Times New Roman" w:hAnsi="Times New Roman"/>
        </w:rPr>
        <w:t>3</w:t>
      </w:r>
      <w:r>
        <w:rPr>
          <w:rFonts w:hint="eastAsia" w:ascii="宋体" w:hAnsi="宋体" w:cs="宋体"/>
        </w:rPr>
        <w:t>．投资按</w:t>
      </w:r>
      <w:r>
        <w:rPr>
          <w:rFonts w:ascii="宋体" w:hAnsi="宋体" w:cs="宋体"/>
        </w:rPr>
        <w:t xml:space="preserve"> </w:t>
      </w:r>
      <w:r>
        <w:rPr>
          <w:rFonts w:ascii="Times New Roman" w:hAnsi="Times New Roman"/>
        </w:rPr>
        <w:t xml:space="preserve">2019 </w:t>
      </w:r>
      <w:r>
        <w:rPr>
          <w:rFonts w:hint="eastAsia" w:ascii="宋体" w:hAnsi="宋体" w:cs="宋体"/>
        </w:rPr>
        <w:t>年价格计算；</w:t>
      </w:r>
    </w:p>
    <w:p>
      <w:pPr>
        <w:widowControl/>
        <w:spacing w:after="4" w:line="256" w:lineRule="auto"/>
        <w:ind w:left="718" w:hanging="10"/>
        <w:jc w:val="left"/>
        <w:rPr>
          <w:rFonts w:ascii="微软雅黑" w:hAnsi="微软雅黑" w:eastAsia="微软雅黑" w:cs="微软雅黑"/>
          <w:color w:val="0070C0"/>
          <w:sz w:val="32"/>
        </w:rPr>
      </w:pPr>
      <w:r>
        <w:rPr>
          <w:rFonts w:ascii="Times New Roman" w:hAnsi="Times New Roman"/>
        </w:rPr>
        <w:t>4</w:t>
      </w:r>
      <w:r>
        <w:rPr>
          <w:rFonts w:hint="eastAsia" w:ascii="宋体" w:hAnsi="宋体" w:cs="宋体"/>
        </w:rPr>
        <w:t>．投资渠道指中央、市级、地方等。</w:t>
      </w:r>
      <w:r>
        <w:rPr>
          <w:rFonts w:ascii="微软雅黑" w:hAnsi="微软雅黑" w:eastAsia="微软雅黑" w:cs="微软雅黑"/>
          <w:color w:val="0070C0"/>
          <w:sz w:val="32"/>
        </w:rPr>
        <w:br w:type="page"/>
      </w:r>
    </w:p>
    <w:p>
      <w:pPr>
        <w:keepNext/>
        <w:keepLines/>
        <w:widowControl/>
        <w:spacing w:line="259" w:lineRule="auto"/>
        <w:ind w:left="10" w:right="9" w:hanging="10"/>
        <w:jc w:val="center"/>
        <w:outlineLvl w:val="2"/>
        <w:rPr>
          <w:sz w:val="24"/>
          <w:szCs w:val="24"/>
        </w:rPr>
      </w:pPr>
      <w:bookmarkStart w:id="140" w:name="_Toc90482831"/>
      <w:r>
        <w:rPr>
          <w:rFonts w:hint="eastAsia" w:ascii="微软雅黑" w:hAnsi="微软雅黑" w:eastAsia="微软雅黑" w:cs="微软雅黑"/>
          <w:sz w:val="32"/>
        </w:rPr>
        <w:t>附表</w:t>
      </w:r>
      <w:r>
        <w:rPr>
          <w:rFonts w:ascii="微软雅黑" w:hAnsi="微软雅黑" w:eastAsia="微软雅黑" w:cs="微软雅黑"/>
          <w:sz w:val="32"/>
        </w:rPr>
        <w:t xml:space="preserve"> 6</w:t>
      </w:r>
      <w:r>
        <w:rPr>
          <w:rFonts w:hint="eastAsia" w:ascii="微软雅黑" w:hAnsi="微软雅黑" w:eastAsia="微软雅黑" w:cs="微软雅黑"/>
          <w:sz w:val="32"/>
        </w:rPr>
        <w:t>渝北区“十四五”节水载体创建</w:t>
      </w:r>
      <w:bookmarkEnd w:id="140"/>
    </w:p>
    <w:tbl>
      <w:tblPr>
        <w:tblStyle w:val="21"/>
        <w:tblW w:w="14704" w:type="dxa"/>
        <w:tblInd w:w="-108" w:type="dxa"/>
        <w:tblLayout w:type="autofit"/>
        <w:tblCellMar>
          <w:top w:w="0" w:type="dxa"/>
          <w:left w:w="0" w:type="dxa"/>
          <w:bottom w:w="0" w:type="dxa"/>
          <w:right w:w="130" w:type="dxa"/>
        </w:tblCellMar>
      </w:tblPr>
      <w:tblGrid>
        <w:gridCol w:w="885"/>
        <w:gridCol w:w="1196"/>
        <w:gridCol w:w="1749"/>
        <w:gridCol w:w="1638"/>
        <w:gridCol w:w="2539"/>
        <w:gridCol w:w="1051"/>
        <w:gridCol w:w="1694"/>
        <w:gridCol w:w="989"/>
        <w:gridCol w:w="1410"/>
        <w:gridCol w:w="1553"/>
      </w:tblGrid>
      <w:tr>
        <w:tblPrEx>
          <w:tblCellMar>
            <w:top w:w="0" w:type="dxa"/>
            <w:left w:w="0" w:type="dxa"/>
            <w:bottom w:w="0" w:type="dxa"/>
            <w:right w:w="130" w:type="dxa"/>
          </w:tblCellMar>
        </w:tblPrEx>
        <w:trPr>
          <w:trHeight w:val="576" w:hRule="atLeast"/>
        </w:trPr>
        <w:tc>
          <w:tcPr>
            <w:tcW w:w="888" w:type="dxa"/>
            <w:vMerge w:val="restart"/>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233"/>
              <w:jc w:val="left"/>
              <w:rPr>
                <w:rFonts w:ascii="Times New Roman" w:hAnsi="Times New Roman" w:eastAsia="Times New Roman"/>
                <w:sz w:val="32"/>
              </w:rPr>
            </w:pPr>
            <w:r>
              <w:rPr>
                <w:rFonts w:hint="eastAsia" w:ascii="Times New Roman" w:hAnsi="Times New Roman"/>
              </w:rPr>
              <w:t>序号</w:t>
            </w:r>
          </w:p>
        </w:tc>
        <w:tc>
          <w:tcPr>
            <w:tcW w:w="1200" w:type="dxa"/>
            <w:vMerge w:val="restart"/>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178"/>
              <w:rPr>
                <w:rFonts w:ascii="Times New Roman" w:hAnsi="Times New Roman" w:eastAsia="Times New Roman"/>
                <w:sz w:val="32"/>
              </w:rPr>
            </w:pPr>
            <w:r>
              <w:rPr>
                <w:rFonts w:hint="eastAsia" w:ascii="Times New Roman" w:hAnsi="Times New Roman"/>
              </w:rPr>
              <w:t>项目类别</w:t>
            </w:r>
          </w:p>
        </w:tc>
        <w:tc>
          <w:tcPr>
            <w:tcW w:w="1757" w:type="dxa"/>
            <w:vMerge w:val="restart"/>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131"/>
              <w:jc w:val="center"/>
              <w:rPr>
                <w:rFonts w:ascii="Times New Roman" w:hAnsi="Times New Roman" w:eastAsia="Times New Roman"/>
                <w:sz w:val="32"/>
              </w:rPr>
            </w:pPr>
            <w:r>
              <w:rPr>
                <w:rFonts w:hint="eastAsia" w:ascii="Times New Roman" w:hAnsi="Times New Roman"/>
              </w:rPr>
              <w:t>项目名称</w:t>
            </w:r>
          </w:p>
        </w:tc>
        <w:tc>
          <w:tcPr>
            <w:tcW w:w="1645" w:type="dxa"/>
            <w:vMerge w:val="restart"/>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130"/>
              <w:jc w:val="center"/>
              <w:rPr>
                <w:rFonts w:ascii="Times New Roman" w:hAnsi="Times New Roman" w:eastAsia="Times New Roman"/>
                <w:sz w:val="32"/>
              </w:rPr>
            </w:pPr>
            <w:r>
              <w:rPr>
                <w:rFonts w:hint="eastAsia" w:ascii="Times New Roman" w:hAnsi="Times New Roman"/>
              </w:rPr>
              <w:t>项目所在地</w:t>
            </w:r>
          </w:p>
        </w:tc>
        <w:tc>
          <w:tcPr>
            <w:tcW w:w="2551" w:type="dxa"/>
            <w:vMerge w:val="restart"/>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355"/>
              <w:jc w:val="left"/>
              <w:rPr>
                <w:rFonts w:ascii="Times New Roman" w:hAnsi="Times New Roman" w:eastAsia="Times New Roman"/>
                <w:sz w:val="32"/>
              </w:rPr>
            </w:pPr>
            <w:r>
              <w:rPr>
                <w:rFonts w:hint="eastAsia" w:ascii="Times New Roman" w:hAnsi="Times New Roman"/>
              </w:rPr>
              <w:t>主要建设内容</w:t>
            </w:r>
          </w:p>
        </w:tc>
        <w:tc>
          <w:tcPr>
            <w:tcW w:w="993" w:type="dxa"/>
            <w:vMerge w:val="restart"/>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65"/>
              <w:jc w:val="center"/>
              <w:rPr>
                <w:rFonts w:ascii="Times New Roman" w:hAnsi="Times New Roman" w:eastAsia="Times New Roman"/>
                <w:sz w:val="32"/>
              </w:rPr>
            </w:pPr>
            <w:r>
              <w:rPr>
                <w:rFonts w:hint="eastAsia" w:ascii="Times New Roman" w:hAnsi="Times New Roman"/>
              </w:rPr>
              <w:t>建设时限</w:t>
            </w:r>
          </w:p>
        </w:tc>
        <w:tc>
          <w:tcPr>
            <w:tcW w:w="1701" w:type="dxa"/>
            <w:vMerge w:val="restart"/>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65"/>
              <w:jc w:val="center"/>
              <w:rPr>
                <w:rFonts w:ascii="Times New Roman" w:hAnsi="Times New Roman" w:eastAsia="Times New Roman"/>
                <w:sz w:val="32"/>
              </w:rPr>
            </w:pPr>
            <w:r>
              <w:rPr>
                <w:rFonts w:hint="eastAsia" w:ascii="Times New Roman" w:hAnsi="Times New Roman"/>
              </w:rPr>
              <w:t>负责部门</w:t>
            </w:r>
          </w:p>
        </w:tc>
        <w:tc>
          <w:tcPr>
            <w:tcW w:w="992"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130"/>
              <w:jc w:val="center"/>
              <w:rPr>
                <w:rFonts w:ascii="Times New Roman" w:hAnsi="Times New Roman" w:eastAsia="Times New Roman"/>
                <w:sz w:val="32"/>
              </w:rPr>
            </w:pPr>
            <w:r>
              <w:rPr>
                <w:rFonts w:hint="eastAsia" w:ascii="Times New Roman" w:hAnsi="Times New Roman"/>
              </w:rPr>
              <w:t>投资</w:t>
            </w:r>
          </w:p>
        </w:tc>
        <w:tc>
          <w:tcPr>
            <w:tcW w:w="1417" w:type="dxa"/>
            <w:vMerge w:val="restart"/>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46"/>
              <w:jc w:val="center"/>
              <w:rPr>
                <w:rFonts w:ascii="Times New Roman" w:hAnsi="Times New Roman" w:eastAsia="Times New Roman"/>
                <w:sz w:val="32"/>
              </w:rPr>
            </w:pPr>
            <w:r>
              <w:rPr>
                <w:rFonts w:hint="eastAsia" w:ascii="Times New Roman" w:hAnsi="Times New Roman"/>
              </w:rPr>
              <w:t>投资渠道</w:t>
            </w:r>
          </w:p>
        </w:tc>
        <w:tc>
          <w:tcPr>
            <w:tcW w:w="1560" w:type="dxa"/>
            <w:vMerge w:val="restart"/>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129"/>
              <w:jc w:val="center"/>
              <w:rPr>
                <w:rFonts w:ascii="Times New Roman" w:hAnsi="Times New Roman" w:eastAsia="Times New Roman"/>
                <w:sz w:val="32"/>
              </w:rPr>
            </w:pPr>
            <w:r>
              <w:rPr>
                <w:rFonts w:hint="eastAsia" w:ascii="Times New Roman" w:hAnsi="Times New Roman"/>
              </w:rPr>
              <w:t>备注</w:t>
            </w:r>
          </w:p>
        </w:tc>
      </w:tr>
      <w:tr>
        <w:tblPrEx>
          <w:tblCellMar>
            <w:top w:w="0" w:type="dxa"/>
            <w:left w:w="0" w:type="dxa"/>
            <w:bottom w:w="0" w:type="dxa"/>
            <w:right w:w="130" w:type="dxa"/>
          </w:tblCellMar>
        </w:tblPrEx>
        <w:trPr>
          <w:trHeight w:val="129" w:hRule="atLeast"/>
        </w:trPr>
        <w:tc>
          <w:tcPr>
            <w:tcW w:w="0" w:type="auto"/>
            <w:vMerge w:val="continue"/>
            <w:tcBorders>
              <w:top w:val="nil"/>
              <w:left w:val="single" w:color="000000" w:sz="4" w:space="0"/>
              <w:bottom w:val="single" w:color="auto" w:sz="4" w:space="0"/>
              <w:right w:val="single" w:color="000000" w:sz="4" w:space="0"/>
            </w:tcBorders>
            <w:vAlign w:val="bottom"/>
          </w:tcPr>
          <w:p>
            <w:pPr>
              <w:widowControl/>
              <w:spacing w:after="160" w:line="259" w:lineRule="auto"/>
              <w:jc w:val="left"/>
              <w:rPr>
                <w:rFonts w:ascii="Times New Roman" w:hAnsi="Times New Roman" w:eastAsia="Times New Roman"/>
                <w:sz w:val="32"/>
              </w:rPr>
            </w:pPr>
          </w:p>
        </w:tc>
        <w:tc>
          <w:tcPr>
            <w:tcW w:w="0" w:type="auto"/>
            <w:vMerge w:val="continue"/>
            <w:tcBorders>
              <w:top w:val="nil"/>
              <w:left w:val="single" w:color="000000" w:sz="4" w:space="0"/>
              <w:bottom w:val="single" w:color="auto" w:sz="4" w:space="0"/>
              <w:right w:val="single" w:color="000000" w:sz="4" w:space="0"/>
            </w:tcBorders>
          </w:tcPr>
          <w:p>
            <w:pPr>
              <w:widowControl/>
              <w:spacing w:after="160" w:line="259" w:lineRule="auto"/>
              <w:jc w:val="left"/>
              <w:rPr>
                <w:rFonts w:ascii="Times New Roman" w:hAnsi="Times New Roman" w:eastAsia="Times New Roman"/>
                <w:sz w:val="32"/>
              </w:rPr>
            </w:pPr>
          </w:p>
        </w:tc>
        <w:tc>
          <w:tcPr>
            <w:tcW w:w="0" w:type="auto"/>
            <w:vMerge w:val="continue"/>
            <w:tcBorders>
              <w:top w:val="nil"/>
              <w:left w:val="single" w:color="000000" w:sz="4" w:space="0"/>
              <w:bottom w:val="single" w:color="auto" w:sz="4" w:space="0"/>
              <w:right w:val="single" w:color="000000" w:sz="4" w:space="0"/>
            </w:tcBorders>
          </w:tcPr>
          <w:p>
            <w:pPr>
              <w:widowControl/>
              <w:spacing w:after="160" w:line="259" w:lineRule="auto"/>
              <w:jc w:val="left"/>
              <w:rPr>
                <w:rFonts w:ascii="Times New Roman" w:hAnsi="Times New Roman" w:eastAsia="Times New Roman"/>
                <w:sz w:val="32"/>
              </w:rPr>
            </w:pPr>
          </w:p>
        </w:tc>
        <w:tc>
          <w:tcPr>
            <w:tcW w:w="1645" w:type="dxa"/>
            <w:vMerge w:val="continue"/>
            <w:tcBorders>
              <w:top w:val="nil"/>
              <w:left w:val="single" w:color="000000" w:sz="4" w:space="0"/>
              <w:bottom w:val="single" w:color="auto" w:sz="4" w:space="0"/>
              <w:right w:val="single" w:color="000000" w:sz="4" w:space="0"/>
            </w:tcBorders>
            <w:vAlign w:val="center"/>
          </w:tcPr>
          <w:p>
            <w:pPr>
              <w:widowControl/>
              <w:spacing w:after="160" w:line="259" w:lineRule="auto"/>
              <w:jc w:val="center"/>
              <w:rPr>
                <w:rFonts w:ascii="Times New Roman" w:hAnsi="Times New Roman" w:eastAsia="Times New Roman"/>
                <w:sz w:val="32"/>
              </w:rPr>
            </w:pPr>
          </w:p>
        </w:tc>
        <w:tc>
          <w:tcPr>
            <w:tcW w:w="2551" w:type="dxa"/>
            <w:vMerge w:val="continue"/>
            <w:tcBorders>
              <w:top w:val="nil"/>
              <w:left w:val="single" w:color="000000" w:sz="4" w:space="0"/>
              <w:bottom w:val="single" w:color="auto" w:sz="4" w:space="0"/>
              <w:right w:val="single" w:color="000000" w:sz="4" w:space="0"/>
            </w:tcBorders>
          </w:tcPr>
          <w:p>
            <w:pPr>
              <w:widowControl/>
              <w:spacing w:after="160" w:line="259" w:lineRule="auto"/>
              <w:jc w:val="left"/>
              <w:rPr>
                <w:rFonts w:ascii="Times New Roman" w:hAnsi="Times New Roman" w:eastAsia="Times New Roman"/>
                <w:sz w:val="32"/>
              </w:rPr>
            </w:pPr>
          </w:p>
        </w:tc>
        <w:tc>
          <w:tcPr>
            <w:tcW w:w="993" w:type="dxa"/>
            <w:vMerge w:val="continue"/>
            <w:tcBorders>
              <w:top w:val="nil"/>
              <w:left w:val="single" w:color="000000" w:sz="4" w:space="0"/>
              <w:bottom w:val="single" w:color="auto" w:sz="4" w:space="0"/>
              <w:right w:val="single" w:color="000000" w:sz="4" w:space="0"/>
            </w:tcBorders>
            <w:vAlign w:val="center"/>
          </w:tcPr>
          <w:p>
            <w:pPr>
              <w:widowControl/>
              <w:spacing w:after="160" w:line="259" w:lineRule="auto"/>
              <w:jc w:val="center"/>
              <w:rPr>
                <w:rFonts w:ascii="Times New Roman" w:hAnsi="Times New Roman" w:eastAsia="Times New Roman"/>
                <w:sz w:val="32"/>
              </w:rPr>
            </w:pPr>
          </w:p>
        </w:tc>
        <w:tc>
          <w:tcPr>
            <w:tcW w:w="1701" w:type="dxa"/>
            <w:vMerge w:val="continue"/>
            <w:tcBorders>
              <w:top w:val="nil"/>
              <w:left w:val="single" w:color="000000" w:sz="4" w:space="0"/>
              <w:bottom w:val="single" w:color="auto" w:sz="4" w:space="0"/>
              <w:right w:val="single" w:color="000000" w:sz="4" w:space="0"/>
            </w:tcBorders>
            <w:vAlign w:val="center"/>
          </w:tcPr>
          <w:p>
            <w:pPr>
              <w:widowControl/>
              <w:spacing w:after="160" w:line="259" w:lineRule="auto"/>
              <w:jc w:val="center"/>
              <w:rPr>
                <w:rFonts w:ascii="Times New Roman" w:hAnsi="Times New Roman" w:eastAsia="Times New Roman"/>
                <w:sz w:val="32"/>
              </w:rPr>
            </w:pPr>
          </w:p>
        </w:tc>
        <w:tc>
          <w:tcPr>
            <w:tcW w:w="992" w:type="dxa"/>
            <w:tcBorders>
              <w:top w:val="single" w:color="000000" w:sz="4" w:space="0"/>
              <w:left w:val="single" w:color="000000" w:sz="4" w:space="0"/>
              <w:bottom w:val="single" w:color="auto" w:sz="4" w:space="0"/>
              <w:right w:val="single" w:color="000000" w:sz="4" w:space="0"/>
            </w:tcBorders>
            <w:vAlign w:val="center"/>
          </w:tcPr>
          <w:p>
            <w:pPr>
              <w:widowControl/>
              <w:spacing w:line="259" w:lineRule="auto"/>
              <w:ind w:left="130"/>
              <w:jc w:val="center"/>
              <w:rPr>
                <w:rFonts w:ascii="Times New Roman" w:hAnsi="Times New Roman" w:eastAsia="Times New Roman"/>
                <w:sz w:val="32"/>
              </w:rPr>
            </w:pPr>
            <w:r>
              <w:rPr>
                <w:rFonts w:hint="eastAsia" w:ascii="Times New Roman" w:hAnsi="Times New Roman"/>
              </w:rPr>
              <w:t>万元</w:t>
            </w:r>
          </w:p>
        </w:tc>
        <w:tc>
          <w:tcPr>
            <w:tcW w:w="1417" w:type="dxa"/>
            <w:vMerge w:val="continue"/>
            <w:tcBorders>
              <w:top w:val="nil"/>
              <w:left w:val="single" w:color="000000" w:sz="4" w:space="0"/>
              <w:bottom w:val="single" w:color="auto" w:sz="4" w:space="0"/>
              <w:right w:val="single" w:color="000000" w:sz="4" w:space="0"/>
            </w:tcBorders>
          </w:tcPr>
          <w:p>
            <w:pPr>
              <w:widowControl/>
              <w:spacing w:after="160" w:line="259" w:lineRule="auto"/>
              <w:jc w:val="left"/>
              <w:rPr>
                <w:rFonts w:ascii="Times New Roman" w:hAnsi="Times New Roman" w:eastAsia="Times New Roman"/>
                <w:sz w:val="32"/>
              </w:rPr>
            </w:pPr>
          </w:p>
        </w:tc>
        <w:tc>
          <w:tcPr>
            <w:tcW w:w="1560" w:type="dxa"/>
            <w:vMerge w:val="continue"/>
            <w:tcBorders>
              <w:top w:val="nil"/>
              <w:left w:val="single" w:color="000000" w:sz="4" w:space="0"/>
              <w:bottom w:val="single" w:color="000000" w:sz="4" w:space="0"/>
              <w:right w:val="single" w:color="000000" w:sz="4" w:space="0"/>
            </w:tcBorders>
          </w:tcPr>
          <w:p>
            <w:pPr>
              <w:widowControl/>
              <w:spacing w:after="160" w:line="259" w:lineRule="auto"/>
              <w:jc w:val="left"/>
              <w:rPr>
                <w:rFonts w:ascii="Times New Roman" w:hAnsi="Times New Roman" w:eastAsia="Times New Roman"/>
                <w:sz w:val="32"/>
              </w:rPr>
            </w:pPr>
          </w:p>
        </w:tc>
      </w:tr>
      <w:tr>
        <w:tblPrEx>
          <w:tblCellMar>
            <w:top w:w="0" w:type="dxa"/>
            <w:left w:w="0" w:type="dxa"/>
            <w:bottom w:w="0" w:type="dxa"/>
            <w:right w:w="130" w:type="dxa"/>
          </w:tblCellMar>
        </w:tblPrEx>
        <w:trPr>
          <w:trHeight w:val="578" w:hRule="atLeast"/>
        </w:trPr>
        <w:tc>
          <w:tcPr>
            <w:tcW w:w="888" w:type="dxa"/>
            <w:tcBorders>
              <w:top w:val="single" w:color="auto" w:sz="4" w:space="0"/>
              <w:left w:val="single" w:color="auto" w:sz="4" w:space="0"/>
              <w:bottom w:val="single" w:color="auto" w:sz="4" w:space="0"/>
              <w:right w:val="single" w:color="auto" w:sz="4" w:space="0"/>
            </w:tcBorders>
            <w:vAlign w:val="center"/>
          </w:tcPr>
          <w:p>
            <w:pPr>
              <w:widowControl/>
              <w:spacing w:line="259" w:lineRule="auto"/>
              <w:ind w:left="130"/>
              <w:jc w:val="center"/>
              <w:rPr>
                <w:rFonts w:ascii="Times New Roman" w:hAnsi="Times New Roman" w:eastAsia="Times New Roman"/>
                <w:sz w:val="32"/>
              </w:rPr>
            </w:pPr>
            <w:r>
              <w:rPr>
                <w:rFonts w:ascii="Times New Roman" w:hAnsi="Times New Roman"/>
              </w:rPr>
              <w:t xml:space="preserve">1 </w:t>
            </w:r>
          </w:p>
        </w:tc>
        <w:tc>
          <w:tcPr>
            <w:tcW w:w="1200" w:type="dxa"/>
            <w:tcBorders>
              <w:top w:val="single" w:color="auto" w:sz="4" w:space="0"/>
              <w:left w:val="single" w:color="auto" w:sz="4" w:space="0"/>
              <w:bottom w:val="single" w:color="auto" w:sz="4" w:space="0"/>
              <w:right w:val="single" w:color="auto" w:sz="4" w:space="0"/>
            </w:tcBorders>
            <w:vAlign w:val="center"/>
          </w:tcPr>
          <w:p>
            <w:pPr>
              <w:jc w:val="center"/>
            </w:pPr>
            <w:r>
              <w:rPr>
                <w:rFonts w:hint="eastAsia"/>
              </w:rPr>
              <w:t>节水型企业</w:t>
            </w:r>
          </w:p>
        </w:tc>
        <w:tc>
          <w:tcPr>
            <w:tcW w:w="1757" w:type="dxa"/>
            <w:tcBorders>
              <w:top w:val="single" w:color="auto" w:sz="4" w:space="0"/>
              <w:left w:val="single" w:color="auto" w:sz="4" w:space="0"/>
              <w:bottom w:val="single" w:color="auto" w:sz="4" w:space="0"/>
              <w:right w:val="single" w:color="auto" w:sz="4" w:space="0"/>
            </w:tcBorders>
            <w:vAlign w:val="center"/>
          </w:tcPr>
          <w:p>
            <w:pPr>
              <w:jc w:val="center"/>
            </w:pPr>
            <w:r>
              <w:rPr>
                <w:rFonts w:hint="eastAsia"/>
              </w:rPr>
              <w:t>节水型企业创建</w:t>
            </w:r>
          </w:p>
        </w:tc>
        <w:tc>
          <w:tcPr>
            <w:tcW w:w="1645" w:type="dxa"/>
            <w:tcBorders>
              <w:top w:val="single" w:color="auto" w:sz="4" w:space="0"/>
              <w:left w:val="single" w:color="auto" w:sz="4" w:space="0"/>
              <w:bottom w:val="single" w:color="auto" w:sz="4" w:space="0"/>
              <w:right w:val="single" w:color="auto" w:sz="4" w:space="0"/>
            </w:tcBorders>
            <w:vAlign w:val="center"/>
          </w:tcPr>
          <w:p>
            <w:pPr>
              <w:jc w:val="center"/>
            </w:pPr>
            <w:r>
              <w:rPr>
                <w:rFonts w:hint="eastAsia"/>
              </w:rPr>
              <w:t>渝北区</w:t>
            </w:r>
          </w:p>
        </w:tc>
        <w:tc>
          <w:tcPr>
            <w:tcW w:w="2551" w:type="dxa"/>
            <w:tcBorders>
              <w:top w:val="single" w:color="auto" w:sz="4" w:space="0"/>
              <w:left w:val="single" w:color="auto" w:sz="4" w:space="0"/>
              <w:bottom w:val="single" w:color="auto" w:sz="4" w:space="0"/>
              <w:right w:val="single" w:color="auto" w:sz="4" w:space="0"/>
            </w:tcBorders>
            <w:vAlign w:val="center"/>
          </w:tcPr>
          <w:p>
            <w:pPr>
              <w:widowControl/>
              <w:rPr>
                <w:rFonts w:ascii="Times New Roman" w:hAnsi="Times New Roman"/>
                <w:szCs w:val="21"/>
              </w:rPr>
            </w:pPr>
            <w:r>
              <w:rPr>
                <w:rFonts w:hint="eastAsia" w:ascii="Times New Roman" w:hAnsi="Times New Roman"/>
                <w:szCs w:val="21"/>
              </w:rPr>
              <w:t>规模以上节水型企业建成率达到</w:t>
            </w:r>
            <w:r>
              <w:rPr>
                <w:rFonts w:ascii="Times New Roman" w:hAnsi="Times New Roman"/>
                <w:szCs w:val="21"/>
              </w:rPr>
              <w:t>100%</w:t>
            </w:r>
            <w:r>
              <w:rPr>
                <w:rFonts w:hint="eastAsia" w:ascii="Times New Roman" w:hAnsi="Times New Roman"/>
                <w:szCs w:val="21"/>
              </w:rPr>
              <w:t>（重点行业年用水量</w:t>
            </w:r>
            <w:r>
              <w:rPr>
                <w:rFonts w:ascii="Times New Roman" w:hAnsi="Times New Roman"/>
                <w:szCs w:val="21"/>
              </w:rPr>
              <w:t>10</w:t>
            </w:r>
            <w:r>
              <w:rPr>
                <w:rFonts w:hint="eastAsia" w:ascii="Times New Roman" w:hAnsi="Times New Roman"/>
                <w:szCs w:val="21"/>
              </w:rPr>
              <w:t>万</w:t>
            </w:r>
            <w:r>
              <w:rPr>
                <w:rFonts w:ascii="Times New Roman" w:hAnsi="Times New Roman"/>
                <w:szCs w:val="21"/>
              </w:rPr>
              <w:t>m</w:t>
            </w:r>
            <w:r>
              <w:rPr>
                <w:rFonts w:ascii="Times New Roman" w:hAnsi="Times New Roman"/>
                <w:szCs w:val="21"/>
                <w:vertAlign w:val="superscript"/>
              </w:rPr>
              <w:t>3</w:t>
            </w:r>
            <w:r>
              <w:rPr>
                <w:rFonts w:hint="eastAsia" w:ascii="Times New Roman" w:hAnsi="Times New Roman"/>
                <w:szCs w:val="21"/>
              </w:rPr>
              <w:t>以上）</w:t>
            </w:r>
          </w:p>
        </w:tc>
        <w:tc>
          <w:tcPr>
            <w:tcW w:w="993" w:type="dxa"/>
            <w:tcBorders>
              <w:top w:val="single" w:color="auto" w:sz="4" w:space="0"/>
              <w:left w:val="single" w:color="auto" w:sz="4" w:space="0"/>
              <w:bottom w:val="single" w:color="auto" w:sz="4" w:space="0"/>
              <w:right w:val="single" w:color="auto" w:sz="4" w:space="0"/>
            </w:tcBorders>
            <w:vAlign w:val="center"/>
          </w:tcPr>
          <w:p>
            <w:pPr>
              <w:jc w:val="center"/>
            </w:pPr>
            <w:r>
              <w:t>2021-2025</w:t>
            </w:r>
            <w:r>
              <w:rPr>
                <w:rFonts w:hint="eastAsia"/>
              </w:rPr>
              <w:t>年</w:t>
            </w:r>
          </w:p>
        </w:tc>
        <w:tc>
          <w:tcPr>
            <w:tcW w:w="1701" w:type="dxa"/>
            <w:tcBorders>
              <w:top w:val="single" w:color="auto" w:sz="4" w:space="0"/>
              <w:left w:val="single" w:color="auto" w:sz="4" w:space="0"/>
              <w:bottom w:val="single" w:color="auto" w:sz="4" w:space="0"/>
              <w:right w:val="single" w:color="auto" w:sz="4" w:space="0"/>
            </w:tcBorders>
            <w:vAlign w:val="center"/>
          </w:tcPr>
          <w:p>
            <w:pPr>
              <w:jc w:val="center"/>
            </w:pPr>
            <w:r>
              <w:rPr>
                <w:rFonts w:hint="eastAsia"/>
              </w:rPr>
              <w:t>区经济信息委</w:t>
            </w:r>
          </w:p>
        </w:tc>
        <w:tc>
          <w:tcPr>
            <w:tcW w:w="992" w:type="dxa"/>
            <w:tcBorders>
              <w:top w:val="single" w:color="auto" w:sz="4" w:space="0"/>
              <w:left w:val="single" w:color="auto" w:sz="4" w:space="0"/>
              <w:bottom w:val="single" w:color="auto" w:sz="4" w:space="0"/>
              <w:right w:val="single" w:color="auto" w:sz="4" w:space="0"/>
            </w:tcBorders>
            <w:vAlign w:val="center"/>
          </w:tcPr>
          <w:p>
            <w:pPr>
              <w:jc w:val="center"/>
              <w:rPr>
                <w:rFonts w:ascii="Times New Roman" w:hAnsi="Times New Roman"/>
                <w:szCs w:val="21"/>
              </w:rPr>
            </w:pPr>
            <w:r>
              <w:rPr>
                <w:rFonts w:ascii="Times New Roman" w:hAnsi="Times New Roman"/>
                <w:szCs w:val="21"/>
              </w:rPr>
              <w:t>50</w:t>
            </w:r>
          </w:p>
        </w:tc>
        <w:tc>
          <w:tcPr>
            <w:tcW w:w="1417" w:type="dxa"/>
            <w:tcBorders>
              <w:top w:val="single" w:color="auto" w:sz="4" w:space="0"/>
              <w:left w:val="single" w:color="auto" w:sz="4" w:space="0"/>
              <w:bottom w:val="single" w:color="auto" w:sz="4" w:space="0"/>
              <w:right w:val="single" w:color="auto" w:sz="4" w:space="0"/>
            </w:tcBorders>
            <w:vAlign w:val="center"/>
          </w:tcPr>
          <w:p>
            <w:pPr>
              <w:widowControl/>
              <w:spacing w:line="259" w:lineRule="auto"/>
              <w:ind w:left="180"/>
              <w:jc w:val="center"/>
              <w:rPr>
                <w:rFonts w:ascii="Times New Roman" w:hAnsi="Times New Roman" w:eastAsia="Times New Roman"/>
                <w:sz w:val="32"/>
              </w:rPr>
            </w:pPr>
          </w:p>
        </w:tc>
        <w:tc>
          <w:tcPr>
            <w:tcW w:w="1560" w:type="dxa"/>
            <w:tcBorders>
              <w:top w:val="single" w:color="000000" w:sz="4" w:space="0"/>
              <w:left w:val="single" w:color="auto" w:sz="4" w:space="0"/>
              <w:bottom w:val="single" w:color="000000" w:sz="4" w:space="0"/>
              <w:right w:val="single" w:color="000000" w:sz="4" w:space="0"/>
            </w:tcBorders>
            <w:vAlign w:val="center"/>
          </w:tcPr>
          <w:p>
            <w:pPr>
              <w:widowControl/>
              <w:spacing w:line="259" w:lineRule="auto"/>
              <w:ind w:left="182"/>
              <w:jc w:val="center"/>
              <w:rPr>
                <w:rFonts w:ascii="Times New Roman" w:hAnsi="Times New Roman" w:eastAsia="Times New Roman"/>
                <w:sz w:val="32"/>
              </w:rPr>
            </w:pPr>
          </w:p>
        </w:tc>
      </w:tr>
      <w:tr>
        <w:tblPrEx>
          <w:tblCellMar>
            <w:top w:w="0" w:type="dxa"/>
            <w:left w:w="0" w:type="dxa"/>
            <w:bottom w:w="0" w:type="dxa"/>
            <w:right w:w="130" w:type="dxa"/>
          </w:tblCellMar>
        </w:tblPrEx>
        <w:trPr>
          <w:trHeight w:val="578" w:hRule="atLeast"/>
        </w:trPr>
        <w:tc>
          <w:tcPr>
            <w:tcW w:w="888" w:type="dxa"/>
            <w:tcBorders>
              <w:top w:val="single" w:color="auto" w:sz="4" w:space="0"/>
              <w:left w:val="single" w:color="auto" w:sz="4" w:space="0"/>
              <w:bottom w:val="single" w:color="auto" w:sz="4" w:space="0"/>
              <w:right w:val="single" w:color="auto" w:sz="4" w:space="0"/>
            </w:tcBorders>
            <w:vAlign w:val="center"/>
          </w:tcPr>
          <w:p>
            <w:pPr>
              <w:widowControl/>
              <w:spacing w:line="259" w:lineRule="auto"/>
              <w:ind w:left="130"/>
              <w:jc w:val="center"/>
              <w:rPr>
                <w:rFonts w:ascii="Times New Roman" w:hAnsi="Times New Roman"/>
              </w:rPr>
            </w:pPr>
            <w:r>
              <w:rPr>
                <w:rFonts w:ascii="Times New Roman" w:hAnsi="Times New Roman"/>
              </w:rPr>
              <w:t>2</w:t>
            </w:r>
          </w:p>
        </w:tc>
        <w:tc>
          <w:tcPr>
            <w:tcW w:w="1200" w:type="dxa"/>
            <w:tcBorders>
              <w:top w:val="single" w:color="auto" w:sz="4" w:space="0"/>
              <w:left w:val="single" w:color="auto" w:sz="4" w:space="0"/>
              <w:bottom w:val="single" w:color="auto" w:sz="4" w:space="0"/>
              <w:right w:val="single" w:color="auto" w:sz="4" w:space="0"/>
            </w:tcBorders>
            <w:vAlign w:val="center"/>
          </w:tcPr>
          <w:p>
            <w:pPr>
              <w:jc w:val="center"/>
            </w:pPr>
            <w:r>
              <w:rPr>
                <w:rFonts w:hint="eastAsia"/>
              </w:rPr>
              <w:t>绿色工厂</w:t>
            </w:r>
          </w:p>
        </w:tc>
        <w:tc>
          <w:tcPr>
            <w:tcW w:w="1757" w:type="dxa"/>
            <w:tcBorders>
              <w:top w:val="single" w:color="auto" w:sz="4" w:space="0"/>
              <w:left w:val="single" w:color="auto" w:sz="4" w:space="0"/>
              <w:bottom w:val="single" w:color="auto" w:sz="4" w:space="0"/>
              <w:right w:val="single" w:color="auto" w:sz="4" w:space="0"/>
            </w:tcBorders>
            <w:vAlign w:val="center"/>
          </w:tcPr>
          <w:p>
            <w:pPr>
              <w:jc w:val="center"/>
            </w:pPr>
            <w:r>
              <w:rPr>
                <w:rFonts w:hint="eastAsia"/>
              </w:rPr>
              <w:t>绿色工厂创建</w:t>
            </w:r>
          </w:p>
        </w:tc>
        <w:tc>
          <w:tcPr>
            <w:tcW w:w="1645" w:type="dxa"/>
            <w:tcBorders>
              <w:top w:val="single" w:color="auto" w:sz="4" w:space="0"/>
              <w:left w:val="single" w:color="auto" w:sz="4" w:space="0"/>
              <w:bottom w:val="single" w:color="auto" w:sz="4" w:space="0"/>
              <w:right w:val="single" w:color="auto" w:sz="4" w:space="0"/>
            </w:tcBorders>
            <w:vAlign w:val="center"/>
          </w:tcPr>
          <w:p>
            <w:pPr>
              <w:jc w:val="center"/>
            </w:pPr>
            <w:r>
              <w:rPr>
                <w:rFonts w:hint="eastAsia"/>
              </w:rPr>
              <w:t>渝北区</w:t>
            </w:r>
          </w:p>
        </w:tc>
        <w:tc>
          <w:tcPr>
            <w:tcW w:w="2551" w:type="dxa"/>
            <w:tcBorders>
              <w:top w:val="single" w:color="auto" w:sz="4" w:space="0"/>
              <w:left w:val="single" w:color="auto" w:sz="4" w:space="0"/>
              <w:bottom w:val="single" w:color="auto" w:sz="4" w:space="0"/>
              <w:right w:val="single" w:color="auto" w:sz="4" w:space="0"/>
            </w:tcBorders>
            <w:vAlign w:val="center"/>
          </w:tcPr>
          <w:p>
            <w:pPr>
              <w:widowControl/>
              <w:rPr>
                <w:rFonts w:ascii="Times New Roman" w:hAnsi="Times New Roman"/>
                <w:szCs w:val="21"/>
              </w:rPr>
            </w:pPr>
            <w:r>
              <w:rPr>
                <w:rFonts w:hint="eastAsia" w:ascii="Times New Roman" w:hAnsi="Times New Roman"/>
                <w:szCs w:val="21"/>
              </w:rPr>
              <w:t>新创建绿色工厂</w:t>
            </w:r>
            <w:r>
              <w:rPr>
                <w:rFonts w:ascii="Times New Roman" w:hAnsi="Times New Roman"/>
                <w:szCs w:val="21"/>
              </w:rPr>
              <w:t>5</w:t>
            </w:r>
            <w:r>
              <w:rPr>
                <w:rFonts w:hint="eastAsia" w:ascii="Times New Roman" w:hAnsi="Times New Roman"/>
                <w:szCs w:val="21"/>
              </w:rPr>
              <w:t>家（争取每年创建</w:t>
            </w:r>
            <w:r>
              <w:rPr>
                <w:rFonts w:ascii="Times New Roman" w:hAnsi="Times New Roman"/>
                <w:szCs w:val="21"/>
              </w:rPr>
              <w:t>1</w:t>
            </w:r>
            <w:r>
              <w:rPr>
                <w:rFonts w:hint="eastAsia" w:ascii="Times New Roman" w:hAnsi="Times New Roman"/>
                <w:szCs w:val="21"/>
              </w:rPr>
              <w:t>家绿色工厂，创建成功</w:t>
            </w:r>
            <w:r>
              <w:rPr>
                <w:rFonts w:ascii="Times New Roman" w:hAnsi="Times New Roman"/>
                <w:szCs w:val="21"/>
              </w:rPr>
              <w:t>1</w:t>
            </w:r>
            <w:r>
              <w:rPr>
                <w:rFonts w:hint="eastAsia" w:ascii="Times New Roman" w:hAnsi="Times New Roman"/>
                <w:szCs w:val="21"/>
              </w:rPr>
              <w:t>家奖励</w:t>
            </w:r>
            <w:r>
              <w:rPr>
                <w:rFonts w:ascii="Times New Roman" w:hAnsi="Times New Roman"/>
                <w:szCs w:val="21"/>
              </w:rPr>
              <w:t>20</w:t>
            </w:r>
            <w:r>
              <w:rPr>
                <w:rFonts w:hint="eastAsia" w:ascii="Times New Roman" w:hAnsi="Times New Roman"/>
                <w:szCs w:val="21"/>
              </w:rPr>
              <w:t>万元）</w:t>
            </w:r>
          </w:p>
        </w:tc>
        <w:tc>
          <w:tcPr>
            <w:tcW w:w="993" w:type="dxa"/>
            <w:tcBorders>
              <w:top w:val="single" w:color="auto" w:sz="4" w:space="0"/>
              <w:left w:val="single" w:color="auto" w:sz="4" w:space="0"/>
              <w:bottom w:val="single" w:color="auto" w:sz="4" w:space="0"/>
              <w:right w:val="single" w:color="auto" w:sz="4" w:space="0"/>
            </w:tcBorders>
            <w:vAlign w:val="center"/>
          </w:tcPr>
          <w:p>
            <w:pPr>
              <w:jc w:val="center"/>
            </w:pPr>
            <w:r>
              <w:t>2021-2025</w:t>
            </w:r>
            <w:r>
              <w:rPr>
                <w:rFonts w:hint="eastAsia"/>
              </w:rPr>
              <w:t>年</w:t>
            </w:r>
          </w:p>
        </w:tc>
        <w:tc>
          <w:tcPr>
            <w:tcW w:w="1701" w:type="dxa"/>
            <w:tcBorders>
              <w:top w:val="single" w:color="auto" w:sz="4" w:space="0"/>
              <w:left w:val="single" w:color="auto" w:sz="4" w:space="0"/>
              <w:bottom w:val="single" w:color="auto" w:sz="4" w:space="0"/>
              <w:right w:val="single" w:color="auto" w:sz="4" w:space="0"/>
            </w:tcBorders>
            <w:vAlign w:val="center"/>
          </w:tcPr>
          <w:p>
            <w:pPr>
              <w:jc w:val="center"/>
            </w:pPr>
            <w:r>
              <w:rPr>
                <w:rFonts w:hint="eastAsia"/>
              </w:rPr>
              <w:t>区经济信息委</w:t>
            </w:r>
          </w:p>
        </w:tc>
        <w:tc>
          <w:tcPr>
            <w:tcW w:w="992" w:type="dxa"/>
            <w:tcBorders>
              <w:top w:val="single" w:color="auto" w:sz="4" w:space="0"/>
              <w:left w:val="single" w:color="auto" w:sz="4" w:space="0"/>
              <w:bottom w:val="single" w:color="auto" w:sz="4" w:space="0"/>
              <w:right w:val="single" w:color="auto" w:sz="4" w:space="0"/>
            </w:tcBorders>
            <w:vAlign w:val="center"/>
          </w:tcPr>
          <w:p>
            <w:pPr>
              <w:jc w:val="center"/>
              <w:rPr>
                <w:rFonts w:ascii="Times New Roman" w:hAnsi="Times New Roman"/>
                <w:szCs w:val="21"/>
              </w:rPr>
            </w:pPr>
            <w:r>
              <w:rPr>
                <w:rFonts w:ascii="Times New Roman" w:hAnsi="Times New Roman"/>
                <w:szCs w:val="21"/>
              </w:rPr>
              <w:t>100</w:t>
            </w:r>
          </w:p>
        </w:tc>
        <w:tc>
          <w:tcPr>
            <w:tcW w:w="1417" w:type="dxa"/>
            <w:tcBorders>
              <w:top w:val="single" w:color="auto" w:sz="4" w:space="0"/>
              <w:left w:val="single" w:color="auto" w:sz="4" w:space="0"/>
              <w:bottom w:val="single" w:color="auto" w:sz="4" w:space="0"/>
              <w:right w:val="single" w:color="auto" w:sz="4" w:space="0"/>
            </w:tcBorders>
            <w:vAlign w:val="center"/>
          </w:tcPr>
          <w:p>
            <w:pPr>
              <w:widowControl/>
              <w:spacing w:line="259" w:lineRule="auto"/>
              <w:ind w:left="180"/>
              <w:jc w:val="center"/>
              <w:rPr>
                <w:rFonts w:ascii="Times New Roman" w:hAnsi="Times New Roman"/>
              </w:rPr>
            </w:pPr>
          </w:p>
        </w:tc>
        <w:tc>
          <w:tcPr>
            <w:tcW w:w="1560" w:type="dxa"/>
            <w:tcBorders>
              <w:top w:val="single" w:color="000000" w:sz="4" w:space="0"/>
              <w:left w:val="single" w:color="auto" w:sz="4" w:space="0"/>
              <w:bottom w:val="single" w:color="000000" w:sz="4" w:space="0"/>
              <w:right w:val="single" w:color="000000" w:sz="4" w:space="0"/>
            </w:tcBorders>
            <w:vAlign w:val="center"/>
          </w:tcPr>
          <w:p>
            <w:pPr>
              <w:widowControl/>
              <w:spacing w:line="259" w:lineRule="auto"/>
              <w:ind w:left="182"/>
              <w:jc w:val="center"/>
              <w:rPr>
                <w:rFonts w:ascii="Times New Roman" w:hAnsi="Times New Roman"/>
              </w:rPr>
            </w:pPr>
          </w:p>
        </w:tc>
      </w:tr>
      <w:tr>
        <w:tblPrEx>
          <w:tblCellMar>
            <w:top w:w="0" w:type="dxa"/>
            <w:left w:w="0" w:type="dxa"/>
            <w:bottom w:w="0" w:type="dxa"/>
            <w:right w:w="130" w:type="dxa"/>
          </w:tblCellMar>
        </w:tblPrEx>
        <w:trPr>
          <w:trHeight w:val="576" w:hRule="atLeast"/>
        </w:trPr>
        <w:tc>
          <w:tcPr>
            <w:tcW w:w="888" w:type="dxa"/>
            <w:tcBorders>
              <w:top w:val="single" w:color="auto" w:sz="4" w:space="0"/>
              <w:left w:val="single" w:color="auto" w:sz="4" w:space="0"/>
              <w:bottom w:val="single" w:color="auto" w:sz="4" w:space="0"/>
              <w:right w:val="single" w:color="auto" w:sz="4" w:space="0"/>
            </w:tcBorders>
            <w:vAlign w:val="center"/>
          </w:tcPr>
          <w:p>
            <w:pPr>
              <w:widowControl/>
              <w:spacing w:line="259" w:lineRule="auto"/>
              <w:ind w:left="130"/>
              <w:jc w:val="center"/>
              <w:rPr>
                <w:rFonts w:ascii="Times New Roman" w:hAnsi="Times New Roman" w:eastAsia="Times New Roman"/>
                <w:sz w:val="32"/>
              </w:rPr>
            </w:pPr>
            <w:r>
              <w:rPr>
                <w:rFonts w:ascii="Times New Roman" w:hAnsi="Times New Roman"/>
              </w:rPr>
              <w:t xml:space="preserve">3 </w:t>
            </w:r>
          </w:p>
        </w:tc>
        <w:tc>
          <w:tcPr>
            <w:tcW w:w="1200" w:type="dxa"/>
            <w:tcBorders>
              <w:top w:val="single" w:color="auto" w:sz="4" w:space="0"/>
              <w:left w:val="single" w:color="auto" w:sz="4" w:space="0"/>
              <w:bottom w:val="single" w:color="auto" w:sz="4" w:space="0"/>
              <w:right w:val="single" w:color="auto" w:sz="4" w:space="0"/>
            </w:tcBorders>
            <w:vAlign w:val="center"/>
          </w:tcPr>
          <w:p>
            <w:pPr>
              <w:jc w:val="center"/>
            </w:pPr>
            <w:r>
              <w:rPr>
                <w:rFonts w:hint="eastAsia"/>
              </w:rPr>
              <w:t>节水型单位</w:t>
            </w:r>
          </w:p>
        </w:tc>
        <w:tc>
          <w:tcPr>
            <w:tcW w:w="1757" w:type="dxa"/>
            <w:tcBorders>
              <w:top w:val="single" w:color="auto" w:sz="4" w:space="0"/>
              <w:left w:val="single" w:color="auto" w:sz="4" w:space="0"/>
              <w:bottom w:val="single" w:color="auto" w:sz="4" w:space="0"/>
              <w:right w:val="single" w:color="auto" w:sz="4" w:space="0"/>
            </w:tcBorders>
            <w:vAlign w:val="center"/>
          </w:tcPr>
          <w:p>
            <w:pPr>
              <w:jc w:val="center"/>
            </w:pPr>
            <w:r>
              <w:rPr>
                <w:rFonts w:hint="eastAsia"/>
              </w:rPr>
              <w:t>节水型单位创建</w:t>
            </w:r>
          </w:p>
        </w:tc>
        <w:tc>
          <w:tcPr>
            <w:tcW w:w="1645" w:type="dxa"/>
            <w:tcBorders>
              <w:top w:val="single" w:color="auto" w:sz="4" w:space="0"/>
              <w:left w:val="single" w:color="auto" w:sz="4" w:space="0"/>
              <w:bottom w:val="single" w:color="auto" w:sz="4" w:space="0"/>
              <w:right w:val="single" w:color="auto" w:sz="4" w:space="0"/>
            </w:tcBorders>
            <w:vAlign w:val="center"/>
          </w:tcPr>
          <w:p>
            <w:pPr>
              <w:jc w:val="center"/>
            </w:pPr>
            <w:r>
              <w:rPr>
                <w:rFonts w:hint="eastAsia"/>
              </w:rPr>
              <w:t>渝北区</w:t>
            </w:r>
          </w:p>
        </w:tc>
        <w:tc>
          <w:tcPr>
            <w:tcW w:w="2551" w:type="dxa"/>
            <w:tcBorders>
              <w:top w:val="single" w:color="auto" w:sz="4" w:space="0"/>
              <w:left w:val="single" w:color="auto" w:sz="4" w:space="0"/>
              <w:bottom w:val="single" w:color="auto" w:sz="4" w:space="0"/>
              <w:right w:val="single" w:color="auto" w:sz="4" w:space="0"/>
            </w:tcBorders>
            <w:vAlign w:val="center"/>
          </w:tcPr>
          <w:p>
            <w:pPr>
              <w:widowControl/>
              <w:rPr>
                <w:rFonts w:ascii="Times New Roman" w:hAnsi="Times New Roman"/>
                <w:szCs w:val="21"/>
                <w:highlight w:val="yellow"/>
              </w:rPr>
            </w:pPr>
            <w:r>
              <w:rPr>
                <w:rFonts w:hint="eastAsia" w:ascii="Times New Roman" w:hAnsi="Times New Roman"/>
                <w:szCs w:val="21"/>
              </w:rPr>
              <w:t>全部区级机关和</w:t>
            </w:r>
            <w:r>
              <w:rPr>
                <w:rFonts w:ascii="Times New Roman" w:hAnsi="Times New Roman"/>
                <w:szCs w:val="21"/>
              </w:rPr>
              <w:t>55%</w:t>
            </w:r>
            <w:r>
              <w:rPr>
                <w:rFonts w:hint="eastAsia" w:ascii="Times New Roman" w:hAnsi="Times New Roman"/>
                <w:szCs w:val="21"/>
              </w:rPr>
              <w:t>的区级其他公共机构创建成节水型单位</w:t>
            </w:r>
          </w:p>
        </w:tc>
        <w:tc>
          <w:tcPr>
            <w:tcW w:w="993" w:type="dxa"/>
            <w:tcBorders>
              <w:top w:val="single" w:color="auto" w:sz="4" w:space="0"/>
              <w:left w:val="single" w:color="auto" w:sz="4" w:space="0"/>
              <w:bottom w:val="single" w:color="auto" w:sz="4" w:space="0"/>
              <w:right w:val="single" w:color="auto" w:sz="4" w:space="0"/>
            </w:tcBorders>
            <w:vAlign w:val="center"/>
          </w:tcPr>
          <w:p>
            <w:pPr>
              <w:jc w:val="center"/>
            </w:pPr>
            <w:r>
              <w:t>2021-2025</w:t>
            </w:r>
            <w:r>
              <w:rPr>
                <w:rFonts w:hint="eastAsia"/>
              </w:rPr>
              <w:t>年</w:t>
            </w:r>
          </w:p>
        </w:tc>
        <w:tc>
          <w:tcPr>
            <w:tcW w:w="1701" w:type="dxa"/>
            <w:tcBorders>
              <w:top w:val="single" w:color="auto" w:sz="4" w:space="0"/>
              <w:left w:val="single" w:color="auto" w:sz="4" w:space="0"/>
              <w:bottom w:val="single" w:color="auto" w:sz="4" w:space="0"/>
              <w:right w:val="single" w:color="auto" w:sz="4" w:space="0"/>
            </w:tcBorders>
            <w:vAlign w:val="center"/>
          </w:tcPr>
          <w:p>
            <w:pPr>
              <w:jc w:val="center"/>
            </w:pPr>
            <w:r>
              <w:rPr>
                <w:rFonts w:hint="eastAsia"/>
              </w:rPr>
              <w:t>区机关事务中心</w:t>
            </w:r>
          </w:p>
        </w:tc>
        <w:tc>
          <w:tcPr>
            <w:tcW w:w="992" w:type="dxa"/>
            <w:tcBorders>
              <w:top w:val="single" w:color="auto" w:sz="4" w:space="0"/>
              <w:left w:val="single" w:color="auto" w:sz="4" w:space="0"/>
              <w:bottom w:val="single" w:color="auto" w:sz="4" w:space="0"/>
              <w:right w:val="single" w:color="auto" w:sz="4" w:space="0"/>
            </w:tcBorders>
            <w:vAlign w:val="center"/>
          </w:tcPr>
          <w:p>
            <w:pPr>
              <w:jc w:val="center"/>
              <w:rPr>
                <w:rFonts w:ascii="Times New Roman" w:hAnsi="Times New Roman"/>
                <w:szCs w:val="21"/>
                <w:highlight w:val="yellow"/>
              </w:rPr>
            </w:pPr>
            <w:r>
              <w:rPr>
                <w:rFonts w:ascii="Times New Roman" w:hAnsi="Times New Roman"/>
                <w:szCs w:val="21"/>
              </w:rPr>
              <w:t>300</w:t>
            </w:r>
          </w:p>
        </w:tc>
        <w:tc>
          <w:tcPr>
            <w:tcW w:w="1417" w:type="dxa"/>
            <w:tcBorders>
              <w:top w:val="single" w:color="auto" w:sz="4" w:space="0"/>
              <w:left w:val="single" w:color="auto" w:sz="4" w:space="0"/>
              <w:bottom w:val="single" w:color="auto" w:sz="4" w:space="0"/>
              <w:right w:val="single" w:color="auto" w:sz="4" w:space="0"/>
            </w:tcBorders>
            <w:vAlign w:val="center"/>
          </w:tcPr>
          <w:p>
            <w:pPr>
              <w:widowControl/>
              <w:spacing w:line="259" w:lineRule="auto"/>
              <w:ind w:left="180"/>
              <w:jc w:val="center"/>
              <w:rPr>
                <w:rFonts w:ascii="Times New Roman" w:hAnsi="Times New Roman" w:eastAsia="Times New Roman"/>
                <w:sz w:val="32"/>
              </w:rPr>
            </w:pPr>
          </w:p>
        </w:tc>
        <w:tc>
          <w:tcPr>
            <w:tcW w:w="1560" w:type="dxa"/>
            <w:tcBorders>
              <w:top w:val="single" w:color="000000" w:sz="4" w:space="0"/>
              <w:left w:val="single" w:color="auto" w:sz="4" w:space="0"/>
              <w:bottom w:val="single" w:color="000000" w:sz="4" w:space="0"/>
              <w:right w:val="single" w:color="000000" w:sz="4" w:space="0"/>
            </w:tcBorders>
            <w:vAlign w:val="center"/>
          </w:tcPr>
          <w:p>
            <w:pPr>
              <w:widowControl/>
              <w:spacing w:line="259" w:lineRule="auto"/>
              <w:ind w:left="182"/>
              <w:jc w:val="center"/>
              <w:rPr>
                <w:rFonts w:ascii="Times New Roman" w:hAnsi="Times New Roman" w:eastAsia="Times New Roman"/>
                <w:sz w:val="32"/>
              </w:rPr>
            </w:pPr>
          </w:p>
        </w:tc>
      </w:tr>
      <w:tr>
        <w:tblPrEx>
          <w:tblCellMar>
            <w:top w:w="0" w:type="dxa"/>
            <w:left w:w="0" w:type="dxa"/>
            <w:bottom w:w="0" w:type="dxa"/>
            <w:right w:w="130" w:type="dxa"/>
          </w:tblCellMar>
        </w:tblPrEx>
        <w:trPr>
          <w:trHeight w:val="578" w:hRule="atLeast"/>
        </w:trPr>
        <w:tc>
          <w:tcPr>
            <w:tcW w:w="888" w:type="dxa"/>
            <w:tcBorders>
              <w:top w:val="single" w:color="auto" w:sz="4" w:space="0"/>
              <w:left w:val="single" w:color="auto" w:sz="4" w:space="0"/>
              <w:bottom w:val="single" w:color="auto" w:sz="4" w:space="0"/>
              <w:right w:val="single" w:color="auto" w:sz="4" w:space="0"/>
            </w:tcBorders>
            <w:vAlign w:val="center"/>
          </w:tcPr>
          <w:p>
            <w:pPr>
              <w:widowControl/>
              <w:spacing w:line="259" w:lineRule="auto"/>
              <w:ind w:left="130"/>
              <w:jc w:val="center"/>
              <w:rPr>
                <w:rFonts w:ascii="Times New Roman" w:hAnsi="Times New Roman" w:eastAsia="Times New Roman"/>
                <w:sz w:val="32"/>
              </w:rPr>
            </w:pPr>
            <w:r>
              <w:rPr>
                <w:rFonts w:ascii="Times New Roman" w:hAnsi="Times New Roman"/>
              </w:rPr>
              <w:t>4</w:t>
            </w:r>
          </w:p>
        </w:tc>
        <w:tc>
          <w:tcPr>
            <w:tcW w:w="1200" w:type="dxa"/>
            <w:tcBorders>
              <w:top w:val="single" w:color="auto" w:sz="4" w:space="0"/>
              <w:left w:val="single" w:color="auto" w:sz="4" w:space="0"/>
              <w:bottom w:val="single" w:color="auto" w:sz="4" w:space="0"/>
              <w:right w:val="single" w:color="auto" w:sz="4" w:space="0"/>
            </w:tcBorders>
            <w:vAlign w:val="center"/>
          </w:tcPr>
          <w:p>
            <w:pPr>
              <w:jc w:val="center"/>
            </w:pPr>
            <w:r>
              <w:rPr>
                <w:rFonts w:hint="eastAsia"/>
              </w:rPr>
              <w:t>节水型小区</w:t>
            </w:r>
          </w:p>
        </w:tc>
        <w:tc>
          <w:tcPr>
            <w:tcW w:w="1757" w:type="dxa"/>
            <w:tcBorders>
              <w:top w:val="single" w:color="auto" w:sz="4" w:space="0"/>
              <w:left w:val="single" w:color="auto" w:sz="4" w:space="0"/>
              <w:bottom w:val="single" w:color="auto" w:sz="4" w:space="0"/>
              <w:right w:val="single" w:color="auto" w:sz="4" w:space="0"/>
            </w:tcBorders>
            <w:vAlign w:val="center"/>
          </w:tcPr>
          <w:p>
            <w:pPr>
              <w:jc w:val="center"/>
            </w:pPr>
            <w:r>
              <w:rPr>
                <w:rFonts w:hint="eastAsia"/>
              </w:rPr>
              <w:t>节水型小区创建</w:t>
            </w:r>
          </w:p>
        </w:tc>
        <w:tc>
          <w:tcPr>
            <w:tcW w:w="1645" w:type="dxa"/>
            <w:tcBorders>
              <w:top w:val="single" w:color="auto" w:sz="4" w:space="0"/>
              <w:left w:val="single" w:color="auto" w:sz="4" w:space="0"/>
              <w:bottom w:val="single" w:color="auto" w:sz="4" w:space="0"/>
              <w:right w:val="single" w:color="auto" w:sz="4" w:space="0"/>
            </w:tcBorders>
            <w:vAlign w:val="center"/>
          </w:tcPr>
          <w:p>
            <w:pPr>
              <w:jc w:val="center"/>
            </w:pPr>
            <w:r>
              <w:rPr>
                <w:rFonts w:hint="eastAsia"/>
              </w:rPr>
              <w:t>渝北区</w:t>
            </w:r>
          </w:p>
        </w:tc>
        <w:tc>
          <w:tcPr>
            <w:tcW w:w="2551" w:type="dxa"/>
            <w:tcBorders>
              <w:top w:val="single" w:color="auto" w:sz="4" w:space="0"/>
              <w:left w:val="single" w:color="auto" w:sz="4" w:space="0"/>
              <w:bottom w:val="single" w:color="auto" w:sz="4" w:space="0"/>
              <w:right w:val="single" w:color="auto" w:sz="4" w:space="0"/>
            </w:tcBorders>
            <w:vAlign w:val="center"/>
          </w:tcPr>
          <w:p>
            <w:pPr>
              <w:widowControl/>
              <w:rPr>
                <w:rFonts w:ascii="Times New Roman" w:hAnsi="Times New Roman"/>
                <w:szCs w:val="21"/>
              </w:rPr>
            </w:pPr>
            <w:r>
              <w:rPr>
                <w:rFonts w:hint="eastAsia" w:ascii="Times New Roman" w:hAnsi="Times New Roman"/>
                <w:szCs w:val="21"/>
              </w:rPr>
              <w:t>节水型小区建成率提高到</w:t>
            </w:r>
            <w:r>
              <w:rPr>
                <w:rFonts w:ascii="Times New Roman" w:hAnsi="Times New Roman"/>
                <w:szCs w:val="21"/>
              </w:rPr>
              <w:t>15%</w:t>
            </w:r>
            <w:r>
              <w:rPr>
                <w:rFonts w:hint="eastAsia" w:ascii="Times New Roman" w:hAnsi="Times New Roman"/>
                <w:szCs w:val="21"/>
              </w:rPr>
              <w:t>以上</w:t>
            </w:r>
          </w:p>
        </w:tc>
        <w:tc>
          <w:tcPr>
            <w:tcW w:w="993" w:type="dxa"/>
            <w:tcBorders>
              <w:top w:val="single" w:color="auto" w:sz="4" w:space="0"/>
              <w:left w:val="single" w:color="auto" w:sz="4" w:space="0"/>
              <w:bottom w:val="single" w:color="auto" w:sz="4" w:space="0"/>
              <w:right w:val="single" w:color="auto" w:sz="4" w:space="0"/>
            </w:tcBorders>
            <w:vAlign w:val="center"/>
          </w:tcPr>
          <w:p>
            <w:pPr>
              <w:widowControl/>
              <w:jc w:val="center"/>
              <w:rPr>
                <w:rFonts w:ascii="Times New Roman" w:hAnsi="Times New Roman"/>
                <w:szCs w:val="21"/>
              </w:rPr>
            </w:pPr>
            <w:r>
              <w:rPr>
                <w:rFonts w:ascii="Times New Roman" w:hAnsi="Times New Roman"/>
                <w:szCs w:val="21"/>
              </w:rPr>
              <w:t>2021-2025</w:t>
            </w:r>
            <w:r>
              <w:rPr>
                <w:rFonts w:hint="eastAsia" w:ascii="Times New Roman" w:hAnsi="Times New Roman"/>
                <w:szCs w:val="21"/>
              </w:rPr>
              <w:t>年</w:t>
            </w:r>
          </w:p>
        </w:tc>
        <w:tc>
          <w:tcPr>
            <w:tcW w:w="1701" w:type="dxa"/>
            <w:tcBorders>
              <w:top w:val="single" w:color="auto" w:sz="4" w:space="0"/>
              <w:left w:val="single" w:color="auto" w:sz="4" w:space="0"/>
              <w:bottom w:val="single" w:color="auto" w:sz="4" w:space="0"/>
              <w:right w:val="single" w:color="auto" w:sz="4" w:space="0"/>
            </w:tcBorders>
            <w:vAlign w:val="center"/>
          </w:tcPr>
          <w:p>
            <w:pPr>
              <w:jc w:val="center"/>
            </w:pPr>
            <w:r>
              <w:rPr>
                <w:rFonts w:hint="eastAsia"/>
              </w:rPr>
              <w:t>区住房城乡建委</w:t>
            </w:r>
          </w:p>
        </w:tc>
        <w:tc>
          <w:tcPr>
            <w:tcW w:w="992" w:type="dxa"/>
            <w:tcBorders>
              <w:top w:val="single" w:color="auto" w:sz="4" w:space="0"/>
              <w:left w:val="single" w:color="auto" w:sz="4" w:space="0"/>
              <w:bottom w:val="single" w:color="auto" w:sz="4" w:space="0"/>
              <w:right w:val="single" w:color="auto" w:sz="4" w:space="0"/>
            </w:tcBorders>
            <w:vAlign w:val="center"/>
          </w:tcPr>
          <w:p>
            <w:pPr>
              <w:jc w:val="center"/>
              <w:rPr>
                <w:rFonts w:ascii="Times New Roman" w:hAnsi="Times New Roman"/>
                <w:szCs w:val="21"/>
              </w:rPr>
            </w:pPr>
            <w:r>
              <w:rPr>
                <w:rFonts w:ascii="Times New Roman" w:hAnsi="Times New Roman"/>
                <w:szCs w:val="21"/>
              </w:rPr>
              <w:t>250</w:t>
            </w:r>
          </w:p>
        </w:tc>
        <w:tc>
          <w:tcPr>
            <w:tcW w:w="1417" w:type="dxa"/>
            <w:tcBorders>
              <w:top w:val="single" w:color="auto" w:sz="4" w:space="0"/>
              <w:left w:val="single" w:color="auto" w:sz="4" w:space="0"/>
              <w:bottom w:val="single" w:color="auto" w:sz="4" w:space="0"/>
              <w:right w:val="single" w:color="auto" w:sz="4" w:space="0"/>
            </w:tcBorders>
            <w:vAlign w:val="center"/>
          </w:tcPr>
          <w:p>
            <w:pPr>
              <w:widowControl/>
              <w:spacing w:line="259" w:lineRule="auto"/>
              <w:ind w:left="180"/>
              <w:jc w:val="center"/>
              <w:rPr>
                <w:rFonts w:ascii="Times New Roman" w:hAnsi="Times New Roman" w:eastAsia="Times New Roman"/>
                <w:sz w:val="32"/>
              </w:rPr>
            </w:pPr>
          </w:p>
        </w:tc>
        <w:tc>
          <w:tcPr>
            <w:tcW w:w="1560" w:type="dxa"/>
            <w:tcBorders>
              <w:top w:val="single" w:color="000000" w:sz="4" w:space="0"/>
              <w:left w:val="single" w:color="auto" w:sz="4" w:space="0"/>
              <w:bottom w:val="single" w:color="000000" w:sz="4" w:space="0"/>
              <w:right w:val="single" w:color="000000" w:sz="4" w:space="0"/>
            </w:tcBorders>
            <w:vAlign w:val="center"/>
          </w:tcPr>
          <w:p>
            <w:pPr>
              <w:widowControl/>
              <w:spacing w:line="259" w:lineRule="auto"/>
              <w:ind w:left="182"/>
              <w:jc w:val="center"/>
              <w:rPr>
                <w:rFonts w:ascii="Times New Roman" w:hAnsi="Times New Roman" w:eastAsia="Times New Roman"/>
                <w:sz w:val="32"/>
              </w:rPr>
            </w:pPr>
          </w:p>
        </w:tc>
      </w:tr>
      <w:tr>
        <w:tblPrEx>
          <w:tblCellMar>
            <w:top w:w="0" w:type="dxa"/>
            <w:left w:w="0" w:type="dxa"/>
            <w:bottom w:w="0" w:type="dxa"/>
            <w:right w:w="130" w:type="dxa"/>
          </w:tblCellMar>
        </w:tblPrEx>
        <w:trPr>
          <w:trHeight w:val="578" w:hRule="atLeast"/>
        </w:trPr>
        <w:tc>
          <w:tcPr>
            <w:tcW w:w="888" w:type="dxa"/>
            <w:tcBorders>
              <w:top w:val="single" w:color="auto" w:sz="4" w:space="0"/>
              <w:left w:val="single" w:color="auto" w:sz="4" w:space="0"/>
              <w:bottom w:val="single" w:color="auto" w:sz="4" w:space="0"/>
              <w:right w:val="single" w:color="auto" w:sz="4" w:space="0"/>
            </w:tcBorders>
            <w:vAlign w:val="center"/>
          </w:tcPr>
          <w:p>
            <w:pPr>
              <w:widowControl/>
              <w:spacing w:line="259" w:lineRule="auto"/>
              <w:ind w:left="183"/>
              <w:jc w:val="center"/>
              <w:rPr>
                <w:rFonts w:ascii="Times New Roman" w:hAnsi="Times New Roman"/>
                <w:szCs w:val="21"/>
              </w:rPr>
            </w:pPr>
            <w:r>
              <w:rPr>
                <w:rFonts w:ascii="Times New Roman" w:hAnsi="Times New Roman"/>
                <w:szCs w:val="21"/>
              </w:rPr>
              <w:t>5</w:t>
            </w:r>
          </w:p>
        </w:tc>
        <w:tc>
          <w:tcPr>
            <w:tcW w:w="1200" w:type="dxa"/>
            <w:tcBorders>
              <w:top w:val="single" w:color="auto" w:sz="4" w:space="0"/>
              <w:left w:val="single" w:color="auto" w:sz="4" w:space="0"/>
              <w:bottom w:val="single" w:color="auto" w:sz="4" w:space="0"/>
              <w:right w:val="single" w:color="auto" w:sz="4" w:space="0"/>
            </w:tcBorders>
            <w:vAlign w:val="center"/>
          </w:tcPr>
          <w:p>
            <w:pPr>
              <w:widowControl/>
              <w:jc w:val="center"/>
              <w:rPr>
                <w:rFonts w:ascii="Times New Roman" w:hAnsi="Times New Roman"/>
                <w:szCs w:val="21"/>
                <w:highlight w:val="yellow"/>
              </w:rPr>
            </w:pPr>
            <w:r>
              <w:rPr>
                <w:rFonts w:hint="eastAsia" w:ascii="Times New Roman" w:hAnsi="Times New Roman"/>
                <w:szCs w:val="21"/>
              </w:rPr>
              <w:t>节水宣传</w:t>
            </w:r>
          </w:p>
        </w:tc>
        <w:tc>
          <w:tcPr>
            <w:tcW w:w="1757" w:type="dxa"/>
            <w:tcBorders>
              <w:top w:val="single" w:color="auto" w:sz="4" w:space="0"/>
              <w:left w:val="single" w:color="auto" w:sz="4" w:space="0"/>
              <w:bottom w:val="single" w:color="auto" w:sz="4" w:space="0"/>
              <w:right w:val="single" w:color="auto" w:sz="4" w:space="0"/>
            </w:tcBorders>
            <w:vAlign w:val="center"/>
          </w:tcPr>
          <w:p>
            <w:pPr>
              <w:widowControl/>
              <w:jc w:val="center"/>
              <w:rPr>
                <w:rFonts w:ascii="Times New Roman" w:hAnsi="Times New Roman"/>
                <w:szCs w:val="21"/>
              </w:rPr>
            </w:pPr>
            <w:r>
              <w:rPr>
                <w:rFonts w:hint="eastAsia" w:ascii="Times New Roman" w:hAnsi="Times New Roman"/>
                <w:szCs w:val="21"/>
              </w:rPr>
              <w:t>节水宣传</w:t>
            </w:r>
          </w:p>
        </w:tc>
        <w:tc>
          <w:tcPr>
            <w:tcW w:w="1645" w:type="dxa"/>
            <w:tcBorders>
              <w:top w:val="single" w:color="auto" w:sz="4" w:space="0"/>
              <w:left w:val="single" w:color="auto" w:sz="4" w:space="0"/>
              <w:bottom w:val="single" w:color="auto" w:sz="4" w:space="0"/>
              <w:right w:val="single" w:color="auto" w:sz="4" w:space="0"/>
            </w:tcBorders>
            <w:vAlign w:val="center"/>
          </w:tcPr>
          <w:p>
            <w:pPr>
              <w:widowControl/>
              <w:jc w:val="center"/>
              <w:rPr>
                <w:rFonts w:ascii="Times New Roman" w:hAnsi="Times New Roman"/>
                <w:szCs w:val="21"/>
              </w:rPr>
            </w:pPr>
            <w:r>
              <w:rPr>
                <w:rFonts w:hint="eastAsia" w:ascii="Times New Roman" w:hAnsi="Times New Roman"/>
                <w:szCs w:val="21"/>
              </w:rPr>
              <w:t>渝北区</w:t>
            </w:r>
          </w:p>
        </w:tc>
        <w:tc>
          <w:tcPr>
            <w:tcW w:w="2551" w:type="dxa"/>
            <w:tcBorders>
              <w:top w:val="single" w:color="auto" w:sz="4" w:space="0"/>
              <w:left w:val="single" w:color="auto" w:sz="4" w:space="0"/>
              <w:bottom w:val="single" w:color="auto" w:sz="4" w:space="0"/>
              <w:right w:val="single" w:color="auto" w:sz="4" w:space="0"/>
            </w:tcBorders>
            <w:vAlign w:val="center"/>
          </w:tcPr>
          <w:p>
            <w:pPr>
              <w:widowControl/>
              <w:rPr>
                <w:rFonts w:ascii="Times New Roman" w:hAnsi="Times New Roman"/>
                <w:szCs w:val="21"/>
              </w:rPr>
            </w:pPr>
            <w:r>
              <w:rPr>
                <w:rFonts w:ascii="Times New Roman" w:hAnsi="Times New Roman"/>
                <w:szCs w:val="21"/>
              </w:rPr>
              <w:t>“</w:t>
            </w:r>
            <w:r>
              <w:rPr>
                <w:rFonts w:hint="eastAsia" w:ascii="Times New Roman" w:hAnsi="Times New Roman"/>
                <w:szCs w:val="21"/>
              </w:rPr>
              <w:t>世界水日</w:t>
            </w:r>
            <w:r>
              <w:rPr>
                <w:rFonts w:ascii="Times New Roman" w:hAnsi="Times New Roman"/>
                <w:szCs w:val="21"/>
              </w:rPr>
              <w:t>”</w:t>
            </w:r>
            <w:r>
              <w:rPr>
                <w:rFonts w:hint="eastAsia" w:ascii="Times New Roman" w:hAnsi="Times New Roman"/>
                <w:szCs w:val="21"/>
              </w:rPr>
              <w:t>、</w:t>
            </w:r>
            <w:r>
              <w:rPr>
                <w:rFonts w:ascii="Times New Roman" w:hAnsi="Times New Roman"/>
                <w:szCs w:val="21"/>
              </w:rPr>
              <w:t>“</w:t>
            </w:r>
            <w:r>
              <w:rPr>
                <w:rFonts w:hint="eastAsia" w:ascii="Times New Roman" w:hAnsi="Times New Roman"/>
                <w:szCs w:val="21"/>
              </w:rPr>
              <w:t>中国水周</w:t>
            </w:r>
            <w:r>
              <w:rPr>
                <w:rFonts w:ascii="Times New Roman" w:hAnsi="Times New Roman"/>
                <w:szCs w:val="21"/>
              </w:rPr>
              <w:t>”</w:t>
            </w:r>
            <w:r>
              <w:rPr>
                <w:rFonts w:hint="eastAsia" w:ascii="Times New Roman" w:hAnsi="Times New Roman"/>
                <w:szCs w:val="21"/>
              </w:rPr>
              <w:t>、</w:t>
            </w:r>
            <w:r>
              <w:rPr>
                <w:rFonts w:ascii="Times New Roman" w:hAnsi="Times New Roman"/>
                <w:szCs w:val="21"/>
              </w:rPr>
              <w:t>“</w:t>
            </w:r>
            <w:r>
              <w:rPr>
                <w:rFonts w:hint="eastAsia" w:ascii="Times New Roman" w:hAnsi="Times New Roman"/>
                <w:szCs w:val="21"/>
              </w:rPr>
              <w:t>节水宣传周</w:t>
            </w:r>
            <w:r>
              <w:rPr>
                <w:rFonts w:ascii="Times New Roman" w:hAnsi="Times New Roman"/>
                <w:szCs w:val="21"/>
              </w:rPr>
              <w:t>”</w:t>
            </w:r>
            <w:r>
              <w:rPr>
                <w:rFonts w:hint="eastAsia" w:ascii="Times New Roman" w:hAnsi="Times New Roman"/>
                <w:szCs w:val="21"/>
              </w:rPr>
              <w:t>等宣传活动</w:t>
            </w:r>
          </w:p>
        </w:tc>
        <w:tc>
          <w:tcPr>
            <w:tcW w:w="993" w:type="dxa"/>
            <w:tcBorders>
              <w:top w:val="single" w:color="auto" w:sz="4" w:space="0"/>
              <w:left w:val="single" w:color="auto" w:sz="4" w:space="0"/>
              <w:bottom w:val="single" w:color="auto" w:sz="4" w:space="0"/>
              <w:right w:val="single" w:color="auto" w:sz="4" w:space="0"/>
            </w:tcBorders>
            <w:vAlign w:val="center"/>
          </w:tcPr>
          <w:p>
            <w:pPr>
              <w:jc w:val="center"/>
              <w:rPr>
                <w:rFonts w:ascii="Times New Roman" w:hAnsi="Times New Roman"/>
                <w:szCs w:val="21"/>
              </w:rPr>
            </w:pPr>
            <w:r>
              <w:rPr>
                <w:rFonts w:ascii="Times New Roman" w:hAnsi="Times New Roman"/>
                <w:szCs w:val="21"/>
              </w:rPr>
              <w:t>2021-2025</w:t>
            </w:r>
            <w:r>
              <w:rPr>
                <w:rFonts w:hint="eastAsia" w:ascii="Times New Roman" w:hAnsi="Times New Roman"/>
                <w:szCs w:val="21"/>
              </w:rPr>
              <w:t>年</w:t>
            </w:r>
          </w:p>
        </w:tc>
        <w:tc>
          <w:tcPr>
            <w:tcW w:w="1701" w:type="dxa"/>
            <w:tcBorders>
              <w:top w:val="single" w:color="auto" w:sz="4" w:space="0"/>
              <w:left w:val="single" w:color="auto" w:sz="4" w:space="0"/>
              <w:bottom w:val="single" w:color="auto" w:sz="4" w:space="0"/>
              <w:right w:val="single" w:color="auto" w:sz="4" w:space="0"/>
            </w:tcBorders>
            <w:vAlign w:val="center"/>
          </w:tcPr>
          <w:p>
            <w:pPr>
              <w:widowControl/>
              <w:jc w:val="center"/>
              <w:rPr>
                <w:rFonts w:ascii="Times New Roman" w:hAnsi="Times New Roman"/>
                <w:szCs w:val="21"/>
              </w:rPr>
            </w:pPr>
            <w:r>
              <w:rPr>
                <w:rFonts w:hint="eastAsia" w:ascii="Times New Roman" w:hAnsi="Times New Roman"/>
                <w:szCs w:val="21"/>
              </w:rPr>
              <w:t>区水利局、区委宣传部、区教委、区团委等</w:t>
            </w:r>
          </w:p>
        </w:tc>
        <w:tc>
          <w:tcPr>
            <w:tcW w:w="992" w:type="dxa"/>
            <w:tcBorders>
              <w:top w:val="single" w:color="auto" w:sz="4" w:space="0"/>
              <w:left w:val="single" w:color="auto" w:sz="4" w:space="0"/>
              <w:bottom w:val="single" w:color="auto" w:sz="4" w:space="0"/>
              <w:right w:val="single" w:color="auto" w:sz="4" w:space="0"/>
            </w:tcBorders>
            <w:vAlign w:val="center"/>
          </w:tcPr>
          <w:p>
            <w:pPr>
              <w:jc w:val="center"/>
              <w:rPr>
                <w:rFonts w:ascii="Times New Roman" w:hAnsi="Times New Roman"/>
                <w:szCs w:val="21"/>
              </w:rPr>
            </w:pPr>
            <w:r>
              <w:rPr>
                <w:rFonts w:ascii="Times New Roman" w:hAnsi="Times New Roman"/>
                <w:szCs w:val="21"/>
              </w:rPr>
              <w:t>50</w:t>
            </w:r>
          </w:p>
        </w:tc>
        <w:tc>
          <w:tcPr>
            <w:tcW w:w="1417" w:type="dxa"/>
            <w:tcBorders>
              <w:top w:val="single" w:color="auto" w:sz="4" w:space="0"/>
              <w:left w:val="single" w:color="auto" w:sz="4" w:space="0"/>
              <w:bottom w:val="single" w:color="auto" w:sz="4" w:space="0"/>
              <w:right w:val="single" w:color="auto" w:sz="4" w:space="0"/>
            </w:tcBorders>
            <w:vAlign w:val="center"/>
          </w:tcPr>
          <w:p>
            <w:pPr>
              <w:widowControl/>
              <w:rPr>
                <w:rFonts w:ascii="Times New Roman" w:hAnsi="Times New Roman"/>
                <w:szCs w:val="21"/>
              </w:rPr>
            </w:pPr>
          </w:p>
        </w:tc>
        <w:tc>
          <w:tcPr>
            <w:tcW w:w="1560" w:type="dxa"/>
            <w:tcBorders>
              <w:top w:val="single" w:color="auto" w:sz="4" w:space="0"/>
              <w:left w:val="single" w:color="auto" w:sz="4" w:space="0"/>
              <w:bottom w:val="single" w:color="auto" w:sz="4" w:space="0"/>
              <w:right w:val="single" w:color="auto" w:sz="4" w:space="0"/>
            </w:tcBorders>
            <w:vAlign w:val="center"/>
          </w:tcPr>
          <w:p>
            <w:pPr>
              <w:widowControl/>
              <w:rPr>
                <w:rFonts w:ascii="Times New Roman" w:hAnsi="Times New Roman"/>
                <w:szCs w:val="21"/>
              </w:rPr>
            </w:pPr>
          </w:p>
        </w:tc>
      </w:tr>
      <w:tr>
        <w:tblPrEx>
          <w:tblCellMar>
            <w:top w:w="0" w:type="dxa"/>
            <w:left w:w="0" w:type="dxa"/>
            <w:bottom w:w="0" w:type="dxa"/>
            <w:right w:w="130" w:type="dxa"/>
          </w:tblCellMar>
        </w:tblPrEx>
        <w:trPr>
          <w:trHeight w:val="443" w:hRule="atLeast"/>
        </w:trPr>
        <w:tc>
          <w:tcPr>
            <w:tcW w:w="2088" w:type="dxa"/>
            <w:gridSpan w:val="2"/>
            <w:tcBorders>
              <w:top w:val="single" w:color="auto" w:sz="4" w:space="0"/>
              <w:left w:val="single" w:color="000000" w:sz="4" w:space="0"/>
              <w:bottom w:val="single" w:color="000000" w:sz="4" w:space="0"/>
              <w:right w:val="single" w:color="000000" w:sz="4" w:space="0"/>
            </w:tcBorders>
            <w:vAlign w:val="center"/>
          </w:tcPr>
          <w:p>
            <w:pPr>
              <w:widowControl/>
              <w:jc w:val="center"/>
              <w:rPr>
                <w:rFonts w:ascii="Times New Roman" w:hAnsi="Times New Roman" w:eastAsia="Times New Roman"/>
                <w:sz w:val="32"/>
              </w:rPr>
            </w:pPr>
            <w:r>
              <w:rPr>
                <w:rFonts w:hint="eastAsia" w:ascii="Times New Roman" w:hAnsi="Times New Roman"/>
              </w:rPr>
              <w:t>合计</w:t>
            </w:r>
          </w:p>
        </w:tc>
        <w:tc>
          <w:tcPr>
            <w:tcW w:w="1757" w:type="dxa"/>
            <w:tcBorders>
              <w:top w:val="single" w:color="auto" w:sz="4" w:space="0"/>
              <w:left w:val="single" w:color="000000" w:sz="4" w:space="0"/>
              <w:bottom w:val="single" w:color="000000" w:sz="4" w:space="0"/>
              <w:right w:val="single" w:color="000000" w:sz="4" w:space="0"/>
            </w:tcBorders>
            <w:vAlign w:val="center"/>
          </w:tcPr>
          <w:p>
            <w:pPr>
              <w:widowControl/>
              <w:spacing w:line="259" w:lineRule="auto"/>
              <w:ind w:left="182"/>
              <w:jc w:val="center"/>
              <w:rPr>
                <w:rFonts w:ascii="Times New Roman" w:hAnsi="Times New Roman" w:eastAsia="Times New Roman"/>
                <w:sz w:val="32"/>
              </w:rPr>
            </w:pPr>
          </w:p>
        </w:tc>
        <w:tc>
          <w:tcPr>
            <w:tcW w:w="1645" w:type="dxa"/>
            <w:tcBorders>
              <w:top w:val="single" w:color="auto" w:sz="4" w:space="0"/>
              <w:left w:val="single" w:color="000000" w:sz="4" w:space="0"/>
              <w:bottom w:val="single" w:color="000000" w:sz="4" w:space="0"/>
              <w:right w:val="single" w:color="000000" w:sz="4" w:space="0"/>
            </w:tcBorders>
            <w:vAlign w:val="center"/>
          </w:tcPr>
          <w:p>
            <w:pPr>
              <w:widowControl/>
              <w:spacing w:line="259" w:lineRule="auto"/>
              <w:ind w:left="180"/>
              <w:jc w:val="center"/>
              <w:rPr>
                <w:rFonts w:ascii="Times New Roman" w:hAnsi="Times New Roman" w:eastAsia="Times New Roman"/>
                <w:sz w:val="32"/>
              </w:rPr>
            </w:pPr>
          </w:p>
        </w:tc>
        <w:tc>
          <w:tcPr>
            <w:tcW w:w="2551" w:type="dxa"/>
            <w:tcBorders>
              <w:top w:val="single" w:color="auto" w:sz="4" w:space="0"/>
              <w:left w:val="single" w:color="000000" w:sz="4" w:space="0"/>
              <w:bottom w:val="single" w:color="000000" w:sz="4" w:space="0"/>
              <w:right w:val="single" w:color="000000" w:sz="4" w:space="0"/>
            </w:tcBorders>
            <w:vAlign w:val="center"/>
          </w:tcPr>
          <w:p>
            <w:pPr>
              <w:widowControl/>
              <w:spacing w:line="259" w:lineRule="auto"/>
              <w:ind w:left="177"/>
              <w:jc w:val="center"/>
              <w:rPr>
                <w:rFonts w:ascii="Times New Roman" w:hAnsi="Times New Roman" w:eastAsia="Times New Roman"/>
                <w:sz w:val="32"/>
              </w:rPr>
            </w:pPr>
          </w:p>
        </w:tc>
        <w:tc>
          <w:tcPr>
            <w:tcW w:w="993" w:type="dxa"/>
            <w:tcBorders>
              <w:top w:val="single" w:color="auto" w:sz="4" w:space="0"/>
              <w:left w:val="single" w:color="000000" w:sz="4" w:space="0"/>
              <w:bottom w:val="single" w:color="000000" w:sz="4" w:space="0"/>
              <w:right w:val="single" w:color="000000" w:sz="4" w:space="0"/>
            </w:tcBorders>
            <w:vAlign w:val="center"/>
          </w:tcPr>
          <w:p>
            <w:pPr>
              <w:widowControl/>
              <w:spacing w:line="259" w:lineRule="auto"/>
              <w:ind w:left="178"/>
              <w:jc w:val="center"/>
              <w:rPr>
                <w:rFonts w:ascii="Times New Roman" w:hAnsi="Times New Roman" w:eastAsia="Times New Roman"/>
                <w:sz w:val="32"/>
              </w:rPr>
            </w:pPr>
          </w:p>
        </w:tc>
        <w:tc>
          <w:tcPr>
            <w:tcW w:w="1701" w:type="dxa"/>
            <w:tcBorders>
              <w:top w:val="single" w:color="auto" w:sz="4" w:space="0"/>
              <w:left w:val="single" w:color="000000" w:sz="4" w:space="0"/>
              <w:bottom w:val="single" w:color="000000" w:sz="4" w:space="0"/>
              <w:right w:val="single" w:color="000000" w:sz="4" w:space="0"/>
            </w:tcBorders>
            <w:vAlign w:val="center"/>
          </w:tcPr>
          <w:p>
            <w:pPr>
              <w:widowControl/>
              <w:spacing w:line="259" w:lineRule="auto"/>
              <w:ind w:left="178"/>
              <w:jc w:val="center"/>
              <w:rPr>
                <w:rFonts w:ascii="Times New Roman" w:hAnsi="Times New Roman" w:eastAsia="Times New Roman"/>
                <w:sz w:val="32"/>
              </w:rPr>
            </w:pPr>
          </w:p>
        </w:tc>
        <w:tc>
          <w:tcPr>
            <w:tcW w:w="992" w:type="dxa"/>
            <w:tcBorders>
              <w:top w:val="single" w:color="auto" w:sz="4" w:space="0"/>
              <w:left w:val="single" w:color="000000" w:sz="4" w:space="0"/>
              <w:bottom w:val="single" w:color="000000" w:sz="4" w:space="0"/>
              <w:right w:val="single" w:color="000000" w:sz="4" w:space="0"/>
            </w:tcBorders>
            <w:vAlign w:val="center"/>
          </w:tcPr>
          <w:p>
            <w:pPr>
              <w:jc w:val="center"/>
              <w:rPr>
                <w:rFonts w:ascii="Times New Roman" w:hAnsi="Times New Roman"/>
                <w:szCs w:val="21"/>
              </w:rPr>
            </w:pPr>
            <w:r>
              <w:rPr>
                <w:rFonts w:ascii="Times New Roman" w:hAnsi="Times New Roman"/>
                <w:szCs w:val="21"/>
              </w:rPr>
              <w:t>750</w:t>
            </w:r>
          </w:p>
        </w:tc>
        <w:tc>
          <w:tcPr>
            <w:tcW w:w="1417" w:type="dxa"/>
            <w:tcBorders>
              <w:top w:val="single" w:color="auto" w:sz="4" w:space="0"/>
              <w:left w:val="single" w:color="000000" w:sz="4" w:space="0"/>
              <w:bottom w:val="single" w:color="000000" w:sz="4" w:space="0"/>
              <w:right w:val="single" w:color="000000" w:sz="4" w:space="0"/>
            </w:tcBorders>
            <w:vAlign w:val="center"/>
          </w:tcPr>
          <w:p>
            <w:pPr>
              <w:jc w:val="center"/>
              <w:rPr>
                <w:rFonts w:ascii="Times New Roman" w:hAnsi="Times New Roman"/>
                <w:szCs w:val="21"/>
              </w:rPr>
            </w:pPr>
          </w:p>
        </w:tc>
        <w:tc>
          <w:tcPr>
            <w:tcW w:w="1560" w:type="dxa"/>
            <w:tcBorders>
              <w:top w:val="single" w:color="auto" w:sz="4" w:space="0"/>
              <w:left w:val="single" w:color="000000" w:sz="4" w:space="0"/>
              <w:bottom w:val="single" w:color="000000" w:sz="4" w:space="0"/>
              <w:right w:val="single" w:color="000000" w:sz="4" w:space="0"/>
            </w:tcBorders>
            <w:vAlign w:val="center"/>
          </w:tcPr>
          <w:p>
            <w:pPr>
              <w:widowControl/>
              <w:spacing w:line="259" w:lineRule="auto"/>
              <w:ind w:left="182"/>
              <w:jc w:val="center"/>
              <w:rPr>
                <w:rFonts w:ascii="Times New Roman" w:hAnsi="Times New Roman" w:eastAsia="Times New Roman"/>
                <w:sz w:val="32"/>
              </w:rPr>
            </w:pPr>
          </w:p>
        </w:tc>
      </w:tr>
    </w:tbl>
    <w:p>
      <w:pPr>
        <w:widowControl/>
        <w:spacing w:after="4" w:line="256" w:lineRule="auto"/>
        <w:ind w:left="116" w:hanging="10"/>
        <w:jc w:val="left"/>
        <w:rPr>
          <w:rFonts w:ascii="Times New Roman" w:hAnsi="Times New Roman" w:eastAsia="Times New Roman"/>
          <w:sz w:val="32"/>
        </w:rPr>
      </w:pPr>
      <w:r>
        <w:rPr>
          <w:rFonts w:hint="eastAsia" w:ascii="Times New Roman" w:hAnsi="Times New Roman"/>
        </w:rPr>
        <w:t>说明：</w:t>
      </w:r>
      <w:r>
        <w:rPr>
          <w:rFonts w:ascii="Times New Roman" w:hAnsi="Times New Roman"/>
        </w:rPr>
        <w:t>1</w:t>
      </w:r>
      <w:r>
        <w:rPr>
          <w:rFonts w:hint="eastAsia" w:ascii="Times New Roman" w:hAnsi="Times New Roman"/>
        </w:rPr>
        <w:t>．项目类别指节水型企业、节水型小区、节水型公共机构等；</w:t>
      </w:r>
    </w:p>
    <w:p>
      <w:pPr>
        <w:widowControl/>
        <w:spacing w:after="4" w:line="256" w:lineRule="auto"/>
        <w:ind w:left="750" w:hanging="10"/>
        <w:jc w:val="left"/>
        <w:rPr>
          <w:rFonts w:ascii="Times New Roman" w:hAnsi="Times New Roman" w:eastAsia="Times New Roman"/>
          <w:sz w:val="32"/>
        </w:rPr>
      </w:pPr>
      <w:r>
        <w:rPr>
          <w:rFonts w:ascii="Times New Roman" w:hAnsi="Times New Roman"/>
        </w:rPr>
        <w:t>2</w:t>
      </w:r>
      <w:r>
        <w:rPr>
          <w:rFonts w:hint="eastAsia" w:ascii="Times New Roman" w:hAnsi="Times New Roman"/>
        </w:rPr>
        <w:t>．项目所在地按</w:t>
      </w:r>
      <w:r>
        <w:rPr>
          <w:rFonts w:ascii="Times New Roman" w:hAnsi="Times New Roman"/>
        </w:rPr>
        <w:t>“××</w:t>
      </w:r>
      <w:r>
        <w:rPr>
          <w:rFonts w:hint="eastAsia" w:ascii="Times New Roman" w:hAnsi="Times New Roman"/>
        </w:rPr>
        <w:t>区（县）</w:t>
      </w:r>
      <w:r>
        <w:rPr>
          <w:rFonts w:ascii="Times New Roman" w:hAnsi="Times New Roman"/>
        </w:rPr>
        <w:t>××</w:t>
      </w:r>
      <w:r>
        <w:rPr>
          <w:rFonts w:hint="eastAsia" w:ascii="Times New Roman" w:hAnsi="Times New Roman"/>
        </w:rPr>
        <w:t>镇</w:t>
      </w:r>
      <w:r>
        <w:rPr>
          <w:rFonts w:ascii="Times New Roman" w:hAnsi="Times New Roman"/>
        </w:rPr>
        <w:t>”</w:t>
      </w:r>
      <w:r>
        <w:rPr>
          <w:rFonts w:hint="eastAsia" w:ascii="Times New Roman" w:hAnsi="Times New Roman"/>
        </w:rPr>
        <w:t>格式填写。</w:t>
      </w:r>
    </w:p>
    <w:p>
      <w:pPr>
        <w:widowControl/>
        <w:spacing w:after="4" w:line="256" w:lineRule="auto"/>
        <w:ind w:left="718" w:hanging="10"/>
        <w:jc w:val="left"/>
        <w:rPr>
          <w:rFonts w:ascii="Times New Roman" w:hAnsi="Times New Roman" w:eastAsia="Times New Roman"/>
          <w:sz w:val="32"/>
        </w:rPr>
      </w:pPr>
      <w:r>
        <w:rPr>
          <w:rFonts w:ascii="Times New Roman" w:hAnsi="Times New Roman"/>
        </w:rPr>
        <w:t>3</w:t>
      </w:r>
      <w:r>
        <w:rPr>
          <w:rFonts w:hint="eastAsia" w:ascii="Times New Roman" w:hAnsi="Times New Roman"/>
        </w:rPr>
        <w:t>．投资按</w:t>
      </w:r>
      <w:r>
        <w:rPr>
          <w:rFonts w:ascii="Times New Roman" w:hAnsi="Times New Roman"/>
        </w:rPr>
        <w:t xml:space="preserve">2019 </w:t>
      </w:r>
      <w:r>
        <w:rPr>
          <w:rFonts w:hint="eastAsia" w:ascii="Times New Roman" w:hAnsi="Times New Roman"/>
        </w:rPr>
        <w:t>年价格计算；</w:t>
      </w:r>
    </w:p>
    <w:p>
      <w:pPr>
        <w:widowControl/>
        <w:spacing w:after="4" w:line="256" w:lineRule="auto"/>
        <w:ind w:left="718" w:hanging="10"/>
        <w:jc w:val="left"/>
        <w:rPr>
          <w:rFonts w:ascii="Times New Roman" w:hAnsi="Times New Roman" w:eastAsia="Times New Roman"/>
          <w:color w:val="0070C0"/>
          <w:sz w:val="32"/>
        </w:rPr>
      </w:pPr>
      <w:r>
        <w:rPr>
          <w:rFonts w:ascii="Times New Roman" w:hAnsi="Times New Roman"/>
        </w:rPr>
        <w:t>4</w:t>
      </w:r>
      <w:r>
        <w:rPr>
          <w:rFonts w:hint="eastAsia" w:ascii="Times New Roman" w:hAnsi="Times New Roman"/>
        </w:rPr>
        <w:t>．投资渠道指中央、市级、地方等。</w:t>
      </w:r>
    </w:p>
    <w:p>
      <w:pPr>
        <w:keepNext/>
        <w:keepLines/>
        <w:widowControl/>
        <w:spacing w:after="4" w:line="266" w:lineRule="auto"/>
        <w:jc w:val="left"/>
        <w:rPr>
          <w:rFonts w:ascii="Times New Roman" w:hAnsi="Times New Roman" w:eastAsia="Times New Roman"/>
          <w:color w:val="0070C0"/>
          <w:sz w:val="32"/>
        </w:rPr>
        <w:sectPr>
          <w:pgSz w:w="16838" w:h="11906" w:orient="landscape"/>
          <w:pgMar w:top="1440" w:right="1080" w:bottom="1440" w:left="1080" w:header="851" w:footer="992" w:gutter="0"/>
          <w:cols w:space="425" w:num="1"/>
          <w:docGrid w:type="lines" w:linePitch="312" w:charSpace="0"/>
        </w:sectPr>
      </w:pPr>
    </w:p>
    <w:p>
      <w:pPr>
        <w:keepNext/>
        <w:keepLines/>
        <w:widowControl/>
        <w:spacing w:line="259" w:lineRule="auto"/>
        <w:ind w:left="10" w:right="9" w:hanging="10"/>
        <w:jc w:val="center"/>
        <w:outlineLvl w:val="2"/>
        <w:rPr>
          <w:rFonts w:ascii="微软雅黑" w:hAnsi="微软雅黑" w:eastAsia="微软雅黑" w:cs="微软雅黑"/>
          <w:sz w:val="32"/>
        </w:rPr>
      </w:pPr>
      <w:bookmarkStart w:id="141" w:name="_Toc90482832"/>
      <w:r>
        <w:rPr>
          <w:rFonts w:hint="eastAsia" w:ascii="微软雅黑" w:hAnsi="微软雅黑" w:eastAsia="微软雅黑" w:cs="微软雅黑"/>
          <w:sz w:val="32"/>
        </w:rPr>
        <w:t>附表</w:t>
      </w:r>
      <w:r>
        <w:rPr>
          <w:rFonts w:ascii="微软雅黑" w:hAnsi="微软雅黑" w:eastAsia="微软雅黑" w:cs="微软雅黑"/>
          <w:sz w:val="32"/>
        </w:rPr>
        <w:t xml:space="preserve"> 7</w:t>
      </w:r>
      <w:r>
        <w:rPr>
          <w:rFonts w:hint="eastAsia" w:ascii="微软雅黑" w:hAnsi="微软雅黑" w:eastAsia="微软雅黑" w:cs="微软雅黑"/>
          <w:sz w:val="32"/>
        </w:rPr>
        <w:t>渝北区“十四五”期间节水资金估算汇总表</w:t>
      </w:r>
      <w:bookmarkEnd w:id="141"/>
    </w:p>
    <w:tbl>
      <w:tblPr>
        <w:tblStyle w:val="21"/>
        <w:tblW w:w="4978"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753"/>
        <w:gridCol w:w="756"/>
        <w:gridCol w:w="2117"/>
        <w:gridCol w:w="6661"/>
        <w:gridCol w:w="1815"/>
        <w:gridCol w:w="1515"/>
        <w:gridCol w:w="121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54" w:type="pct"/>
            <w:vAlign w:val="center"/>
          </w:tcPr>
          <w:p>
            <w:pPr>
              <w:widowControl/>
              <w:jc w:val="center"/>
              <w:rPr>
                <w:rFonts w:ascii="Times New Roman" w:hAnsi="Times New Roman"/>
                <w:b/>
                <w:szCs w:val="21"/>
              </w:rPr>
            </w:pPr>
            <w:r>
              <w:rPr>
                <w:rFonts w:hint="eastAsia" w:ascii="Times New Roman" w:hAnsi="Times New Roman"/>
                <w:b/>
                <w:szCs w:val="21"/>
              </w:rPr>
              <w:t>类别</w:t>
            </w:r>
          </w:p>
        </w:tc>
        <w:tc>
          <w:tcPr>
            <w:tcW w:w="255" w:type="pct"/>
            <w:vAlign w:val="center"/>
          </w:tcPr>
          <w:p>
            <w:pPr>
              <w:widowControl/>
              <w:jc w:val="center"/>
              <w:rPr>
                <w:rFonts w:ascii="Times New Roman" w:hAnsi="Times New Roman"/>
                <w:b/>
                <w:szCs w:val="21"/>
              </w:rPr>
            </w:pPr>
            <w:r>
              <w:rPr>
                <w:rFonts w:hint="eastAsia" w:ascii="Times New Roman" w:hAnsi="Times New Roman"/>
                <w:b/>
                <w:szCs w:val="21"/>
              </w:rPr>
              <w:t>序号</w:t>
            </w:r>
          </w:p>
        </w:tc>
        <w:tc>
          <w:tcPr>
            <w:tcW w:w="714" w:type="pct"/>
            <w:vAlign w:val="center"/>
          </w:tcPr>
          <w:p>
            <w:pPr>
              <w:widowControl/>
              <w:jc w:val="center"/>
              <w:rPr>
                <w:rFonts w:ascii="Times New Roman" w:hAnsi="Times New Roman"/>
                <w:b/>
                <w:szCs w:val="21"/>
              </w:rPr>
            </w:pPr>
            <w:r>
              <w:rPr>
                <w:rFonts w:hint="eastAsia" w:ascii="Times New Roman" w:hAnsi="Times New Roman"/>
                <w:b/>
                <w:szCs w:val="21"/>
              </w:rPr>
              <w:t>项目名称</w:t>
            </w:r>
          </w:p>
        </w:tc>
        <w:tc>
          <w:tcPr>
            <w:tcW w:w="2246" w:type="pct"/>
            <w:vAlign w:val="center"/>
          </w:tcPr>
          <w:p>
            <w:pPr>
              <w:widowControl/>
              <w:jc w:val="center"/>
              <w:rPr>
                <w:rFonts w:ascii="Times New Roman" w:hAnsi="Times New Roman"/>
                <w:b/>
                <w:szCs w:val="21"/>
              </w:rPr>
            </w:pPr>
            <w:r>
              <w:rPr>
                <w:rFonts w:hint="eastAsia" w:ascii="Times New Roman" w:hAnsi="Times New Roman"/>
                <w:b/>
                <w:szCs w:val="21"/>
              </w:rPr>
              <w:t>主要建设内容</w:t>
            </w:r>
          </w:p>
        </w:tc>
        <w:tc>
          <w:tcPr>
            <w:tcW w:w="612" w:type="pct"/>
            <w:vAlign w:val="center"/>
          </w:tcPr>
          <w:p>
            <w:pPr>
              <w:widowControl/>
              <w:jc w:val="center"/>
              <w:rPr>
                <w:rFonts w:ascii="Times New Roman" w:hAnsi="Times New Roman"/>
                <w:b/>
                <w:szCs w:val="21"/>
              </w:rPr>
            </w:pPr>
            <w:r>
              <w:rPr>
                <w:rFonts w:hint="eastAsia" w:ascii="Times New Roman" w:hAnsi="Times New Roman"/>
                <w:b/>
                <w:szCs w:val="21"/>
              </w:rPr>
              <w:t>责任部门</w:t>
            </w:r>
          </w:p>
        </w:tc>
        <w:tc>
          <w:tcPr>
            <w:tcW w:w="511" w:type="pct"/>
            <w:vAlign w:val="center"/>
          </w:tcPr>
          <w:p>
            <w:pPr>
              <w:widowControl/>
              <w:jc w:val="center"/>
              <w:rPr>
                <w:rFonts w:ascii="Times New Roman" w:hAnsi="Times New Roman"/>
                <w:b/>
                <w:szCs w:val="21"/>
              </w:rPr>
            </w:pPr>
            <w:r>
              <w:rPr>
                <w:rFonts w:hint="eastAsia" w:ascii="Times New Roman" w:hAnsi="Times New Roman"/>
                <w:b/>
                <w:szCs w:val="21"/>
              </w:rPr>
              <w:t>实施时间</w:t>
            </w:r>
          </w:p>
        </w:tc>
        <w:tc>
          <w:tcPr>
            <w:tcW w:w="408" w:type="pct"/>
            <w:vAlign w:val="center"/>
          </w:tcPr>
          <w:p>
            <w:pPr>
              <w:widowControl/>
              <w:jc w:val="center"/>
              <w:rPr>
                <w:rFonts w:ascii="Times New Roman" w:hAnsi="Times New Roman"/>
                <w:b/>
                <w:szCs w:val="21"/>
              </w:rPr>
            </w:pPr>
            <w:r>
              <w:rPr>
                <w:rFonts w:hint="eastAsia" w:ascii="Times New Roman" w:hAnsi="Times New Roman"/>
                <w:b/>
                <w:szCs w:val="21"/>
              </w:rPr>
              <w:t>估算投资</w:t>
            </w:r>
          </w:p>
          <w:p>
            <w:pPr>
              <w:widowControl/>
              <w:jc w:val="center"/>
              <w:rPr>
                <w:rFonts w:ascii="Times New Roman" w:hAnsi="Times New Roman"/>
                <w:b/>
                <w:szCs w:val="21"/>
              </w:rPr>
            </w:pPr>
            <w:r>
              <w:rPr>
                <w:rFonts w:hint="eastAsia" w:ascii="Times New Roman" w:hAnsi="Times New Roman"/>
                <w:b/>
                <w:szCs w:val="21"/>
              </w:rPr>
              <w:t>（万元）</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21" w:hRule="atLeast"/>
          <w:jc w:val="center"/>
        </w:trPr>
        <w:tc>
          <w:tcPr>
            <w:tcW w:w="254" w:type="pct"/>
            <w:vMerge w:val="restart"/>
            <w:vAlign w:val="center"/>
          </w:tcPr>
          <w:p>
            <w:pPr>
              <w:widowControl/>
              <w:jc w:val="center"/>
              <w:rPr>
                <w:rFonts w:ascii="Times New Roman" w:hAnsi="Times New Roman"/>
                <w:color w:val="5B9BD5"/>
                <w:szCs w:val="21"/>
              </w:rPr>
            </w:pPr>
            <w:r>
              <w:rPr>
                <w:rFonts w:hint="eastAsia" w:ascii="Times New Roman" w:hAnsi="Times New Roman"/>
                <w:b/>
                <w:szCs w:val="21"/>
              </w:rPr>
              <w:t>农业节水</w:t>
            </w:r>
          </w:p>
        </w:tc>
        <w:tc>
          <w:tcPr>
            <w:tcW w:w="255" w:type="pct"/>
            <w:vAlign w:val="center"/>
          </w:tcPr>
          <w:p>
            <w:pPr>
              <w:widowControl/>
              <w:jc w:val="center"/>
              <w:rPr>
                <w:rFonts w:ascii="Times New Roman" w:hAnsi="Times New Roman"/>
                <w:szCs w:val="21"/>
              </w:rPr>
            </w:pPr>
            <w:r>
              <w:rPr>
                <w:rFonts w:ascii="Times New Roman" w:hAnsi="Times New Roman"/>
                <w:szCs w:val="21"/>
              </w:rPr>
              <w:t>1</w:t>
            </w:r>
          </w:p>
        </w:tc>
        <w:tc>
          <w:tcPr>
            <w:tcW w:w="714" w:type="pct"/>
            <w:vAlign w:val="center"/>
          </w:tcPr>
          <w:p>
            <w:pPr>
              <w:widowControl/>
              <w:rPr>
                <w:rFonts w:ascii="Times New Roman" w:hAnsi="Times New Roman"/>
                <w:szCs w:val="21"/>
              </w:rPr>
            </w:pPr>
            <w:r>
              <w:rPr>
                <w:rFonts w:hint="eastAsia" w:ascii="Times New Roman" w:hAnsi="Times New Roman"/>
                <w:szCs w:val="21"/>
              </w:rPr>
              <w:t>农村供水管网改造</w:t>
            </w:r>
          </w:p>
        </w:tc>
        <w:tc>
          <w:tcPr>
            <w:tcW w:w="2246" w:type="pct"/>
            <w:vAlign w:val="center"/>
          </w:tcPr>
          <w:p>
            <w:pPr>
              <w:widowControl/>
              <w:rPr>
                <w:rFonts w:ascii="Times New Roman" w:hAnsi="Times New Roman"/>
                <w:szCs w:val="21"/>
              </w:rPr>
            </w:pPr>
            <w:r>
              <w:rPr>
                <w:rFonts w:hint="eastAsia" w:ascii="Times New Roman" w:hAnsi="Times New Roman"/>
                <w:szCs w:val="21"/>
              </w:rPr>
              <w:t>在洛碛镇、大盛镇、大盛镇等农村区域建设供水管网</w:t>
            </w:r>
          </w:p>
        </w:tc>
        <w:tc>
          <w:tcPr>
            <w:tcW w:w="612" w:type="pct"/>
            <w:vAlign w:val="center"/>
          </w:tcPr>
          <w:p>
            <w:pPr>
              <w:widowControl/>
              <w:rPr>
                <w:rFonts w:ascii="Times New Roman" w:hAnsi="Times New Roman"/>
                <w:szCs w:val="21"/>
              </w:rPr>
            </w:pPr>
            <w:r>
              <w:rPr>
                <w:rFonts w:hint="eastAsia" w:ascii="Times New Roman" w:hAnsi="Times New Roman"/>
                <w:szCs w:val="21"/>
              </w:rPr>
              <w:t>区农业农村委</w:t>
            </w:r>
          </w:p>
        </w:tc>
        <w:tc>
          <w:tcPr>
            <w:tcW w:w="511" w:type="pct"/>
            <w:vAlign w:val="center"/>
          </w:tcPr>
          <w:p>
            <w:pPr>
              <w:widowControl/>
              <w:rPr>
                <w:rFonts w:ascii="Times New Roman" w:hAnsi="Times New Roman"/>
                <w:szCs w:val="21"/>
              </w:rPr>
            </w:pPr>
            <w:r>
              <w:rPr>
                <w:rFonts w:ascii="Times New Roman" w:hAnsi="Times New Roman"/>
                <w:szCs w:val="21"/>
              </w:rPr>
              <w:t>2021-2025</w:t>
            </w:r>
            <w:r>
              <w:rPr>
                <w:rFonts w:hint="eastAsia" w:ascii="Times New Roman" w:hAnsi="Times New Roman"/>
                <w:szCs w:val="21"/>
              </w:rPr>
              <w:t>年</w:t>
            </w:r>
          </w:p>
        </w:tc>
        <w:tc>
          <w:tcPr>
            <w:tcW w:w="408" w:type="pct"/>
            <w:vAlign w:val="center"/>
          </w:tcPr>
          <w:p>
            <w:pPr>
              <w:widowControl/>
              <w:jc w:val="center"/>
              <w:rPr>
                <w:rFonts w:ascii="Times New Roman" w:hAnsi="Times New Roman"/>
                <w:szCs w:val="21"/>
              </w:rPr>
            </w:pPr>
            <w:r>
              <w:rPr>
                <w:rFonts w:ascii="Times New Roman" w:hAnsi="Times New Roman"/>
                <w:szCs w:val="21"/>
              </w:rPr>
              <w:t>9654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00" w:hRule="atLeast"/>
          <w:jc w:val="center"/>
        </w:trPr>
        <w:tc>
          <w:tcPr>
            <w:tcW w:w="254" w:type="pct"/>
            <w:vMerge w:val="continue"/>
            <w:vAlign w:val="center"/>
          </w:tcPr>
          <w:p>
            <w:pPr>
              <w:widowControl/>
              <w:jc w:val="center"/>
              <w:rPr>
                <w:rFonts w:ascii="Times New Roman" w:hAnsi="Times New Roman"/>
                <w:color w:val="5B9BD5"/>
                <w:szCs w:val="21"/>
              </w:rPr>
            </w:pPr>
          </w:p>
        </w:tc>
        <w:tc>
          <w:tcPr>
            <w:tcW w:w="255" w:type="pct"/>
            <w:vAlign w:val="center"/>
          </w:tcPr>
          <w:p>
            <w:pPr>
              <w:widowControl/>
              <w:jc w:val="center"/>
              <w:rPr>
                <w:rFonts w:ascii="Times New Roman" w:hAnsi="Times New Roman"/>
                <w:szCs w:val="21"/>
              </w:rPr>
            </w:pPr>
            <w:r>
              <w:rPr>
                <w:rFonts w:ascii="Times New Roman" w:hAnsi="Times New Roman"/>
                <w:szCs w:val="21"/>
              </w:rPr>
              <w:t>2</w:t>
            </w:r>
          </w:p>
        </w:tc>
        <w:tc>
          <w:tcPr>
            <w:tcW w:w="714" w:type="pct"/>
            <w:vAlign w:val="center"/>
          </w:tcPr>
          <w:p>
            <w:pPr>
              <w:widowControl/>
              <w:rPr>
                <w:rFonts w:ascii="Times New Roman" w:hAnsi="Times New Roman"/>
                <w:szCs w:val="21"/>
              </w:rPr>
            </w:pPr>
            <w:r>
              <w:rPr>
                <w:rFonts w:hint="eastAsia" w:ascii="Times New Roman" w:hAnsi="Times New Roman"/>
                <w:szCs w:val="21"/>
              </w:rPr>
              <w:t>高标准农田建设</w:t>
            </w:r>
          </w:p>
        </w:tc>
        <w:tc>
          <w:tcPr>
            <w:tcW w:w="2246" w:type="pct"/>
            <w:vAlign w:val="center"/>
          </w:tcPr>
          <w:p>
            <w:pPr>
              <w:widowControl/>
              <w:rPr>
                <w:rFonts w:ascii="Times New Roman" w:hAnsi="Times New Roman"/>
                <w:szCs w:val="21"/>
              </w:rPr>
            </w:pPr>
            <w:r>
              <w:rPr>
                <w:rFonts w:hint="eastAsia" w:ascii="Times New Roman" w:hAnsi="Times New Roman"/>
                <w:szCs w:val="21"/>
              </w:rPr>
              <w:t>建设高标准农田</w:t>
            </w:r>
            <w:r>
              <w:rPr>
                <w:rFonts w:ascii="Times New Roman" w:hAnsi="Times New Roman"/>
                <w:szCs w:val="21"/>
              </w:rPr>
              <w:t>12</w:t>
            </w:r>
            <w:r>
              <w:rPr>
                <w:rFonts w:hint="eastAsia" w:ascii="Times New Roman" w:hAnsi="Times New Roman"/>
                <w:szCs w:val="21"/>
              </w:rPr>
              <w:t>万亩。主要包括土地平整工程、土壤改良工程、灌溉与排水工程、田间道路工程、农田防护与生态环境保持工程等建设内容。</w:t>
            </w:r>
          </w:p>
        </w:tc>
        <w:tc>
          <w:tcPr>
            <w:tcW w:w="612" w:type="pct"/>
            <w:vAlign w:val="center"/>
          </w:tcPr>
          <w:p>
            <w:pPr>
              <w:widowControl/>
              <w:rPr>
                <w:rFonts w:ascii="Times New Roman" w:hAnsi="Times New Roman"/>
                <w:szCs w:val="21"/>
              </w:rPr>
            </w:pPr>
            <w:r>
              <w:rPr>
                <w:rFonts w:hint="eastAsia" w:ascii="Times New Roman" w:hAnsi="Times New Roman"/>
                <w:szCs w:val="21"/>
              </w:rPr>
              <w:t>区农业农村委</w:t>
            </w:r>
          </w:p>
        </w:tc>
        <w:tc>
          <w:tcPr>
            <w:tcW w:w="511" w:type="pct"/>
            <w:vAlign w:val="center"/>
          </w:tcPr>
          <w:p>
            <w:pPr>
              <w:rPr>
                <w:rFonts w:ascii="Times New Roman" w:hAnsi="Times New Roman"/>
                <w:szCs w:val="21"/>
              </w:rPr>
            </w:pPr>
            <w:r>
              <w:rPr>
                <w:rFonts w:ascii="Times New Roman" w:hAnsi="Times New Roman"/>
                <w:szCs w:val="21"/>
              </w:rPr>
              <w:t>2021-2025</w:t>
            </w:r>
            <w:r>
              <w:rPr>
                <w:rFonts w:hint="eastAsia" w:ascii="Times New Roman" w:hAnsi="Times New Roman"/>
                <w:szCs w:val="21"/>
              </w:rPr>
              <w:t>年</w:t>
            </w:r>
          </w:p>
        </w:tc>
        <w:tc>
          <w:tcPr>
            <w:tcW w:w="408" w:type="pct"/>
            <w:vAlign w:val="center"/>
          </w:tcPr>
          <w:p>
            <w:pPr>
              <w:widowControl/>
              <w:jc w:val="center"/>
              <w:rPr>
                <w:rFonts w:ascii="Times New Roman" w:hAnsi="Times New Roman"/>
                <w:szCs w:val="21"/>
              </w:rPr>
            </w:pPr>
            <w:r>
              <w:rPr>
                <w:rFonts w:ascii="Times New Roman" w:hAnsi="Times New Roman"/>
                <w:szCs w:val="21"/>
              </w:rPr>
              <w:t>28200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00" w:hRule="atLeast"/>
          <w:jc w:val="center"/>
        </w:trPr>
        <w:tc>
          <w:tcPr>
            <w:tcW w:w="254" w:type="pct"/>
            <w:vMerge w:val="continue"/>
            <w:vAlign w:val="center"/>
          </w:tcPr>
          <w:p>
            <w:pPr>
              <w:widowControl/>
              <w:jc w:val="center"/>
              <w:rPr>
                <w:rFonts w:ascii="Times New Roman" w:hAnsi="Times New Roman"/>
                <w:color w:val="5B9BD5"/>
                <w:szCs w:val="21"/>
              </w:rPr>
            </w:pPr>
          </w:p>
        </w:tc>
        <w:tc>
          <w:tcPr>
            <w:tcW w:w="255" w:type="pct"/>
            <w:vAlign w:val="center"/>
          </w:tcPr>
          <w:p>
            <w:pPr>
              <w:widowControl/>
              <w:jc w:val="center"/>
              <w:rPr>
                <w:rFonts w:ascii="Times New Roman" w:hAnsi="Times New Roman"/>
                <w:szCs w:val="21"/>
              </w:rPr>
            </w:pPr>
            <w:r>
              <w:rPr>
                <w:rFonts w:ascii="Times New Roman" w:hAnsi="Times New Roman"/>
                <w:szCs w:val="21"/>
              </w:rPr>
              <w:t>3</w:t>
            </w:r>
          </w:p>
        </w:tc>
        <w:tc>
          <w:tcPr>
            <w:tcW w:w="714" w:type="pct"/>
            <w:vAlign w:val="center"/>
          </w:tcPr>
          <w:p>
            <w:pPr>
              <w:widowControl/>
              <w:rPr>
                <w:rFonts w:ascii="Times New Roman" w:hAnsi="Times New Roman"/>
                <w:szCs w:val="21"/>
              </w:rPr>
            </w:pPr>
            <w:r>
              <w:rPr>
                <w:rFonts w:hint="eastAsia" w:ascii="Times New Roman" w:hAnsi="Times New Roman"/>
                <w:szCs w:val="21"/>
              </w:rPr>
              <w:t>灌区渠系配套工程</w:t>
            </w:r>
          </w:p>
        </w:tc>
        <w:tc>
          <w:tcPr>
            <w:tcW w:w="2246" w:type="pct"/>
            <w:vAlign w:val="center"/>
          </w:tcPr>
          <w:p>
            <w:pPr>
              <w:widowControl/>
              <w:rPr>
                <w:rFonts w:ascii="Times New Roman" w:hAnsi="Times New Roman"/>
                <w:szCs w:val="21"/>
              </w:rPr>
            </w:pPr>
            <w:r>
              <w:rPr>
                <w:rFonts w:hint="eastAsia" w:ascii="Times New Roman" w:hAnsi="Times New Roman"/>
                <w:szCs w:val="21"/>
              </w:rPr>
              <w:t>卫星水库灌溉管网建设工程、两岔水库一期干渠整修</w:t>
            </w:r>
          </w:p>
        </w:tc>
        <w:tc>
          <w:tcPr>
            <w:tcW w:w="612" w:type="pct"/>
            <w:vAlign w:val="center"/>
          </w:tcPr>
          <w:p>
            <w:pPr>
              <w:widowControl/>
              <w:rPr>
                <w:rFonts w:ascii="Times New Roman" w:hAnsi="Times New Roman"/>
                <w:szCs w:val="21"/>
              </w:rPr>
            </w:pPr>
            <w:r>
              <w:rPr>
                <w:rFonts w:hint="eastAsia" w:ascii="Times New Roman" w:hAnsi="Times New Roman"/>
                <w:szCs w:val="21"/>
              </w:rPr>
              <w:t>区水利局</w:t>
            </w:r>
          </w:p>
        </w:tc>
        <w:tc>
          <w:tcPr>
            <w:tcW w:w="511" w:type="pct"/>
            <w:vAlign w:val="center"/>
          </w:tcPr>
          <w:p>
            <w:pPr>
              <w:rPr>
                <w:rFonts w:ascii="Times New Roman" w:hAnsi="Times New Roman"/>
                <w:szCs w:val="21"/>
              </w:rPr>
            </w:pPr>
            <w:r>
              <w:rPr>
                <w:rFonts w:ascii="Times New Roman" w:hAnsi="Times New Roman"/>
                <w:szCs w:val="21"/>
              </w:rPr>
              <w:t>2021-2025</w:t>
            </w:r>
            <w:r>
              <w:rPr>
                <w:rFonts w:hint="eastAsia" w:ascii="Times New Roman" w:hAnsi="Times New Roman"/>
                <w:szCs w:val="21"/>
              </w:rPr>
              <w:t>年</w:t>
            </w:r>
          </w:p>
        </w:tc>
        <w:tc>
          <w:tcPr>
            <w:tcW w:w="408" w:type="pct"/>
            <w:vAlign w:val="center"/>
          </w:tcPr>
          <w:p>
            <w:pPr>
              <w:widowControl/>
              <w:jc w:val="center"/>
              <w:rPr>
                <w:rFonts w:ascii="Times New Roman" w:hAnsi="Times New Roman"/>
                <w:szCs w:val="21"/>
              </w:rPr>
            </w:pPr>
            <w:r>
              <w:rPr>
                <w:rFonts w:ascii="Times New Roman" w:hAnsi="Times New Roman"/>
                <w:szCs w:val="21"/>
              </w:rPr>
              <w:t>2000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46" w:hRule="atLeast"/>
          <w:jc w:val="center"/>
        </w:trPr>
        <w:tc>
          <w:tcPr>
            <w:tcW w:w="254" w:type="pct"/>
            <w:vMerge w:val="continue"/>
            <w:vAlign w:val="center"/>
          </w:tcPr>
          <w:p>
            <w:pPr>
              <w:widowControl/>
              <w:jc w:val="center"/>
              <w:rPr>
                <w:rFonts w:ascii="Times New Roman" w:hAnsi="Times New Roman"/>
                <w:color w:val="5B9BD5"/>
                <w:szCs w:val="21"/>
              </w:rPr>
            </w:pPr>
          </w:p>
        </w:tc>
        <w:tc>
          <w:tcPr>
            <w:tcW w:w="255" w:type="pct"/>
            <w:vAlign w:val="center"/>
          </w:tcPr>
          <w:p>
            <w:pPr>
              <w:widowControl/>
              <w:jc w:val="center"/>
              <w:rPr>
                <w:rFonts w:ascii="Times New Roman" w:hAnsi="Times New Roman"/>
                <w:color w:val="5B9BD5"/>
                <w:szCs w:val="21"/>
              </w:rPr>
            </w:pPr>
            <w:r>
              <w:rPr>
                <w:rFonts w:ascii="Times New Roman" w:hAnsi="Times New Roman"/>
                <w:szCs w:val="21"/>
              </w:rPr>
              <w:t>4</w:t>
            </w:r>
          </w:p>
        </w:tc>
        <w:tc>
          <w:tcPr>
            <w:tcW w:w="714" w:type="pct"/>
            <w:tcBorders>
              <w:top w:val="nil"/>
              <w:left w:val="nil"/>
            </w:tcBorders>
            <w:vAlign w:val="center"/>
          </w:tcPr>
          <w:p>
            <w:pPr>
              <w:widowControl/>
              <w:rPr>
                <w:rFonts w:ascii="Times New Roman" w:hAnsi="Times New Roman"/>
                <w:color w:val="5B9BD5"/>
                <w:szCs w:val="21"/>
              </w:rPr>
            </w:pPr>
            <w:r>
              <w:rPr>
                <w:rFonts w:hint="eastAsia" w:ascii="Times New Roman" w:hAnsi="Times New Roman"/>
                <w:szCs w:val="21"/>
              </w:rPr>
              <w:t>农村人居环境整治提升工程</w:t>
            </w:r>
            <w:r>
              <w:rPr>
                <w:rFonts w:hint="eastAsia" w:ascii="Times New Roman" w:hAnsi="Times New Roman"/>
                <w:szCs w:val="21"/>
                <w:vertAlign w:val="superscript"/>
              </w:rPr>
              <w:t>①</w:t>
            </w:r>
          </w:p>
        </w:tc>
        <w:tc>
          <w:tcPr>
            <w:tcW w:w="2246" w:type="pct"/>
            <w:tcBorders>
              <w:top w:val="nil"/>
              <w:left w:val="nil"/>
            </w:tcBorders>
            <w:vAlign w:val="center"/>
          </w:tcPr>
          <w:p>
            <w:pPr>
              <w:widowControl/>
              <w:rPr>
                <w:rFonts w:ascii="Times New Roman" w:hAnsi="Times New Roman"/>
                <w:szCs w:val="21"/>
              </w:rPr>
            </w:pPr>
            <w:r>
              <w:rPr>
                <w:rFonts w:hint="eastAsia" w:ascii="Times New Roman" w:hAnsi="Times New Roman"/>
                <w:szCs w:val="21"/>
              </w:rPr>
              <w:t>改造农村无害化卫生户厕</w:t>
            </w:r>
            <w:r>
              <w:rPr>
                <w:rFonts w:ascii="Times New Roman" w:hAnsi="Times New Roman"/>
                <w:szCs w:val="21"/>
              </w:rPr>
              <w:t>2705</w:t>
            </w:r>
            <w:r>
              <w:rPr>
                <w:rFonts w:hint="eastAsia" w:ascii="Times New Roman" w:hAnsi="Times New Roman"/>
                <w:szCs w:val="21"/>
              </w:rPr>
              <w:t>户，农村无害化卫生厕所普及率达到</w:t>
            </w:r>
            <w:r>
              <w:rPr>
                <w:rFonts w:ascii="Times New Roman" w:hAnsi="Times New Roman"/>
                <w:szCs w:val="21"/>
              </w:rPr>
              <w:t>95%</w:t>
            </w:r>
            <w:r>
              <w:rPr>
                <w:rFonts w:hint="eastAsia" w:ascii="Times New Roman" w:hAnsi="Times New Roman"/>
                <w:szCs w:val="21"/>
              </w:rPr>
              <w:t>以上；实施农村旧房整治提升约</w:t>
            </w:r>
            <w:r>
              <w:rPr>
                <w:rFonts w:ascii="Times New Roman" w:hAnsi="Times New Roman"/>
                <w:szCs w:val="21"/>
              </w:rPr>
              <w:t>1</w:t>
            </w:r>
            <w:r>
              <w:rPr>
                <w:rFonts w:hint="eastAsia" w:ascii="Times New Roman" w:hAnsi="Times New Roman"/>
                <w:szCs w:val="21"/>
              </w:rPr>
              <w:t>万户、危房整治</w:t>
            </w:r>
            <w:r>
              <w:rPr>
                <w:rFonts w:ascii="Times New Roman" w:hAnsi="Times New Roman"/>
                <w:szCs w:val="21"/>
              </w:rPr>
              <w:t>5000</w:t>
            </w:r>
            <w:r>
              <w:rPr>
                <w:rFonts w:hint="eastAsia" w:ascii="Times New Roman" w:hAnsi="Times New Roman"/>
                <w:szCs w:val="21"/>
              </w:rPr>
              <w:t>户；持续实施农村公路建设，新建通组公路</w:t>
            </w:r>
            <w:r>
              <w:rPr>
                <w:rFonts w:ascii="Times New Roman" w:hAnsi="Times New Roman"/>
                <w:szCs w:val="21"/>
              </w:rPr>
              <w:t>400</w:t>
            </w:r>
            <w:r>
              <w:rPr>
                <w:rFonts w:hint="eastAsia" w:ascii="Times New Roman" w:hAnsi="Times New Roman"/>
                <w:szCs w:val="21"/>
              </w:rPr>
              <w:t>公里；加强农村生活污水治理，实施乡镇雨污管网建设</w:t>
            </w:r>
            <w:r>
              <w:rPr>
                <w:rFonts w:ascii="Times New Roman" w:hAnsi="Times New Roman"/>
                <w:szCs w:val="21"/>
              </w:rPr>
              <w:t>30.421</w:t>
            </w:r>
            <w:r>
              <w:rPr>
                <w:rFonts w:hint="eastAsia" w:ascii="Times New Roman" w:hAnsi="Times New Roman"/>
                <w:szCs w:val="21"/>
              </w:rPr>
              <w:t>公里，新建、改造升级污水处理设施</w:t>
            </w:r>
            <w:r>
              <w:rPr>
                <w:rFonts w:ascii="Times New Roman" w:hAnsi="Times New Roman"/>
                <w:szCs w:val="21"/>
              </w:rPr>
              <w:t>13</w:t>
            </w:r>
            <w:r>
              <w:rPr>
                <w:rFonts w:hint="eastAsia" w:ascii="Times New Roman" w:hAnsi="Times New Roman"/>
                <w:szCs w:val="21"/>
              </w:rPr>
              <w:t>座，实现农村生活污水治理率达到</w:t>
            </w:r>
            <w:r>
              <w:rPr>
                <w:rFonts w:ascii="Times New Roman" w:hAnsi="Times New Roman"/>
                <w:szCs w:val="21"/>
              </w:rPr>
              <w:t>65%</w:t>
            </w:r>
            <w:r>
              <w:rPr>
                <w:rFonts w:hint="eastAsia" w:ascii="Times New Roman" w:hAnsi="Times New Roman"/>
                <w:szCs w:val="21"/>
              </w:rPr>
              <w:t>、农村生活污水治理农户覆盖率达到</w:t>
            </w:r>
            <w:r>
              <w:rPr>
                <w:rFonts w:ascii="Times New Roman" w:hAnsi="Times New Roman"/>
                <w:szCs w:val="21"/>
              </w:rPr>
              <w:t>72%</w:t>
            </w:r>
            <w:r>
              <w:rPr>
                <w:rFonts w:hint="eastAsia" w:ascii="Times New Roman" w:hAnsi="Times New Roman"/>
                <w:szCs w:val="21"/>
              </w:rPr>
              <w:t>；持续加强农业废弃物资源化利用，新改建畜禽废弃物资源化利用示范场</w:t>
            </w:r>
            <w:r>
              <w:rPr>
                <w:rFonts w:ascii="Times New Roman" w:hAnsi="Times New Roman"/>
                <w:szCs w:val="21"/>
              </w:rPr>
              <w:t>50</w:t>
            </w:r>
            <w:r>
              <w:rPr>
                <w:rFonts w:hint="eastAsia" w:ascii="Times New Roman" w:hAnsi="Times New Roman"/>
                <w:szCs w:val="21"/>
              </w:rPr>
              <w:t>个，实现规模养殖场粪污处理设施配套率达</w:t>
            </w:r>
            <w:r>
              <w:rPr>
                <w:rFonts w:ascii="Times New Roman" w:hAnsi="Times New Roman"/>
                <w:szCs w:val="21"/>
              </w:rPr>
              <w:t>100%</w:t>
            </w:r>
            <w:r>
              <w:rPr>
                <w:rFonts w:hint="eastAsia" w:ascii="Times New Roman" w:hAnsi="Times New Roman"/>
                <w:szCs w:val="21"/>
              </w:rPr>
              <w:t>，畜禽粪污资源化利用率达</w:t>
            </w:r>
            <w:r>
              <w:rPr>
                <w:rFonts w:ascii="Times New Roman" w:hAnsi="Times New Roman"/>
                <w:szCs w:val="21"/>
              </w:rPr>
              <w:t>90%</w:t>
            </w:r>
            <w:r>
              <w:rPr>
                <w:rFonts w:hint="eastAsia" w:ascii="Times New Roman" w:hAnsi="Times New Roman"/>
                <w:szCs w:val="21"/>
              </w:rPr>
              <w:t>以上，农作物秸秆综合利用率达</w:t>
            </w:r>
            <w:r>
              <w:rPr>
                <w:rFonts w:ascii="Times New Roman" w:hAnsi="Times New Roman"/>
                <w:szCs w:val="21"/>
              </w:rPr>
              <w:t>90%</w:t>
            </w:r>
            <w:r>
              <w:rPr>
                <w:rFonts w:hint="eastAsia" w:ascii="Times New Roman" w:hAnsi="Times New Roman"/>
                <w:szCs w:val="21"/>
              </w:rPr>
              <w:t>以上，废弃农膜回收率达</w:t>
            </w:r>
            <w:r>
              <w:rPr>
                <w:rFonts w:ascii="Times New Roman" w:hAnsi="Times New Roman"/>
                <w:szCs w:val="21"/>
              </w:rPr>
              <w:t>86%</w:t>
            </w:r>
            <w:r>
              <w:rPr>
                <w:rFonts w:hint="eastAsia" w:ascii="Times New Roman" w:hAnsi="Times New Roman"/>
                <w:szCs w:val="21"/>
              </w:rPr>
              <w:t>，废弃农膜回收村级、镇</w:t>
            </w:r>
            <w:r>
              <w:rPr>
                <w:rFonts w:ascii="Times New Roman" w:hAnsi="Times New Roman"/>
                <w:szCs w:val="21"/>
              </w:rPr>
              <w:t>(</w:t>
            </w:r>
            <w:r>
              <w:rPr>
                <w:rFonts w:hint="eastAsia" w:ascii="Times New Roman" w:hAnsi="Times New Roman"/>
                <w:szCs w:val="21"/>
              </w:rPr>
              <w:t>街</w:t>
            </w:r>
            <w:r>
              <w:rPr>
                <w:rFonts w:ascii="Times New Roman" w:hAnsi="Times New Roman"/>
                <w:szCs w:val="21"/>
              </w:rPr>
              <w:t>)</w:t>
            </w:r>
            <w:r>
              <w:rPr>
                <w:rFonts w:hint="eastAsia" w:ascii="Times New Roman" w:hAnsi="Times New Roman"/>
                <w:szCs w:val="21"/>
              </w:rPr>
              <w:t>覆盖率分别达</w:t>
            </w:r>
            <w:r>
              <w:rPr>
                <w:rFonts w:ascii="Times New Roman" w:hAnsi="Times New Roman"/>
                <w:szCs w:val="21"/>
              </w:rPr>
              <w:t>85%</w:t>
            </w:r>
            <w:r>
              <w:rPr>
                <w:rFonts w:hint="eastAsia" w:ascii="Times New Roman" w:hAnsi="Times New Roman"/>
                <w:szCs w:val="21"/>
              </w:rPr>
              <w:t>和</w:t>
            </w:r>
            <w:r>
              <w:rPr>
                <w:rFonts w:ascii="Times New Roman" w:hAnsi="Times New Roman"/>
                <w:szCs w:val="21"/>
              </w:rPr>
              <w:t>100%</w:t>
            </w:r>
            <w:r>
              <w:rPr>
                <w:rFonts w:hint="eastAsia" w:ascii="Times New Roman" w:hAnsi="Times New Roman"/>
                <w:szCs w:val="21"/>
              </w:rPr>
              <w:t>。</w:t>
            </w:r>
          </w:p>
        </w:tc>
        <w:tc>
          <w:tcPr>
            <w:tcW w:w="612" w:type="pct"/>
            <w:vAlign w:val="center"/>
          </w:tcPr>
          <w:p>
            <w:pPr>
              <w:widowControl/>
              <w:rPr>
                <w:rFonts w:ascii="Times New Roman" w:hAnsi="Times New Roman"/>
                <w:szCs w:val="21"/>
              </w:rPr>
            </w:pPr>
            <w:r>
              <w:rPr>
                <w:rFonts w:hint="eastAsia" w:ascii="Times New Roman" w:hAnsi="Times New Roman"/>
                <w:szCs w:val="21"/>
              </w:rPr>
              <w:t>区农业农村委</w:t>
            </w:r>
          </w:p>
        </w:tc>
        <w:tc>
          <w:tcPr>
            <w:tcW w:w="511" w:type="pct"/>
            <w:vAlign w:val="center"/>
          </w:tcPr>
          <w:p>
            <w:pPr>
              <w:rPr>
                <w:rFonts w:ascii="Times New Roman" w:hAnsi="Times New Roman"/>
                <w:color w:val="5B9BD5"/>
                <w:szCs w:val="21"/>
              </w:rPr>
            </w:pPr>
            <w:r>
              <w:rPr>
                <w:rFonts w:ascii="Times New Roman" w:hAnsi="Times New Roman"/>
                <w:szCs w:val="21"/>
              </w:rPr>
              <w:t>2021-2025</w:t>
            </w:r>
            <w:r>
              <w:rPr>
                <w:rFonts w:hint="eastAsia" w:ascii="Times New Roman" w:hAnsi="Times New Roman"/>
                <w:szCs w:val="21"/>
              </w:rPr>
              <w:t>年</w:t>
            </w:r>
          </w:p>
        </w:tc>
        <w:tc>
          <w:tcPr>
            <w:tcW w:w="408" w:type="pct"/>
            <w:vAlign w:val="center"/>
          </w:tcPr>
          <w:p>
            <w:pPr>
              <w:widowControl/>
              <w:jc w:val="center"/>
              <w:rPr>
                <w:rFonts w:ascii="Times New Roman" w:hAnsi="Times New Roman"/>
                <w:szCs w:val="21"/>
              </w:rPr>
            </w:pPr>
            <w:r>
              <w:rPr>
                <w:rFonts w:ascii="Times New Roman" w:hAnsi="Times New Roman"/>
                <w:szCs w:val="21"/>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54" w:type="pct"/>
            <w:vMerge w:val="restart"/>
            <w:vAlign w:val="center"/>
          </w:tcPr>
          <w:p>
            <w:pPr>
              <w:widowControl/>
              <w:jc w:val="center"/>
              <w:rPr>
                <w:rFonts w:ascii="Times New Roman" w:hAnsi="Times New Roman"/>
                <w:szCs w:val="21"/>
              </w:rPr>
            </w:pPr>
            <w:r>
              <w:rPr>
                <w:rFonts w:hint="eastAsia" w:ascii="Times New Roman" w:hAnsi="Times New Roman"/>
                <w:b/>
                <w:szCs w:val="21"/>
              </w:rPr>
              <w:t>城镇节水</w:t>
            </w:r>
          </w:p>
        </w:tc>
        <w:tc>
          <w:tcPr>
            <w:tcW w:w="255" w:type="pct"/>
            <w:vAlign w:val="center"/>
          </w:tcPr>
          <w:p>
            <w:pPr>
              <w:widowControl/>
              <w:jc w:val="center"/>
              <w:rPr>
                <w:rFonts w:ascii="Times New Roman" w:hAnsi="Times New Roman"/>
                <w:szCs w:val="21"/>
              </w:rPr>
            </w:pPr>
            <w:r>
              <w:rPr>
                <w:rFonts w:ascii="Times New Roman" w:hAnsi="Times New Roman"/>
                <w:szCs w:val="21"/>
              </w:rPr>
              <w:t>5</w:t>
            </w:r>
          </w:p>
        </w:tc>
        <w:tc>
          <w:tcPr>
            <w:tcW w:w="714" w:type="pct"/>
            <w:vAlign w:val="center"/>
          </w:tcPr>
          <w:p>
            <w:pPr>
              <w:widowControl/>
              <w:rPr>
                <w:rFonts w:ascii="Times New Roman" w:hAnsi="Times New Roman"/>
                <w:color w:val="5B9BD5"/>
                <w:szCs w:val="21"/>
              </w:rPr>
            </w:pPr>
            <w:r>
              <w:rPr>
                <w:rFonts w:hint="eastAsia" w:ascii="Times New Roman" w:hAnsi="Times New Roman"/>
                <w:szCs w:val="21"/>
              </w:rPr>
              <w:t>供水管网改造</w:t>
            </w:r>
          </w:p>
        </w:tc>
        <w:tc>
          <w:tcPr>
            <w:tcW w:w="2246" w:type="pct"/>
            <w:vAlign w:val="center"/>
          </w:tcPr>
          <w:p>
            <w:pPr>
              <w:widowControl/>
              <w:rPr>
                <w:rFonts w:ascii="Times New Roman" w:hAnsi="Times New Roman"/>
                <w:color w:val="5B9BD5"/>
                <w:szCs w:val="21"/>
              </w:rPr>
            </w:pPr>
            <w:r>
              <w:rPr>
                <w:rFonts w:hint="eastAsia" w:ascii="Times New Roman" w:hAnsi="Times New Roman"/>
                <w:szCs w:val="21"/>
              </w:rPr>
              <w:t>渝北区供水设施改造包括悦来水厂排水改造、“一户一表”改造及老旧管网改造工程等</w:t>
            </w:r>
          </w:p>
        </w:tc>
        <w:tc>
          <w:tcPr>
            <w:tcW w:w="612" w:type="pct"/>
            <w:vAlign w:val="center"/>
          </w:tcPr>
          <w:p>
            <w:pPr>
              <w:widowControl/>
              <w:rPr>
                <w:rFonts w:ascii="Times New Roman" w:hAnsi="Times New Roman"/>
                <w:szCs w:val="21"/>
              </w:rPr>
            </w:pPr>
            <w:r>
              <w:rPr>
                <w:rFonts w:hint="eastAsia" w:ascii="Times New Roman" w:hAnsi="Times New Roman"/>
                <w:szCs w:val="21"/>
              </w:rPr>
              <w:t>区城市管理局</w:t>
            </w:r>
          </w:p>
        </w:tc>
        <w:tc>
          <w:tcPr>
            <w:tcW w:w="511" w:type="pct"/>
            <w:vAlign w:val="center"/>
          </w:tcPr>
          <w:p>
            <w:pPr>
              <w:widowControl/>
              <w:rPr>
                <w:rFonts w:ascii="Times New Roman" w:hAnsi="Times New Roman"/>
                <w:szCs w:val="21"/>
              </w:rPr>
            </w:pPr>
            <w:r>
              <w:rPr>
                <w:rFonts w:ascii="Times New Roman" w:hAnsi="Times New Roman"/>
                <w:szCs w:val="21"/>
              </w:rPr>
              <w:t>2021-2025</w:t>
            </w:r>
            <w:r>
              <w:rPr>
                <w:rFonts w:hint="eastAsia" w:ascii="Times New Roman" w:hAnsi="Times New Roman"/>
                <w:szCs w:val="21"/>
              </w:rPr>
              <w:t>年</w:t>
            </w:r>
          </w:p>
        </w:tc>
        <w:tc>
          <w:tcPr>
            <w:tcW w:w="408" w:type="pct"/>
            <w:vAlign w:val="center"/>
          </w:tcPr>
          <w:p>
            <w:pPr>
              <w:widowControl/>
              <w:jc w:val="center"/>
              <w:rPr>
                <w:rFonts w:ascii="Times New Roman" w:hAnsi="Times New Roman"/>
                <w:szCs w:val="21"/>
              </w:rPr>
            </w:pPr>
            <w:r>
              <w:rPr>
                <w:rFonts w:ascii="Times New Roman" w:hAnsi="Times New Roman"/>
                <w:szCs w:val="21"/>
              </w:rPr>
              <w:t>10657</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54" w:type="pct"/>
            <w:vMerge w:val="continue"/>
            <w:vAlign w:val="center"/>
          </w:tcPr>
          <w:p>
            <w:pPr>
              <w:widowControl/>
              <w:jc w:val="center"/>
              <w:rPr>
                <w:rFonts w:ascii="Times New Roman" w:hAnsi="Times New Roman"/>
                <w:b/>
                <w:szCs w:val="21"/>
              </w:rPr>
            </w:pPr>
          </w:p>
        </w:tc>
        <w:tc>
          <w:tcPr>
            <w:tcW w:w="255" w:type="pct"/>
            <w:vAlign w:val="center"/>
          </w:tcPr>
          <w:p>
            <w:pPr>
              <w:widowControl/>
              <w:jc w:val="center"/>
              <w:rPr>
                <w:rFonts w:ascii="Times New Roman" w:hAnsi="Times New Roman"/>
                <w:szCs w:val="21"/>
              </w:rPr>
            </w:pPr>
            <w:r>
              <w:rPr>
                <w:rFonts w:ascii="Times New Roman" w:hAnsi="Times New Roman"/>
                <w:szCs w:val="21"/>
              </w:rPr>
              <w:t>6</w:t>
            </w:r>
          </w:p>
        </w:tc>
        <w:tc>
          <w:tcPr>
            <w:tcW w:w="714" w:type="pct"/>
            <w:vAlign w:val="center"/>
          </w:tcPr>
          <w:p>
            <w:pPr>
              <w:widowControl/>
              <w:rPr>
                <w:rFonts w:ascii="Times New Roman" w:hAnsi="Times New Roman"/>
                <w:szCs w:val="21"/>
              </w:rPr>
            </w:pPr>
            <w:r>
              <w:rPr>
                <w:rFonts w:hint="eastAsia" w:ascii="Times New Roman" w:hAnsi="Times New Roman"/>
                <w:szCs w:val="21"/>
              </w:rPr>
              <w:t>节水型单位</w:t>
            </w:r>
          </w:p>
        </w:tc>
        <w:tc>
          <w:tcPr>
            <w:tcW w:w="2246" w:type="pct"/>
            <w:vAlign w:val="center"/>
          </w:tcPr>
          <w:p>
            <w:pPr>
              <w:widowControl/>
              <w:rPr>
                <w:rFonts w:ascii="Times New Roman" w:hAnsi="Times New Roman"/>
                <w:szCs w:val="21"/>
              </w:rPr>
            </w:pPr>
            <w:r>
              <w:rPr>
                <w:rFonts w:hint="eastAsia" w:ascii="Times New Roman" w:hAnsi="Times New Roman"/>
                <w:szCs w:val="21"/>
              </w:rPr>
              <w:t>全部区级机关和</w:t>
            </w:r>
            <w:r>
              <w:rPr>
                <w:rFonts w:ascii="Times New Roman" w:hAnsi="Times New Roman"/>
                <w:szCs w:val="21"/>
              </w:rPr>
              <w:t>70%</w:t>
            </w:r>
            <w:r>
              <w:rPr>
                <w:rFonts w:hint="eastAsia" w:ascii="Times New Roman" w:hAnsi="Times New Roman"/>
                <w:szCs w:val="21"/>
              </w:rPr>
              <w:t>的区级其他公共机构创建成节水型单位</w:t>
            </w:r>
          </w:p>
        </w:tc>
        <w:tc>
          <w:tcPr>
            <w:tcW w:w="612" w:type="pct"/>
            <w:vAlign w:val="center"/>
          </w:tcPr>
          <w:p>
            <w:pPr>
              <w:widowControl/>
              <w:rPr>
                <w:rFonts w:ascii="Times New Roman" w:hAnsi="Times New Roman"/>
                <w:szCs w:val="21"/>
              </w:rPr>
            </w:pPr>
            <w:r>
              <w:rPr>
                <w:rFonts w:hint="eastAsia" w:ascii="Times New Roman" w:hAnsi="Times New Roman"/>
                <w:szCs w:val="21"/>
              </w:rPr>
              <w:t>区机关事务中心</w:t>
            </w:r>
          </w:p>
        </w:tc>
        <w:tc>
          <w:tcPr>
            <w:tcW w:w="511" w:type="pct"/>
            <w:vAlign w:val="center"/>
          </w:tcPr>
          <w:p>
            <w:pPr>
              <w:widowControl/>
              <w:rPr>
                <w:rFonts w:ascii="Times New Roman" w:hAnsi="Times New Roman"/>
                <w:szCs w:val="21"/>
              </w:rPr>
            </w:pPr>
            <w:r>
              <w:rPr>
                <w:rFonts w:ascii="Times New Roman" w:hAnsi="Times New Roman"/>
                <w:szCs w:val="21"/>
              </w:rPr>
              <w:t>2021-2025</w:t>
            </w:r>
            <w:r>
              <w:rPr>
                <w:rFonts w:hint="eastAsia" w:ascii="Times New Roman" w:hAnsi="Times New Roman"/>
                <w:szCs w:val="21"/>
              </w:rPr>
              <w:t>年</w:t>
            </w:r>
          </w:p>
        </w:tc>
        <w:tc>
          <w:tcPr>
            <w:tcW w:w="408" w:type="pct"/>
            <w:vAlign w:val="center"/>
          </w:tcPr>
          <w:p>
            <w:pPr>
              <w:widowControl/>
              <w:jc w:val="center"/>
              <w:rPr>
                <w:rFonts w:ascii="Times New Roman" w:hAnsi="Times New Roman"/>
                <w:szCs w:val="21"/>
              </w:rPr>
            </w:pPr>
            <w:r>
              <w:rPr>
                <w:rFonts w:ascii="Times New Roman" w:hAnsi="Times New Roman"/>
                <w:szCs w:val="21"/>
              </w:rPr>
              <w:t>300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54" w:type="pct"/>
            <w:vMerge w:val="continue"/>
            <w:vAlign w:val="center"/>
          </w:tcPr>
          <w:p>
            <w:pPr>
              <w:widowControl/>
              <w:jc w:val="center"/>
              <w:rPr>
                <w:rFonts w:ascii="Times New Roman" w:hAnsi="Times New Roman"/>
                <w:b/>
                <w:szCs w:val="21"/>
              </w:rPr>
            </w:pPr>
          </w:p>
        </w:tc>
        <w:tc>
          <w:tcPr>
            <w:tcW w:w="255" w:type="pct"/>
            <w:vAlign w:val="center"/>
          </w:tcPr>
          <w:p>
            <w:pPr>
              <w:widowControl/>
              <w:jc w:val="center"/>
              <w:rPr>
                <w:rFonts w:ascii="Times New Roman" w:hAnsi="Times New Roman"/>
                <w:szCs w:val="21"/>
              </w:rPr>
            </w:pPr>
            <w:r>
              <w:rPr>
                <w:rFonts w:ascii="Times New Roman" w:hAnsi="Times New Roman"/>
                <w:szCs w:val="21"/>
              </w:rPr>
              <w:t>7</w:t>
            </w:r>
          </w:p>
        </w:tc>
        <w:tc>
          <w:tcPr>
            <w:tcW w:w="714" w:type="pct"/>
            <w:vAlign w:val="center"/>
          </w:tcPr>
          <w:p>
            <w:pPr>
              <w:widowControl/>
              <w:rPr>
                <w:rFonts w:ascii="Times New Roman" w:hAnsi="Times New Roman"/>
                <w:szCs w:val="21"/>
              </w:rPr>
            </w:pPr>
            <w:r>
              <w:rPr>
                <w:rFonts w:hint="eastAsia" w:ascii="Times New Roman" w:hAnsi="Times New Roman"/>
                <w:szCs w:val="21"/>
              </w:rPr>
              <w:t>节水型小区建设</w:t>
            </w:r>
          </w:p>
        </w:tc>
        <w:tc>
          <w:tcPr>
            <w:tcW w:w="2246" w:type="pct"/>
            <w:vAlign w:val="center"/>
          </w:tcPr>
          <w:p>
            <w:pPr>
              <w:widowControl/>
              <w:rPr>
                <w:rFonts w:ascii="Times New Roman" w:hAnsi="Times New Roman"/>
                <w:szCs w:val="21"/>
              </w:rPr>
            </w:pPr>
            <w:r>
              <w:rPr>
                <w:rFonts w:hint="eastAsia" w:ascii="Times New Roman" w:hAnsi="Times New Roman"/>
                <w:szCs w:val="21"/>
              </w:rPr>
              <w:t>节水型小区建成率提高到</w:t>
            </w:r>
            <w:r>
              <w:rPr>
                <w:rFonts w:ascii="Times New Roman" w:hAnsi="Times New Roman"/>
                <w:szCs w:val="21"/>
              </w:rPr>
              <w:t>15%</w:t>
            </w:r>
            <w:r>
              <w:rPr>
                <w:rFonts w:hint="eastAsia" w:ascii="Times New Roman" w:hAnsi="Times New Roman"/>
                <w:szCs w:val="21"/>
              </w:rPr>
              <w:t>以上</w:t>
            </w:r>
          </w:p>
        </w:tc>
        <w:tc>
          <w:tcPr>
            <w:tcW w:w="612" w:type="pct"/>
            <w:vAlign w:val="center"/>
          </w:tcPr>
          <w:p>
            <w:pPr>
              <w:widowControl/>
              <w:rPr>
                <w:rFonts w:ascii="Times New Roman" w:hAnsi="Times New Roman"/>
                <w:szCs w:val="21"/>
              </w:rPr>
            </w:pPr>
            <w:r>
              <w:rPr>
                <w:rFonts w:hint="eastAsia" w:ascii="Times New Roman" w:hAnsi="Times New Roman"/>
                <w:szCs w:val="21"/>
              </w:rPr>
              <w:t>区住房城乡建委</w:t>
            </w:r>
          </w:p>
        </w:tc>
        <w:tc>
          <w:tcPr>
            <w:tcW w:w="511" w:type="pct"/>
            <w:vAlign w:val="center"/>
          </w:tcPr>
          <w:p>
            <w:pPr>
              <w:widowControl/>
              <w:jc w:val="center"/>
              <w:rPr>
                <w:rFonts w:ascii="Times New Roman" w:hAnsi="Times New Roman"/>
                <w:szCs w:val="21"/>
              </w:rPr>
            </w:pPr>
            <w:r>
              <w:rPr>
                <w:rFonts w:ascii="Times New Roman" w:hAnsi="Times New Roman"/>
                <w:szCs w:val="21"/>
              </w:rPr>
              <w:t>2021-2025</w:t>
            </w:r>
            <w:r>
              <w:rPr>
                <w:rFonts w:hint="eastAsia" w:ascii="Times New Roman" w:hAnsi="Times New Roman"/>
                <w:szCs w:val="21"/>
              </w:rPr>
              <w:t>年</w:t>
            </w:r>
          </w:p>
        </w:tc>
        <w:tc>
          <w:tcPr>
            <w:tcW w:w="408" w:type="pct"/>
            <w:vAlign w:val="center"/>
          </w:tcPr>
          <w:p>
            <w:pPr>
              <w:widowControl/>
              <w:jc w:val="center"/>
              <w:rPr>
                <w:rFonts w:ascii="Times New Roman" w:hAnsi="Times New Roman"/>
                <w:szCs w:val="21"/>
              </w:rPr>
            </w:pPr>
            <w:r>
              <w:rPr>
                <w:rFonts w:ascii="Times New Roman" w:hAnsi="Times New Roman"/>
                <w:szCs w:val="21"/>
              </w:rPr>
              <w:t>250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54" w:type="pct"/>
            <w:vMerge w:val="continue"/>
            <w:vAlign w:val="center"/>
          </w:tcPr>
          <w:p>
            <w:pPr>
              <w:widowControl/>
              <w:jc w:val="center"/>
              <w:rPr>
                <w:rFonts w:ascii="Times New Roman" w:hAnsi="Times New Roman"/>
                <w:b/>
                <w:szCs w:val="21"/>
              </w:rPr>
            </w:pPr>
          </w:p>
        </w:tc>
        <w:tc>
          <w:tcPr>
            <w:tcW w:w="255" w:type="pct"/>
            <w:vAlign w:val="center"/>
          </w:tcPr>
          <w:p>
            <w:pPr>
              <w:widowControl/>
              <w:jc w:val="center"/>
              <w:rPr>
                <w:rFonts w:ascii="Times New Roman" w:hAnsi="Times New Roman"/>
                <w:szCs w:val="21"/>
              </w:rPr>
            </w:pPr>
            <w:r>
              <w:rPr>
                <w:rFonts w:ascii="Times New Roman" w:hAnsi="Times New Roman"/>
                <w:szCs w:val="21"/>
              </w:rPr>
              <w:t>8</w:t>
            </w:r>
          </w:p>
        </w:tc>
        <w:tc>
          <w:tcPr>
            <w:tcW w:w="714" w:type="pct"/>
            <w:vAlign w:val="center"/>
          </w:tcPr>
          <w:p>
            <w:pPr>
              <w:widowControl/>
              <w:rPr>
                <w:rFonts w:ascii="Times New Roman" w:hAnsi="Times New Roman"/>
                <w:szCs w:val="21"/>
              </w:rPr>
            </w:pPr>
            <w:r>
              <w:rPr>
                <w:rFonts w:hint="eastAsia" w:ascii="Times New Roman" w:hAnsi="Times New Roman"/>
                <w:szCs w:val="21"/>
              </w:rPr>
              <w:t>节水宣传</w:t>
            </w:r>
          </w:p>
        </w:tc>
        <w:tc>
          <w:tcPr>
            <w:tcW w:w="2246" w:type="pct"/>
            <w:vAlign w:val="center"/>
          </w:tcPr>
          <w:p>
            <w:pPr>
              <w:widowControl/>
              <w:rPr>
                <w:rFonts w:ascii="Times New Roman" w:hAnsi="Times New Roman"/>
                <w:szCs w:val="21"/>
              </w:rPr>
            </w:pPr>
            <w:r>
              <w:rPr>
                <w:rFonts w:ascii="Times New Roman" w:hAnsi="Times New Roman"/>
                <w:szCs w:val="21"/>
              </w:rPr>
              <w:t>“</w:t>
            </w:r>
            <w:r>
              <w:rPr>
                <w:rFonts w:hint="eastAsia" w:ascii="Times New Roman" w:hAnsi="Times New Roman"/>
                <w:szCs w:val="21"/>
              </w:rPr>
              <w:t>世界水日</w:t>
            </w:r>
            <w:r>
              <w:rPr>
                <w:rFonts w:ascii="Times New Roman" w:hAnsi="Times New Roman"/>
                <w:szCs w:val="21"/>
              </w:rPr>
              <w:t>”</w:t>
            </w:r>
            <w:r>
              <w:rPr>
                <w:rFonts w:hint="eastAsia" w:ascii="Times New Roman" w:hAnsi="Times New Roman"/>
                <w:szCs w:val="21"/>
              </w:rPr>
              <w:t>、</w:t>
            </w:r>
            <w:r>
              <w:rPr>
                <w:rFonts w:ascii="Times New Roman" w:hAnsi="Times New Roman"/>
                <w:szCs w:val="21"/>
              </w:rPr>
              <w:t>“</w:t>
            </w:r>
            <w:r>
              <w:rPr>
                <w:rFonts w:hint="eastAsia" w:ascii="Times New Roman" w:hAnsi="Times New Roman"/>
                <w:szCs w:val="21"/>
              </w:rPr>
              <w:t>中国水周</w:t>
            </w:r>
            <w:r>
              <w:rPr>
                <w:rFonts w:ascii="Times New Roman" w:hAnsi="Times New Roman"/>
                <w:szCs w:val="21"/>
              </w:rPr>
              <w:t>”</w:t>
            </w:r>
            <w:r>
              <w:rPr>
                <w:rFonts w:hint="eastAsia" w:ascii="Times New Roman" w:hAnsi="Times New Roman"/>
                <w:szCs w:val="21"/>
              </w:rPr>
              <w:t>、</w:t>
            </w:r>
            <w:r>
              <w:rPr>
                <w:rFonts w:ascii="Times New Roman" w:hAnsi="Times New Roman"/>
                <w:szCs w:val="21"/>
              </w:rPr>
              <w:t>“</w:t>
            </w:r>
            <w:r>
              <w:rPr>
                <w:rFonts w:hint="eastAsia" w:ascii="Times New Roman" w:hAnsi="Times New Roman"/>
                <w:szCs w:val="21"/>
              </w:rPr>
              <w:t>节水宣传周</w:t>
            </w:r>
            <w:r>
              <w:rPr>
                <w:rFonts w:ascii="Times New Roman" w:hAnsi="Times New Roman"/>
                <w:szCs w:val="21"/>
              </w:rPr>
              <w:t>”</w:t>
            </w:r>
            <w:r>
              <w:rPr>
                <w:rFonts w:hint="eastAsia" w:ascii="Times New Roman" w:hAnsi="Times New Roman"/>
                <w:szCs w:val="21"/>
              </w:rPr>
              <w:t>等宣传活动</w:t>
            </w:r>
          </w:p>
        </w:tc>
        <w:tc>
          <w:tcPr>
            <w:tcW w:w="612" w:type="pct"/>
            <w:vAlign w:val="center"/>
          </w:tcPr>
          <w:p>
            <w:pPr>
              <w:widowControl/>
              <w:rPr>
                <w:rFonts w:ascii="Times New Roman" w:hAnsi="Times New Roman"/>
                <w:szCs w:val="21"/>
              </w:rPr>
            </w:pPr>
            <w:r>
              <w:rPr>
                <w:rFonts w:hint="eastAsia" w:ascii="Times New Roman" w:hAnsi="Times New Roman"/>
                <w:szCs w:val="21"/>
              </w:rPr>
              <w:t>区水利局、区委宣传部、区教委、区团委等</w:t>
            </w:r>
          </w:p>
        </w:tc>
        <w:tc>
          <w:tcPr>
            <w:tcW w:w="511" w:type="pct"/>
            <w:vAlign w:val="center"/>
          </w:tcPr>
          <w:p>
            <w:pPr>
              <w:widowControl/>
              <w:jc w:val="center"/>
              <w:rPr>
                <w:rFonts w:ascii="Times New Roman" w:hAnsi="Times New Roman"/>
                <w:szCs w:val="21"/>
              </w:rPr>
            </w:pPr>
            <w:r>
              <w:rPr>
                <w:rFonts w:ascii="Times New Roman" w:hAnsi="Times New Roman"/>
                <w:szCs w:val="21"/>
              </w:rPr>
              <w:t>2021-2025</w:t>
            </w:r>
            <w:r>
              <w:rPr>
                <w:rFonts w:hint="eastAsia" w:ascii="Times New Roman" w:hAnsi="Times New Roman"/>
                <w:szCs w:val="21"/>
              </w:rPr>
              <w:t>年</w:t>
            </w:r>
          </w:p>
        </w:tc>
        <w:tc>
          <w:tcPr>
            <w:tcW w:w="408" w:type="pct"/>
            <w:vAlign w:val="center"/>
          </w:tcPr>
          <w:p>
            <w:pPr>
              <w:widowControl/>
              <w:jc w:val="center"/>
              <w:rPr>
                <w:rFonts w:ascii="Times New Roman" w:hAnsi="Times New Roman"/>
                <w:szCs w:val="21"/>
              </w:rPr>
            </w:pPr>
            <w:r>
              <w:rPr>
                <w:rFonts w:ascii="Times New Roman" w:hAnsi="Times New Roman"/>
                <w:szCs w:val="21"/>
              </w:rPr>
              <w:t>50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54" w:type="pct"/>
            <w:vMerge w:val="restart"/>
            <w:vAlign w:val="center"/>
          </w:tcPr>
          <w:p>
            <w:pPr>
              <w:widowControl/>
              <w:jc w:val="center"/>
              <w:rPr>
                <w:rFonts w:ascii="Times New Roman" w:hAnsi="Times New Roman"/>
                <w:b/>
                <w:szCs w:val="21"/>
              </w:rPr>
            </w:pPr>
            <w:r>
              <w:rPr>
                <w:rFonts w:hint="eastAsia" w:ascii="Times New Roman" w:hAnsi="Times New Roman"/>
                <w:b/>
                <w:szCs w:val="21"/>
              </w:rPr>
              <w:t>工业节水</w:t>
            </w:r>
          </w:p>
        </w:tc>
        <w:tc>
          <w:tcPr>
            <w:tcW w:w="255" w:type="pct"/>
            <w:vAlign w:val="center"/>
          </w:tcPr>
          <w:p>
            <w:pPr>
              <w:widowControl/>
              <w:jc w:val="center"/>
              <w:rPr>
                <w:rFonts w:ascii="Times New Roman" w:hAnsi="Times New Roman"/>
                <w:szCs w:val="21"/>
              </w:rPr>
            </w:pPr>
            <w:r>
              <w:rPr>
                <w:rFonts w:ascii="Times New Roman" w:hAnsi="Times New Roman"/>
                <w:szCs w:val="21"/>
              </w:rPr>
              <w:t>9</w:t>
            </w:r>
          </w:p>
        </w:tc>
        <w:tc>
          <w:tcPr>
            <w:tcW w:w="714" w:type="pct"/>
            <w:vAlign w:val="center"/>
          </w:tcPr>
          <w:p>
            <w:pPr>
              <w:widowControl/>
              <w:rPr>
                <w:rFonts w:ascii="Times New Roman" w:hAnsi="Times New Roman"/>
                <w:szCs w:val="21"/>
              </w:rPr>
            </w:pPr>
            <w:r>
              <w:rPr>
                <w:rFonts w:hint="eastAsia" w:ascii="Times New Roman" w:hAnsi="Times New Roman"/>
                <w:szCs w:val="21"/>
              </w:rPr>
              <w:t>工业企业节水平衡测试</w:t>
            </w:r>
          </w:p>
        </w:tc>
        <w:tc>
          <w:tcPr>
            <w:tcW w:w="2246" w:type="pct"/>
            <w:vAlign w:val="center"/>
          </w:tcPr>
          <w:p>
            <w:pPr>
              <w:widowControl/>
              <w:rPr>
                <w:rFonts w:ascii="Times New Roman" w:hAnsi="Times New Roman"/>
                <w:szCs w:val="21"/>
              </w:rPr>
            </w:pPr>
            <w:r>
              <w:rPr>
                <w:rFonts w:hint="eastAsia" w:ascii="Times New Roman" w:hAnsi="Times New Roman"/>
                <w:szCs w:val="21"/>
              </w:rPr>
              <w:t>区内</w:t>
            </w:r>
            <w:r>
              <w:rPr>
                <w:rFonts w:ascii="Times New Roman" w:hAnsi="Times New Roman"/>
                <w:szCs w:val="21"/>
              </w:rPr>
              <w:t>5</w:t>
            </w:r>
            <w:r>
              <w:rPr>
                <w:rFonts w:hint="eastAsia" w:ascii="Times New Roman" w:hAnsi="Times New Roman"/>
                <w:szCs w:val="21"/>
              </w:rPr>
              <w:t>家企业开展节水平衡测试</w:t>
            </w:r>
          </w:p>
        </w:tc>
        <w:tc>
          <w:tcPr>
            <w:tcW w:w="612" w:type="pct"/>
            <w:vAlign w:val="center"/>
          </w:tcPr>
          <w:p>
            <w:pPr>
              <w:widowControl/>
              <w:rPr>
                <w:rFonts w:ascii="Times New Roman" w:hAnsi="Times New Roman"/>
                <w:szCs w:val="21"/>
              </w:rPr>
            </w:pPr>
            <w:r>
              <w:rPr>
                <w:rFonts w:hint="eastAsia" w:ascii="Times New Roman" w:hAnsi="Times New Roman"/>
                <w:szCs w:val="21"/>
              </w:rPr>
              <w:t>区经济信息委</w:t>
            </w:r>
          </w:p>
        </w:tc>
        <w:tc>
          <w:tcPr>
            <w:tcW w:w="511" w:type="pct"/>
            <w:vAlign w:val="center"/>
          </w:tcPr>
          <w:p>
            <w:pPr>
              <w:widowControl/>
              <w:jc w:val="center"/>
              <w:rPr>
                <w:rFonts w:ascii="Times New Roman" w:hAnsi="Times New Roman"/>
                <w:szCs w:val="21"/>
              </w:rPr>
            </w:pPr>
            <w:r>
              <w:rPr>
                <w:rFonts w:ascii="Times New Roman" w:hAnsi="Times New Roman"/>
                <w:szCs w:val="21"/>
              </w:rPr>
              <w:t>2021-2025</w:t>
            </w:r>
            <w:r>
              <w:rPr>
                <w:rFonts w:hint="eastAsia" w:ascii="Times New Roman" w:hAnsi="Times New Roman"/>
                <w:szCs w:val="21"/>
              </w:rPr>
              <w:t>年</w:t>
            </w:r>
          </w:p>
        </w:tc>
        <w:tc>
          <w:tcPr>
            <w:tcW w:w="408" w:type="pct"/>
            <w:vAlign w:val="center"/>
          </w:tcPr>
          <w:p>
            <w:pPr>
              <w:widowControl/>
              <w:jc w:val="center"/>
              <w:rPr>
                <w:rFonts w:ascii="Times New Roman" w:hAnsi="Times New Roman"/>
                <w:szCs w:val="21"/>
              </w:rPr>
            </w:pPr>
            <w:r>
              <w:rPr>
                <w:rFonts w:ascii="Times New Roman" w:hAnsi="Times New Roman"/>
                <w:szCs w:val="21"/>
              </w:rPr>
              <w:t>50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54" w:type="pct"/>
            <w:vMerge w:val="continue"/>
            <w:vAlign w:val="center"/>
          </w:tcPr>
          <w:p>
            <w:pPr>
              <w:widowControl/>
              <w:jc w:val="center"/>
              <w:rPr>
                <w:rFonts w:ascii="Times New Roman" w:hAnsi="Times New Roman"/>
                <w:b/>
                <w:szCs w:val="21"/>
              </w:rPr>
            </w:pPr>
          </w:p>
        </w:tc>
        <w:tc>
          <w:tcPr>
            <w:tcW w:w="255" w:type="pct"/>
            <w:vAlign w:val="center"/>
          </w:tcPr>
          <w:p>
            <w:pPr>
              <w:widowControl/>
              <w:jc w:val="center"/>
              <w:rPr>
                <w:rFonts w:ascii="Times New Roman" w:hAnsi="Times New Roman"/>
                <w:szCs w:val="21"/>
              </w:rPr>
            </w:pPr>
            <w:r>
              <w:rPr>
                <w:rFonts w:ascii="Times New Roman" w:hAnsi="Times New Roman"/>
                <w:szCs w:val="21"/>
              </w:rPr>
              <w:t>10</w:t>
            </w:r>
          </w:p>
        </w:tc>
        <w:tc>
          <w:tcPr>
            <w:tcW w:w="714" w:type="pct"/>
            <w:vAlign w:val="center"/>
          </w:tcPr>
          <w:p>
            <w:pPr>
              <w:widowControl/>
              <w:rPr>
                <w:rFonts w:ascii="Times New Roman" w:hAnsi="Times New Roman"/>
                <w:szCs w:val="21"/>
              </w:rPr>
            </w:pPr>
            <w:r>
              <w:rPr>
                <w:rFonts w:hint="eastAsia" w:ascii="Times New Roman" w:hAnsi="Times New Roman"/>
                <w:szCs w:val="21"/>
              </w:rPr>
              <w:t>节水型企业创建</w:t>
            </w:r>
          </w:p>
        </w:tc>
        <w:tc>
          <w:tcPr>
            <w:tcW w:w="2246" w:type="pct"/>
            <w:vAlign w:val="center"/>
          </w:tcPr>
          <w:p>
            <w:pPr>
              <w:widowControl/>
              <w:rPr>
                <w:rFonts w:ascii="Times New Roman" w:hAnsi="Times New Roman"/>
                <w:szCs w:val="21"/>
              </w:rPr>
            </w:pPr>
            <w:r>
              <w:rPr>
                <w:rFonts w:hint="eastAsia" w:ascii="Times New Roman" w:hAnsi="Times New Roman"/>
                <w:szCs w:val="21"/>
              </w:rPr>
              <w:t>规模以上节水型企业建成率达到</w:t>
            </w:r>
            <w:r>
              <w:rPr>
                <w:rFonts w:ascii="Times New Roman" w:hAnsi="Times New Roman"/>
                <w:szCs w:val="21"/>
              </w:rPr>
              <w:t>100%</w:t>
            </w:r>
            <w:r>
              <w:rPr>
                <w:rFonts w:hint="eastAsia" w:ascii="Times New Roman" w:hAnsi="Times New Roman"/>
                <w:szCs w:val="21"/>
              </w:rPr>
              <w:t>（重点行业年用水量</w:t>
            </w:r>
            <w:r>
              <w:rPr>
                <w:rFonts w:ascii="Times New Roman" w:hAnsi="Times New Roman"/>
                <w:szCs w:val="21"/>
              </w:rPr>
              <w:t>10</w:t>
            </w:r>
            <w:r>
              <w:rPr>
                <w:rFonts w:hint="eastAsia" w:ascii="Times New Roman" w:hAnsi="Times New Roman"/>
                <w:szCs w:val="21"/>
              </w:rPr>
              <w:t>万</w:t>
            </w:r>
            <w:r>
              <w:rPr>
                <w:rFonts w:ascii="Times New Roman" w:hAnsi="Times New Roman"/>
                <w:szCs w:val="21"/>
              </w:rPr>
              <w:t>m</w:t>
            </w:r>
            <w:r>
              <w:rPr>
                <w:rFonts w:ascii="Times New Roman" w:hAnsi="Times New Roman"/>
                <w:szCs w:val="21"/>
                <w:vertAlign w:val="superscript"/>
              </w:rPr>
              <w:t>3</w:t>
            </w:r>
            <w:r>
              <w:rPr>
                <w:rFonts w:hint="eastAsia" w:ascii="Times New Roman" w:hAnsi="Times New Roman"/>
                <w:szCs w:val="21"/>
              </w:rPr>
              <w:t>以上）</w:t>
            </w:r>
          </w:p>
        </w:tc>
        <w:tc>
          <w:tcPr>
            <w:tcW w:w="612" w:type="pct"/>
            <w:vAlign w:val="center"/>
          </w:tcPr>
          <w:p>
            <w:pPr>
              <w:widowControl/>
              <w:rPr>
                <w:rFonts w:ascii="Times New Roman" w:hAnsi="Times New Roman"/>
                <w:szCs w:val="21"/>
              </w:rPr>
            </w:pPr>
            <w:r>
              <w:rPr>
                <w:rFonts w:hint="eastAsia" w:ascii="Times New Roman" w:hAnsi="Times New Roman"/>
                <w:szCs w:val="21"/>
              </w:rPr>
              <w:t>区经济信息委</w:t>
            </w:r>
          </w:p>
        </w:tc>
        <w:tc>
          <w:tcPr>
            <w:tcW w:w="511" w:type="pct"/>
            <w:vAlign w:val="center"/>
          </w:tcPr>
          <w:p>
            <w:pPr>
              <w:widowControl/>
              <w:jc w:val="center"/>
              <w:rPr>
                <w:rFonts w:ascii="Times New Roman" w:hAnsi="Times New Roman"/>
                <w:szCs w:val="21"/>
              </w:rPr>
            </w:pPr>
            <w:r>
              <w:rPr>
                <w:rFonts w:ascii="Times New Roman" w:hAnsi="Times New Roman"/>
                <w:szCs w:val="21"/>
              </w:rPr>
              <w:t>2021-2025</w:t>
            </w:r>
            <w:r>
              <w:rPr>
                <w:rFonts w:hint="eastAsia" w:ascii="Times New Roman" w:hAnsi="Times New Roman"/>
                <w:szCs w:val="21"/>
              </w:rPr>
              <w:t>年</w:t>
            </w:r>
          </w:p>
        </w:tc>
        <w:tc>
          <w:tcPr>
            <w:tcW w:w="408" w:type="pct"/>
            <w:vAlign w:val="center"/>
          </w:tcPr>
          <w:p>
            <w:pPr>
              <w:widowControl/>
              <w:jc w:val="center"/>
              <w:rPr>
                <w:rFonts w:ascii="Times New Roman" w:hAnsi="Times New Roman"/>
                <w:szCs w:val="21"/>
              </w:rPr>
            </w:pPr>
            <w:r>
              <w:rPr>
                <w:rFonts w:ascii="Times New Roman" w:hAnsi="Times New Roman"/>
                <w:szCs w:val="21"/>
              </w:rPr>
              <w:t>50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54" w:type="pct"/>
            <w:vMerge w:val="continue"/>
            <w:vAlign w:val="center"/>
          </w:tcPr>
          <w:p>
            <w:pPr>
              <w:widowControl/>
              <w:jc w:val="center"/>
              <w:rPr>
                <w:rFonts w:ascii="Times New Roman" w:hAnsi="Times New Roman"/>
                <w:b/>
                <w:szCs w:val="21"/>
              </w:rPr>
            </w:pPr>
          </w:p>
        </w:tc>
        <w:tc>
          <w:tcPr>
            <w:tcW w:w="255" w:type="pct"/>
            <w:vAlign w:val="center"/>
          </w:tcPr>
          <w:p>
            <w:pPr>
              <w:widowControl/>
              <w:jc w:val="center"/>
              <w:rPr>
                <w:rFonts w:ascii="Times New Roman" w:hAnsi="Times New Roman"/>
                <w:szCs w:val="21"/>
              </w:rPr>
            </w:pPr>
            <w:r>
              <w:rPr>
                <w:rFonts w:ascii="Times New Roman" w:hAnsi="Times New Roman"/>
                <w:szCs w:val="21"/>
              </w:rPr>
              <w:t>11</w:t>
            </w:r>
          </w:p>
        </w:tc>
        <w:tc>
          <w:tcPr>
            <w:tcW w:w="714" w:type="pct"/>
            <w:vAlign w:val="center"/>
          </w:tcPr>
          <w:p>
            <w:pPr>
              <w:widowControl/>
              <w:rPr>
                <w:rFonts w:ascii="Times New Roman" w:hAnsi="Times New Roman"/>
                <w:szCs w:val="21"/>
              </w:rPr>
            </w:pPr>
            <w:r>
              <w:rPr>
                <w:rFonts w:hint="eastAsia" w:ascii="Times New Roman" w:hAnsi="Times New Roman"/>
                <w:szCs w:val="21"/>
              </w:rPr>
              <w:t>绿色工厂创建</w:t>
            </w:r>
          </w:p>
        </w:tc>
        <w:tc>
          <w:tcPr>
            <w:tcW w:w="2246" w:type="pct"/>
            <w:vAlign w:val="center"/>
          </w:tcPr>
          <w:p>
            <w:pPr>
              <w:widowControl/>
              <w:rPr>
                <w:rFonts w:ascii="Times New Roman" w:hAnsi="Times New Roman"/>
                <w:szCs w:val="21"/>
              </w:rPr>
            </w:pPr>
            <w:r>
              <w:rPr>
                <w:rFonts w:hint="eastAsia" w:ascii="Times New Roman" w:hAnsi="Times New Roman"/>
                <w:szCs w:val="21"/>
              </w:rPr>
              <w:t>新创建绿色工厂</w:t>
            </w:r>
            <w:r>
              <w:rPr>
                <w:rFonts w:ascii="Times New Roman" w:hAnsi="Times New Roman"/>
                <w:szCs w:val="21"/>
              </w:rPr>
              <w:t>5</w:t>
            </w:r>
            <w:r>
              <w:rPr>
                <w:rFonts w:hint="eastAsia" w:ascii="Times New Roman" w:hAnsi="Times New Roman"/>
                <w:szCs w:val="21"/>
              </w:rPr>
              <w:t>家（争取每年创建</w:t>
            </w:r>
            <w:r>
              <w:rPr>
                <w:rFonts w:ascii="Times New Roman" w:hAnsi="Times New Roman"/>
                <w:szCs w:val="21"/>
              </w:rPr>
              <w:t>1</w:t>
            </w:r>
            <w:r>
              <w:rPr>
                <w:rFonts w:hint="eastAsia" w:ascii="Times New Roman" w:hAnsi="Times New Roman"/>
                <w:szCs w:val="21"/>
              </w:rPr>
              <w:t>家绿色工厂，创建成功</w:t>
            </w:r>
            <w:r>
              <w:rPr>
                <w:rFonts w:ascii="Times New Roman" w:hAnsi="Times New Roman"/>
                <w:szCs w:val="21"/>
              </w:rPr>
              <w:t>1</w:t>
            </w:r>
            <w:r>
              <w:rPr>
                <w:rFonts w:hint="eastAsia" w:ascii="Times New Roman" w:hAnsi="Times New Roman"/>
                <w:szCs w:val="21"/>
              </w:rPr>
              <w:t>家奖励</w:t>
            </w:r>
            <w:r>
              <w:rPr>
                <w:rFonts w:ascii="Times New Roman" w:hAnsi="Times New Roman"/>
                <w:szCs w:val="21"/>
              </w:rPr>
              <w:t>20</w:t>
            </w:r>
            <w:r>
              <w:rPr>
                <w:rFonts w:hint="eastAsia" w:ascii="Times New Roman" w:hAnsi="Times New Roman"/>
                <w:szCs w:val="21"/>
              </w:rPr>
              <w:t>万元）</w:t>
            </w:r>
          </w:p>
        </w:tc>
        <w:tc>
          <w:tcPr>
            <w:tcW w:w="612" w:type="pct"/>
            <w:vAlign w:val="center"/>
          </w:tcPr>
          <w:p>
            <w:pPr>
              <w:widowControl/>
              <w:rPr>
                <w:rFonts w:ascii="Times New Roman" w:hAnsi="Times New Roman"/>
                <w:szCs w:val="21"/>
              </w:rPr>
            </w:pPr>
            <w:r>
              <w:rPr>
                <w:rFonts w:hint="eastAsia" w:ascii="Times New Roman" w:hAnsi="Times New Roman"/>
                <w:szCs w:val="21"/>
              </w:rPr>
              <w:t>区经济信息委</w:t>
            </w:r>
          </w:p>
        </w:tc>
        <w:tc>
          <w:tcPr>
            <w:tcW w:w="511" w:type="pct"/>
            <w:vAlign w:val="center"/>
          </w:tcPr>
          <w:p>
            <w:pPr>
              <w:widowControl/>
              <w:rPr>
                <w:rFonts w:ascii="Times New Roman" w:hAnsi="Times New Roman"/>
                <w:szCs w:val="21"/>
              </w:rPr>
            </w:pPr>
            <w:r>
              <w:rPr>
                <w:rFonts w:ascii="Times New Roman" w:hAnsi="Times New Roman"/>
                <w:szCs w:val="21"/>
              </w:rPr>
              <w:t>2021-2025</w:t>
            </w:r>
            <w:r>
              <w:rPr>
                <w:rFonts w:hint="eastAsia" w:ascii="Times New Roman" w:hAnsi="Times New Roman"/>
                <w:szCs w:val="21"/>
              </w:rPr>
              <w:t>年</w:t>
            </w:r>
          </w:p>
        </w:tc>
        <w:tc>
          <w:tcPr>
            <w:tcW w:w="408" w:type="pct"/>
            <w:vAlign w:val="center"/>
          </w:tcPr>
          <w:p>
            <w:pPr>
              <w:widowControl/>
              <w:jc w:val="center"/>
              <w:rPr>
                <w:rFonts w:ascii="Times New Roman" w:hAnsi="Times New Roman"/>
                <w:szCs w:val="21"/>
              </w:rPr>
            </w:pPr>
            <w:r>
              <w:rPr>
                <w:rFonts w:ascii="Times New Roman" w:hAnsi="Times New Roman"/>
                <w:szCs w:val="21"/>
              </w:rPr>
              <w:t>100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54" w:type="pct"/>
            <w:vAlign w:val="center"/>
          </w:tcPr>
          <w:p>
            <w:pPr>
              <w:widowControl/>
              <w:jc w:val="center"/>
              <w:rPr>
                <w:rFonts w:ascii="Times New Roman" w:hAnsi="Times New Roman"/>
                <w:b/>
                <w:szCs w:val="21"/>
              </w:rPr>
            </w:pPr>
            <w:r>
              <w:rPr>
                <w:rFonts w:hint="eastAsia" w:ascii="Times New Roman" w:hAnsi="Times New Roman"/>
                <w:b/>
                <w:szCs w:val="21"/>
              </w:rPr>
              <w:t>海绵城市</w:t>
            </w:r>
          </w:p>
        </w:tc>
        <w:tc>
          <w:tcPr>
            <w:tcW w:w="255" w:type="pct"/>
            <w:vAlign w:val="center"/>
          </w:tcPr>
          <w:p>
            <w:pPr>
              <w:widowControl/>
              <w:jc w:val="center"/>
              <w:rPr>
                <w:rFonts w:ascii="Times New Roman" w:hAnsi="Times New Roman"/>
                <w:szCs w:val="21"/>
              </w:rPr>
            </w:pPr>
            <w:r>
              <w:rPr>
                <w:rFonts w:ascii="Times New Roman" w:hAnsi="Times New Roman"/>
                <w:szCs w:val="21"/>
              </w:rPr>
              <w:t>12</w:t>
            </w:r>
          </w:p>
        </w:tc>
        <w:tc>
          <w:tcPr>
            <w:tcW w:w="714" w:type="pct"/>
            <w:vAlign w:val="center"/>
          </w:tcPr>
          <w:p>
            <w:pPr>
              <w:widowControl/>
              <w:rPr>
                <w:rFonts w:ascii="Times New Roman" w:hAnsi="Times New Roman"/>
                <w:szCs w:val="21"/>
              </w:rPr>
            </w:pPr>
            <w:r>
              <w:rPr>
                <w:rFonts w:hint="eastAsia" w:ascii="Times New Roman" w:hAnsi="Times New Roman"/>
                <w:szCs w:val="21"/>
              </w:rPr>
              <w:t>海绵城市建设</w:t>
            </w:r>
          </w:p>
        </w:tc>
        <w:tc>
          <w:tcPr>
            <w:tcW w:w="2246" w:type="pct"/>
            <w:vAlign w:val="center"/>
          </w:tcPr>
          <w:p>
            <w:pPr>
              <w:widowControl/>
              <w:rPr>
                <w:rFonts w:ascii="Times New Roman" w:hAnsi="Times New Roman"/>
                <w:szCs w:val="21"/>
              </w:rPr>
            </w:pPr>
            <w:r>
              <w:rPr>
                <w:rFonts w:hint="eastAsia" w:ascii="Times New Roman" w:hAnsi="Times New Roman"/>
                <w:szCs w:val="21"/>
              </w:rPr>
              <w:t>“渝北城区环境综合整治</w:t>
            </w:r>
            <w:r>
              <w:rPr>
                <w:rFonts w:ascii="Times New Roman" w:hAnsi="Times New Roman"/>
                <w:szCs w:val="21"/>
              </w:rPr>
              <w:t>PPP</w:t>
            </w:r>
            <w:r>
              <w:rPr>
                <w:rFonts w:hint="eastAsia" w:ascii="Times New Roman" w:hAnsi="Times New Roman"/>
                <w:szCs w:val="21"/>
              </w:rPr>
              <w:t>项目”；创新经济走廊片区双溪河</w:t>
            </w:r>
            <w:r>
              <w:rPr>
                <w:rFonts w:ascii="Times New Roman" w:hAnsi="Times New Roman"/>
                <w:szCs w:val="21"/>
              </w:rPr>
              <w:t>8</w:t>
            </w:r>
            <w:r>
              <w:rPr>
                <w:rFonts w:hint="eastAsia" w:ascii="Times New Roman" w:hAnsi="Times New Roman"/>
                <w:szCs w:val="21"/>
              </w:rPr>
              <w:t>排水分区、空港新城片区双桥溪排水</w:t>
            </w:r>
            <w:r>
              <w:rPr>
                <w:rFonts w:ascii="Times New Roman" w:hAnsi="Times New Roman"/>
                <w:szCs w:val="21"/>
              </w:rPr>
              <w:t>15</w:t>
            </w:r>
            <w:r>
              <w:rPr>
                <w:rFonts w:hint="eastAsia" w:ascii="Times New Roman" w:hAnsi="Times New Roman"/>
                <w:szCs w:val="21"/>
              </w:rPr>
              <w:t>分区、仙桃数据谷双桥溪</w:t>
            </w:r>
            <w:r>
              <w:rPr>
                <w:rFonts w:ascii="Times New Roman" w:hAnsi="Times New Roman"/>
                <w:szCs w:val="21"/>
              </w:rPr>
              <w:t>1</w:t>
            </w:r>
            <w:r>
              <w:rPr>
                <w:rFonts w:hint="eastAsia" w:ascii="Times New Roman" w:hAnsi="Times New Roman"/>
                <w:szCs w:val="21"/>
              </w:rPr>
              <w:t>、</w:t>
            </w:r>
            <w:r>
              <w:rPr>
                <w:rFonts w:ascii="Times New Roman" w:hAnsi="Times New Roman"/>
                <w:szCs w:val="21"/>
              </w:rPr>
              <w:t>2</w:t>
            </w:r>
            <w:r>
              <w:rPr>
                <w:rFonts w:hint="eastAsia" w:ascii="Times New Roman" w:hAnsi="Times New Roman"/>
                <w:szCs w:val="21"/>
              </w:rPr>
              <w:t>排水分区海绵城市达标建设；基于“空港新城城市基础设施及公共服务</w:t>
            </w:r>
            <w:r>
              <w:rPr>
                <w:rFonts w:ascii="Times New Roman" w:hAnsi="Times New Roman"/>
                <w:szCs w:val="21"/>
              </w:rPr>
              <w:t>PPP</w:t>
            </w:r>
            <w:r>
              <w:rPr>
                <w:rFonts w:hint="eastAsia" w:ascii="Times New Roman" w:hAnsi="Times New Roman"/>
                <w:szCs w:val="21"/>
              </w:rPr>
              <w:t>项目”将开展</w:t>
            </w:r>
            <w:r>
              <w:rPr>
                <w:rFonts w:ascii="Times New Roman" w:hAnsi="Times New Roman"/>
                <w:szCs w:val="21"/>
              </w:rPr>
              <w:t>6</w:t>
            </w:r>
            <w:r>
              <w:rPr>
                <w:rFonts w:hint="eastAsia" w:ascii="Times New Roman" w:hAnsi="Times New Roman"/>
                <w:szCs w:val="21"/>
              </w:rPr>
              <w:t>处公园及</w:t>
            </w:r>
            <w:r>
              <w:rPr>
                <w:rFonts w:ascii="Times New Roman" w:hAnsi="Times New Roman"/>
                <w:szCs w:val="21"/>
              </w:rPr>
              <w:t>12</w:t>
            </w:r>
            <w:r>
              <w:rPr>
                <w:rFonts w:hint="eastAsia" w:ascii="Times New Roman" w:hAnsi="Times New Roman"/>
                <w:szCs w:val="21"/>
              </w:rPr>
              <w:t>条道路的海绵城市建设</w:t>
            </w:r>
          </w:p>
        </w:tc>
        <w:tc>
          <w:tcPr>
            <w:tcW w:w="612" w:type="pct"/>
            <w:vAlign w:val="center"/>
          </w:tcPr>
          <w:p>
            <w:pPr>
              <w:widowControl/>
              <w:rPr>
                <w:rFonts w:ascii="Times New Roman" w:hAnsi="Times New Roman"/>
                <w:szCs w:val="21"/>
              </w:rPr>
            </w:pPr>
            <w:r>
              <w:rPr>
                <w:rFonts w:hint="eastAsia" w:ascii="Times New Roman" w:hAnsi="Times New Roman"/>
                <w:szCs w:val="21"/>
              </w:rPr>
              <w:t>区住房城乡建委</w:t>
            </w:r>
          </w:p>
        </w:tc>
        <w:tc>
          <w:tcPr>
            <w:tcW w:w="511" w:type="pct"/>
            <w:vAlign w:val="center"/>
          </w:tcPr>
          <w:p>
            <w:pPr>
              <w:widowControl/>
              <w:rPr>
                <w:rFonts w:ascii="Times New Roman" w:hAnsi="Times New Roman"/>
                <w:szCs w:val="21"/>
              </w:rPr>
            </w:pPr>
            <w:r>
              <w:rPr>
                <w:rFonts w:ascii="Times New Roman" w:hAnsi="Times New Roman"/>
                <w:szCs w:val="21"/>
              </w:rPr>
              <w:t>2021-2025</w:t>
            </w:r>
            <w:r>
              <w:rPr>
                <w:rFonts w:hint="eastAsia" w:ascii="Times New Roman" w:hAnsi="Times New Roman"/>
                <w:szCs w:val="21"/>
              </w:rPr>
              <w:t>年</w:t>
            </w:r>
          </w:p>
        </w:tc>
        <w:tc>
          <w:tcPr>
            <w:tcW w:w="408" w:type="pct"/>
            <w:vAlign w:val="center"/>
          </w:tcPr>
          <w:p>
            <w:pPr>
              <w:widowControl/>
              <w:jc w:val="center"/>
              <w:rPr>
                <w:rFonts w:ascii="Times New Roman" w:hAnsi="Times New Roman"/>
                <w:szCs w:val="21"/>
              </w:rPr>
            </w:pPr>
            <w:r>
              <w:rPr>
                <w:rFonts w:ascii="Times New Roman" w:hAnsi="Times New Roman"/>
                <w:szCs w:val="21"/>
              </w:rPr>
              <w:t>29000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54" w:type="pct"/>
            <w:vMerge w:val="restart"/>
            <w:vAlign w:val="center"/>
          </w:tcPr>
          <w:p>
            <w:pPr>
              <w:widowControl/>
              <w:jc w:val="center"/>
              <w:rPr>
                <w:rFonts w:ascii="Times New Roman" w:hAnsi="Times New Roman"/>
                <w:b/>
                <w:szCs w:val="21"/>
              </w:rPr>
            </w:pPr>
            <w:r>
              <w:rPr>
                <w:rFonts w:hint="eastAsia" w:ascii="Times New Roman" w:hAnsi="Times New Roman"/>
                <w:b/>
                <w:szCs w:val="21"/>
              </w:rPr>
              <w:t>能力建设</w:t>
            </w:r>
          </w:p>
        </w:tc>
        <w:tc>
          <w:tcPr>
            <w:tcW w:w="255" w:type="pct"/>
            <w:vAlign w:val="center"/>
          </w:tcPr>
          <w:p>
            <w:pPr>
              <w:widowControl/>
              <w:jc w:val="center"/>
              <w:rPr>
                <w:rFonts w:ascii="Times New Roman" w:hAnsi="Times New Roman"/>
                <w:szCs w:val="21"/>
              </w:rPr>
            </w:pPr>
            <w:r>
              <w:rPr>
                <w:rFonts w:ascii="Times New Roman" w:hAnsi="Times New Roman"/>
                <w:szCs w:val="21"/>
              </w:rPr>
              <w:t>10</w:t>
            </w:r>
          </w:p>
        </w:tc>
        <w:tc>
          <w:tcPr>
            <w:tcW w:w="714" w:type="pct"/>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131"/>
              <w:jc w:val="center"/>
              <w:rPr>
                <w:rFonts w:ascii="Arial Unicode MS" w:hAnsi="Arial Unicode MS" w:eastAsia="Times New Roman" w:cs="Arial Unicode MS"/>
                <w:sz w:val="32"/>
              </w:rPr>
            </w:pPr>
            <w:r>
              <w:rPr>
                <w:rFonts w:hint="eastAsia" w:ascii="宋体" w:hAnsi="宋体" w:cs="宋体"/>
              </w:rPr>
              <w:t>国家水资源管理系统运行维护</w:t>
            </w:r>
          </w:p>
        </w:tc>
        <w:tc>
          <w:tcPr>
            <w:tcW w:w="2246" w:type="pct"/>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131"/>
              <w:jc w:val="center"/>
              <w:rPr>
                <w:rFonts w:ascii="Arial Unicode MS" w:hAnsi="Arial Unicode MS" w:eastAsia="Times New Roman" w:cs="Arial Unicode MS"/>
                <w:sz w:val="32"/>
              </w:rPr>
            </w:pPr>
            <w:r>
              <w:rPr>
                <w:rFonts w:hint="eastAsia" w:ascii="宋体" w:hAnsi="宋体" w:cs="宋体"/>
              </w:rPr>
              <w:t>每年对区内取用水在线监测站点的水资源管理信息系统急性维护</w:t>
            </w:r>
          </w:p>
        </w:tc>
        <w:tc>
          <w:tcPr>
            <w:tcW w:w="612" w:type="pct"/>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131"/>
              <w:jc w:val="center"/>
              <w:rPr>
                <w:rFonts w:ascii="Arial Unicode MS" w:hAnsi="Arial Unicode MS" w:eastAsia="Times New Roman" w:cs="Arial Unicode MS"/>
                <w:sz w:val="32"/>
              </w:rPr>
            </w:pPr>
            <w:r>
              <w:rPr>
                <w:rFonts w:hint="eastAsia" w:ascii="宋体" w:hAnsi="宋体" w:cs="宋体"/>
              </w:rPr>
              <w:t>区水利局</w:t>
            </w:r>
          </w:p>
        </w:tc>
        <w:tc>
          <w:tcPr>
            <w:tcW w:w="511" w:type="pct"/>
            <w:vAlign w:val="center"/>
          </w:tcPr>
          <w:p>
            <w:pPr>
              <w:rPr>
                <w:rFonts w:ascii="Times New Roman" w:hAnsi="Times New Roman"/>
                <w:szCs w:val="21"/>
              </w:rPr>
            </w:pPr>
            <w:r>
              <w:rPr>
                <w:rFonts w:ascii="宋体" w:hAnsi="宋体" w:cs="宋体"/>
              </w:rPr>
              <w:t>2021</w:t>
            </w:r>
            <w:r>
              <w:rPr>
                <w:rFonts w:hint="eastAsia" w:ascii="宋体" w:hAnsi="宋体" w:cs="宋体"/>
              </w:rPr>
              <w:t>年</w:t>
            </w:r>
            <w:r>
              <w:rPr>
                <w:rFonts w:ascii="宋体" w:cs="宋体"/>
              </w:rPr>
              <w:t>-</w:t>
            </w:r>
            <w:r>
              <w:rPr>
                <w:rFonts w:ascii="宋体" w:hAnsi="宋体" w:cs="宋体"/>
              </w:rPr>
              <w:t>2025</w:t>
            </w:r>
            <w:r>
              <w:rPr>
                <w:rFonts w:hint="eastAsia" w:ascii="宋体" w:hAnsi="宋体" w:cs="宋体"/>
              </w:rPr>
              <w:t>年</w:t>
            </w:r>
          </w:p>
        </w:tc>
        <w:tc>
          <w:tcPr>
            <w:tcW w:w="408" w:type="pct"/>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178"/>
              <w:jc w:val="center"/>
              <w:rPr>
                <w:rFonts w:ascii="Arial Unicode MS" w:hAnsi="Arial Unicode MS" w:eastAsia="Times New Roman" w:cs="Arial Unicode MS"/>
                <w:sz w:val="32"/>
              </w:rPr>
            </w:pPr>
            <w:r>
              <w:rPr>
                <w:rFonts w:ascii="Times New Roman" w:hAnsi="Times New Roman"/>
              </w:rPr>
              <w:t>50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54" w:type="pct"/>
            <w:vMerge w:val="continue"/>
            <w:vAlign w:val="center"/>
          </w:tcPr>
          <w:p>
            <w:pPr>
              <w:widowControl/>
              <w:jc w:val="center"/>
              <w:rPr>
                <w:rFonts w:ascii="Times New Roman" w:hAnsi="Times New Roman"/>
                <w:b/>
                <w:szCs w:val="21"/>
              </w:rPr>
            </w:pPr>
          </w:p>
        </w:tc>
        <w:tc>
          <w:tcPr>
            <w:tcW w:w="255" w:type="pct"/>
            <w:vAlign w:val="center"/>
          </w:tcPr>
          <w:p>
            <w:pPr>
              <w:widowControl/>
              <w:jc w:val="center"/>
              <w:rPr>
                <w:rFonts w:ascii="Times New Roman" w:hAnsi="Times New Roman"/>
                <w:szCs w:val="21"/>
              </w:rPr>
            </w:pPr>
            <w:r>
              <w:rPr>
                <w:rFonts w:ascii="Times New Roman" w:hAnsi="Times New Roman"/>
                <w:szCs w:val="21"/>
              </w:rPr>
              <w:t>11</w:t>
            </w:r>
          </w:p>
        </w:tc>
        <w:tc>
          <w:tcPr>
            <w:tcW w:w="714" w:type="pct"/>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182"/>
              <w:jc w:val="center"/>
              <w:rPr>
                <w:rFonts w:ascii="Arial Unicode MS" w:hAnsi="Arial Unicode MS" w:eastAsia="Times New Roman" w:cs="Arial Unicode MS"/>
                <w:sz w:val="32"/>
              </w:rPr>
            </w:pPr>
            <w:r>
              <w:rPr>
                <w:rFonts w:hint="eastAsia" w:ascii="宋体" w:hAnsi="宋体" w:cs="宋体"/>
              </w:rPr>
              <w:t>水质监测实验室提档升级</w:t>
            </w:r>
          </w:p>
        </w:tc>
        <w:tc>
          <w:tcPr>
            <w:tcW w:w="2246" w:type="pct"/>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177"/>
              <w:jc w:val="center"/>
              <w:rPr>
                <w:rFonts w:ascii="Arial Unicode MS" w:hAnsi="Arial Unicode MS" w:eastAsia="Times New Roman" w:cs="Arial Unicode MS"/>
                <w:sz w:val="32"/>
              </w:rPr>
            </w:pPr>
            <w:r>
              <w:rPr>
                <w:rFonts w:hint="eastAsia" w:ascii="宋体" w:hAnsi="宋体" w:cs="宋体"/>
              </w:rPr>
              <w:t>仪器设备升级、更换。</w:t>
            </w:r>
          </w:p>
        </w:tc>
        <w:tc>
          <w:tcPr>
            <w:tcW w:w="612" w:type="pct"/>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177"/>
              <w:jc w:val="center"/>
              <w:rPr>
                <w:rFonts w:ascii="Arial Unicode MS" w:hAnsi="Arial Unicode MS" w:eastAsia="Times New Roman" w:cs="Arial Unicode MS"/>
                <w:sz w:val="32"/>
              </w:rPr>
            </w:pPr>
            <w:r>
              <w:rPr>
                <w:rFonts w:hint="eastAsia" w:ascii="宋体" w:hAnsi="宋体" w:cs="宋体"/>
              </w:rPr>
              <w:t>区水利局</w:t>
            </w:r>
          </w:p>
        </w:tc>
        <w:tc>
          <w:tcPr>
            <w:tcW w:w="511" w:type="pct"/>
            <w:vAlign w:val="center"/>
          </w:tcPr>
          <w:p>
            <w:pPr>
              <w:rPr>
                <w:rFonts w:ascii="Times New Roman" w:hAnsi="Times New Roman"/>
                <w:szCs w:val="21"/>
              </w:rPr>
            </w:pPr>
            <w:r>
              <w:rPr>
                <w:rFonts w:ascii="Times New Roman" w:hAnsi="Times New Roman" w:eastAsia="Times New Roman"/>
              </w:rPr>
              <w:t>2022</w:t>
            </w:r>
            <w:r>
              <w:rPr>
                <w:rFonts w:hint="eastAsia" w:ascii="宋体" w:hAnsi="宋体" w:cs="宋体"/>
              </w:rPr>
              <w:t>年</w:t>
            </w:r>
          </w:p>
        </w:tc>
        <w:tc>
          <w:tcPr>
            <w:tcW w:w="408" w:type="pct"/>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178"/>
              <w:jc w:val="center"/>
              <w:rPr>
                <w:rFonts w:ascii="Arial Unicode MS" w:hAnsi="Arial Unicode MS" w:eastAsia="Times New Roman" w:cs="Arial Unicode MS"/>
                <w:sz w:val="32"/>
              </w:rPr>
            </w:pPr>
            <w:r>
              <w:rPr>
                <w:rFonts w:ascii="Times New Roman" w:hAnsi="Times New Roman"/>
              </w:rPr>
              <w:t>550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4592" w:type="pct"/>
            <w:gridSpan w:val="6"/>
            <w:vAlign w:val="center"/>
          </w:tcPr>
          <w:p>
            <w:pPr>
              <w:jc w:val="center"/>
              <w:rPr>
                <w:rFonts w:ascii="Times New Roman" w:hAnsi="Times New Roman"/>
                <w:color w:val="5B9BD5"/>
                <w:szCs w:val="21"/>
              </w:rPr>
            </w:pPr>
            <w:r>
              <w:rPr>
                <w:rFonts w:hint="eastAsia" w:ascii="Times New Roman" w:hAnsi="Times New Roman"/>
                <w:szCs w:val="21"/>
              </w:rPr>
              <w:t>合计</w:t>
            </w:r>
          </w:p>
        </w:tc>
        <w:tc>
          <w:tcPr>
            <w:tcW w:w="408" w:type="pct"/>
            <w:vAlign w:val="center"/>
          </w:tcPr>
          <w:p>
            <w:pPr>
              <w:widowControl/>
              <w:jc w:val="center"/>
              <w:rPr>
                <w:rFonts w:ascii="Times New Roman" w:hAnsi="Times New Roman"/>
                <w:color w:val="5B9BD5"/>
                <w:szCs w:val="21"/>
              </w:rPr>
            </w:pPr>
            <w:r>
              <w:rPr>
                <w:rFonts w:ascii="Times New Roman" w:hAnsi="Times New Roman"/>
                <w:szCs w:val="21"/>
              </w:rPr>
              <w:t>80911</w:t>
            </w:r>
          </w:p>
        </w:tc>
      </w:tr>
    </w:tbl>
    <w:p>
      <w:pPr>
        <w:widowControl/>
        <w:jc w:val="left"/>
        <w:rPr>
          <w:rFonts w:ascii="Times New Roman" w:hAnsi="Times New Roman"/>
          <w:sz w:val="24"/>
          <w:szCs w:val="24"/>
        </w:rPr>
        <w:sectPr>
          <w:pgSz w:w="16838" w:h="11906" w:orient="landscape"/>
          <w:pgMar w:top="1440" w:right="1080" w:bottom="1440" w:left="1080" w:header="851" w:footer="992" w:gutter="0"/>
          <w:cols w:space="425" w:num="1"/>
          <w:docGrid w:type="lines" w:linePitch="312" w:charSpace="0"/>
        </w:sectPr>
      </w:pPr>
      <w:r>
        <w:rPr>
          <w:rFonts w:hint="eastAsia" w:ascii="Times New Roman" w:hAnsi="Times New Roman"/>
          <w:sz w:val="24"/>
          <w:szCs w:val="24"/>
        </w:rPr>
        <w:t>注：</w:t>
      </w:r>
      <w:r>
        <w:rPr>
          <w:rFonts w:hint="eastAsia" w:ascii="宋体" w:hAnsi="宋体" w:cs="宋体"/>
          <w:sz w:val="24"/>
          <w:szCs w:val="24"/>
        </w:rPr>
        <w:t>①</w:t>
      </w:r>
      <w:r>
        <w:rPr>
          <w:rFonts w:hint="eastAsia" w:ascii="Times New Roman" w:hAnsi="Times New Roman"/>
          <w:sz w:val="24"/>
          <w:szCs w:val="24"/>
        </w:rPr>
        <w:t>农村人居环境整治提升工程包含厕改、管网建设、公路建设、旧房整治等多项建设内容，暂未明确各分项工程投资金额，故此项投资未纳入农业节水投资统计</w:t>
      </w:r>
    </w:p>
    <w:p>
      <w:pPr>
        <w:keepNext/>
        <w:keepLines/>
        <w:widowControl/>
        <w:spacing w:after="4" w:line="266" w:lineRule="auto"/>
        <w:ind w:left="-10" w:hanging="5"/>
        <w:jc w:val="left"/>
        <w:outlineLvl w:val="0"/>
        <w:rPr>
          <w:rFonts w:ascii="Times New Roman" w:hAnsi="Times New Roman" w:eastAsia="Times New Roman"/>
          <w:sz w:val="32"/>
        </w:rPr>
      </w:pPr>
      <w:bookmarkStart w:id="142" w:name="_Toc90482833"/>
      <w:r>
        <w:rPr>
          <w:rFonts w:hint="eastAsia" w:ascii="微软雅黑" w:hAnsi="微软雅黑" w:eastAsia="微软雅黑" w:cs="微软雅黑"/>
          <w:sz w:val="32"/>
        </w:rPr>
        <w:t>附图</w:t>
      </w:r>
      <w:bookmarkEnd w:id="142"/>
    </w:p>
    <w:p>
      <w:pPr>
        <w:keepNext/>
        <w:keepLines/>
        <w:widowControl/>
        <w:spacing w:line="259" w:lineRule="auto"/>
        <w:ind w:left="10" w:right="9" w:hanging="10"/>
        <w:jc w:val="center"/>
        <w:outlineLvl w:val="2"/>
        <w:rPr>
          <w:rFonts w:ascii="微软雅黑" w:hAnsi="微软雅黑" w:eastAsia="微软雅黑" w:cs="微软雅黑"/>
          <w:sz w:val="32"/>
        </w:rPr>
      </w:pPr>
      <w:bookmarkStart w:id="143" w:name="_Toc90482834"/>
      <w:r>
        <w:rPr>
          <w:rFonts w:hint="eastAsia" w:ascii="微软雅黑" w:hAnsi="微软雅黑" w:eastAsia="微软雅黑" w:cs="微软雅黑"/>
          <w:sz w:val="32"/>
        </w:rPr>
        <w:t>附图</w:t>
      </w:r>
      <w:r>
        <w:rPr>
          <w:rFonts w:ascii="微软雅黑" w:hAnsi="微软雅黑" w:eastAsia="微软雅黑" w:cs="微软雅黑"/>
          <w:sz w:val="32"/>
        </w:rPr>
        <w:t>1</w:t>
      </w:r>
      <w:r>
        <w:rPr>
          <w:rFonts w:hint="eastAsia" w:ascii="微软雅黑" w:hAnsi="微软雅黑" w:eastAsia="微软雅黑" w:cs="微软雅黑"/>
          <w:sz w:val="32"/>
        </w:rPr>
        <w:t>渝北区“十四五”节水工程分布图</w:t>
      </w:r>
      <w:bookmarkEnd w:id="143"/>
    </w:p>
    <w:p>
      <w:pPr>
        <w:sectPr>
          <w:pgSz w:w="11906" w:h="16838"/>
          <w:pgMar w:top="1080" w:right="1440" w:bottom="1080" w:left="1440" w:header="851" w:footer="992" w:gutter="0"/>
          <w:cols w:space="425" w:num="1"/>
          <w:docGrid w:type="lines" w:linePitch="312" w:charSpace="0"/>
        </w:sectPr>
      </w:pPr>
    </w:p>
    <w:p>
      <w:r>
        <w:pict>
          <v:shape id="_x0000_i1028" o:spt="75" type="#_x0000_t75" style="height:624.6pt;width:462.6pt;" filled="f" o:preferrelative="t" stroked="f" coordsize="21600,21600">
            <v:path/>
            <v:fill on="f" focussize="0,0"/>
            <v:stroke on="f" joinstyle="miter"/>
            <v:imagedata r:id="rId9" o:title=""/>
            <o:lock v:ext="edit" aspectratio="t"/>
            <w10:wrap type="none"/>
            <w10:anchorlock/>
          </v:shape>
        </w:pict>
      </w:r>
    </w:p>
    <w:sectPr>
      <w:type w:val="continuous"/>
      <w:pgSz w:w="11906" w:h="16838"/>
      <w:pgMar w:top="1080" w:right="1440" w:bottom="1080" w:left="144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Arial Unicode MS">
    <w:altName w:val="Arial"/>
    <w:panose1 w:val="020B0604020202020204"/>
    <w:charset w:val="00"/>
    <w:family w:val="roman"/>
    <w:pitch w:val="default"/>
    <w:sig w:usb0="00000000" w:usb1="00000000" w:usb2="00000000" w:usb3="00000000" w:csb0="00000001" w:csb1="00000000"/>
  </w:font>
  <w:font w:name="仿宋">
    <w:panose1 w:val="02010609060101010101"/>
    <w:charset w:val="86"/>
    <w:family w:val="modern"/>
    <w:pitch w:val="default"/>
    <w:sig w:usb0="800002BF" w:usb1="38CF7CFA" w:usb2="00000016" w:usb3="00000000" w:csb0="00040001" w:csb1="00000000"/>
  </w:font>
  <w:font w:name="华文行楷">
    <w:altName w:val="微软雅黑"/>
    <w:panose1 w:val="02010800040101010101"/>
    <w:charset w:val="86"/>
    <w:family w:val="auto"/>
    <w:pitch w:val="default"/>
    <w:sig w:usb0="00000000" w:usb1="00000000" w:usb2="00000000" w:usb3="00000000" w:csb0="00040000" w:csb1="00000000"/>
  </w:font>
  <w:font w:name="微软雅黑">
    <w:panose1 w:val="020B0503020204020204"/>
    <w:charset w:val="86"/>
    <w:family w:val="swiss"/>
    <w:pitch w:val="default"/>
    <w:sig w:usb0="80000287" w:usb1="2ACF3C50" w:usb2="00000016" w:usb3="00000000" w:csb0="0004001F" w:csb1="00000000"/>
  </w:font>
  <w:font w:name="Romantic">
    <w:altName w:val="Segoe Print"/>
    <w:panose1 w:val="00000000000000000000"/>
    <w:charset w:val="02"/>
    <w:family w:val="auto"/>
    <w:pitch w:val="default"/>
    <w:sig w:usb0="00000000" w:usb1="00000000" w:usb2="00000000" w:usb3="00000000" w:csb0="00000000" w:csb1="00000000"/>
  </w:font>
  <w:font w:name="Malgun Gothic Semilight">
    <w:panose1 w:val="020B0502040204020203"/>
    <w:charset w:val="86"/>
    <w:family w:val="swiss"/>
    <w:pitch w:val="default"/>
    <w:sig w:usb0="900002AF" w:usb1="01D77CFB" w:usb2="00000012" w:usb3="00000000" w:csb0="203E01BD" w:csb1="D7FF0000"/>
  </w:font>
  <w:font w:name="Segoe Print">
    <w:panose1 w:val="02000600000000000000"/>
    <w:charset w:val="00"/>
    <w:family w:val="auto"/>
    <w:pitch w:val="default"/>
    <w:sig w:usb0="0000028F" w:usb1="00000000" w:usb2="00000000" w:usb3="00000000" w:csb0="2000009F" w:csb1="4701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2"/>
      <w:jc w:val="center"/>
    </w:pPr>
    <w:r>
      <w:fldChar w:fldCharType="begin"/>
    </w:r>
    <w:r>
      <w:instrText xml:space="preserve">PAGE   \* MERGEFORMAT</w:instrText>
    </w:r>
    <w:r>
      <w:fldChar w:fldCharType="separate"/>
    </w:r>
    <w:r>
      <w:rPr>
        <w:lang w:val="zh-CN"/>
      </w:rPr>
      <w:t>2</w:t>
    </w:r>
    <w:r>
      <w:rPr>
        <w:lang w:val="zh-CN"/>
      </w:rPr>
      <w:fldChar w:fldCharType="end"/>
    </w:r>
  </w:p>
  <w:p>
    <w:pPr>
      <w:pStyle w:val="12"/>
    </w:pPr>
  </w:p>
</w:ft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51D5192"/>
    <w:multiLevelType w:val="multilevel"/>
    <w:tmpl w:val="051D5192"/>
    <w:lvl w:ilvl="0" w:tentative="0">
      <w:start w:val="1"/>
      <w:numFmt w:val="decimal"/>
      <w:lvlText w:val="（%1）"/>
      <w:lvlJc w:val="left"/>
      <w:pPr>
        <w:ind w:left="1172" w:hanging="750"/>
      </w:pPr>
      <w:rPr>
        <w:rFonts w:hint="default" w:cs="Times New Roman"/>
      </w:rPr>
    </w:lvl>
    <w:lvl w:ilvl="1" w:tentative="0">
      <w:start w:val="1"/>
      <w:numFmt w:val="lowerLetter"/>
      <w:lvlText w:val="%2)"/>
      <w:lvlJc w:val="left"/>
      <w:pPr>
        <w:ind w:left="1262" w:hanging="420"/>
      </w:pPr>
      <w:rPr>
        <w:rFonts w:cs="Times New Roman"/>
      </w:rPr>
    </w:lvl>
    <w:lvl w:ilvl="2" w:tentative="0">
      <w:start w:val="1"/>
      <w:numFmt w:val="lowerRoman"/>
      <w:lvlText w:val="%3."/>
      <w:lvlJc w:val="right"/>
      <w:pPr>
        <w:ind w:left="1682" w:hanging="420"/>
      </w:pPr>
      <w:rPr>
        <w:rFonts w:cs="Times New Roman"/>
      </w:rPr>
    </w:lvl>
    <w:lvl w:ilvl="3" w:tentative="0">
      <w:start w:val="1"/>
      <w:numFmt w:val="decimal"/>
      <w:lvlText w:val="%4."/>
      <w:lvlJc w:val="left"/>
      <w:pPr>
        <w:ind w:left="2102" w:hanging="420"/>
      </w:pPr>
      <w:rPr>
        <w:rFonts w:cs="Times New Roman"/>
      </w:rPr>
    </w:lvl>
    <w:lvl w:ilvl="4" w:tentative="0">
      <w:start w:val="1"/>
      <w:numFmt w:val="lowerLetter"/>
      <w:lvlText w:val="%5)"/>
      <w:lvlJc w:val="left"/>
      <w:pPr>
        <w:ind w:left="2522" w:hanging="420"/>
      </w:pPr>
      <w:rPr>
        <w:rFonts w:cs="Times New Roman"/>
      </w:rPr>
    </w:lvl>
    <w:lvl w:ilvl="5" w:tentative="0">
      <w:start w:val="1"/>
      <w:numFmt w:val="lowerRoman"/>
      <w:lvlText w:val="%6."/>
      <w:lvlJc w:val="right"/>
      <w:pPr>
        <w:ind w:left="2942" w:hanging="420"/>
      </w:pPr>
      <w:rPr>
        <w:rFonts w:cs="Times New Roman"/>
      </w:rPr>
    </w:lvl>
    <w:lvl w:ilvl="6" w:tentative="0">
      <w:start w:val="1"/>
      <w:numFmt w:val="decimal"/>
      <w:lvlText w:val="%7."/>
      <w:lvlJc w:val="left"/>
      <w:pPr>
        <w:ind w:left="3362" w:hanging="420"/>
      </w:pPr>
      <w:rPr>
        <w:rFonts w:cs="Times New Roman"/>
      </w:rPr>
    </w:lvl>
    <w:lvl w:ilvl="7" w:tentative="0">
      <w:start w:val="1"/>
      <w:numFmt w:val="lowerLetter"/>
      <w:lvlText w:val="%8)"/>
      <w:lvlJc w:val="left"/>
      <w:pPr>
        <w:ind w:left="3782" w:hanging="420"/>
      </w:pPr>
      <w:rPr>
        <w:rFonts w:cs="Times New Roman"/>
      </w:rPr>
    </w:lvl>
    <w:lvl w:ilvl="8" w:tentative="0">
      <w:start w:val="1"/>
      <w:numFmt w:val="lowerRoman"/>
      <w:lvlText w:val="%9."/>
      <w:lvlJc w:val="right"/>
      <w:pPr>
        <w:ind w:left="4202" w:hanging="420"/>
      </w:pPr>
      <w:rPr>
        <w:rFonts w:cs="Times New Roman"/>
      </w:rPr>
    </w:lvl>
  </w:abstractNum>
  <w:abstractNum w:abstractNumId="1">
    <w:nsid w:val="1E4747C3"/>
    <w:multiLevelType w:val="multilevel"/>
    <w:tmpl w:val="1E4747C3"/>
    <w:lvl w:ilvl="0" w:tentative="0">
      <w:start w:val="1"/>
      <w:numFmt w:val="decimal"/>
      <w:lvlText w:val="（%1）"/>
      <w:lvlJc w:val="left"/>
      <w:pPr>
        <w:ind w:left="1280" w:hanging="720"/>
      </w:pPr>
      <w:rPr>
        <w:rFonts w:hint="default" w:cs="Times New Roman"/>
      </w:rPr>
    </w:lvl>
    <w:lvl w:ilvl="1" w:tentative="0">
      <w:start w:val="1"/>
      <w:numFmt w:val="lowerLetter"/>
      <w:lvlText w:val="%2)"/>
      <w:lvlJc w:val="left"/>
      <w:pPr>
        <w:ind w:left="1400" w:hanging="420"/>
      </w:pPr>
      <w:rPr>
        <w:rFonts w:cs="Times New Roman"/>
      </w:rPr>
    </w:lvl>
    <w:lvl w:ilvl="2" w:tentative="0">
      <w:start w:val="1"/>
      <w:numFmt w:val="lowerRoman"/>
      <w:lvlText w:val="%3."/>
      <w:lvlJc w:val="right"/>
      <w:pPr>
        <w:ind w:left="1820" w:hanging="420"/>
      </w:pPr>
      <w:rPr>
        <w:rFonts w:cs="Times New Roman"/>
      </w:rPr>
    </w:lvl>
    <w:lvl w:ilvl="3" w:tentative="0">
      <w:start w:val="1"/>
      <w:numFmt w:val="decimal"/>
      <w:lvlText w:val="%4."/>
      <w:lvlJc w:val="left"/>
      <w:pPr>
        <w:ind w:left="2240" w:hanging="420"/>
      </w:pPr>
      <w:rPr>
        <w:rFonts w:cs="Times New Roman"/>
      </w:rPr>
    </w:lvl>
    <w:lvl w:ilvl="4" w:tentative="0">
      <w:start w:val="1"/>
      <w:numFmt w:val="lowerLetter"/>
      <w:lvlText w:val="%5)"/>
      <w:lvlJc w:val="left"/>
      <w:pPr>
        <w:ind w:left="2660" w:hanging="420"/>
      </w:pPr>
      <w:rPr>
        <w:rFonts w:cs="Times New Roman"/>
      </w:rPr>
    </w:lvl>
    <w:lvl w:ilvl="5" w:tentative="0">
      <w:start w:val="1"/>
      <w:numFmt w:val="lowerRoman"/>
      <w:lvlText w:val="%6."/>
      <w:lvlJc w:val="right"/>
      <w:pPr>
        <w:ind w:left="3080" w:hanging="420"/>
      </w:pPr>
      <w:rPr>
        <w:rFonts w:cs="Times New Roman"/>
      </w:rPr>
    </w:lvl>
    <w:lvl w:ilvl="6" w:tentative="0">
      <w:start w:val="1"/>
      <w:numFmt w:val="decimal"/>
      <w:lvlText w:val="%7."/>
      <w:lvlJc w:val="left"/>
      <w:pPr>
        <w:ind w:left="3500" w:hanging="420"/>
      </w:pPr>
      <w:rPr>
        <w:rFonts w:cs="Times New Roman"/>
      </w:rPr>
    </w:lvl>
    <w:lvl w:ilvl="7" w:tentative="0">
      <w:start w:val="1"/>
      <w:numFmt w:val="lowerLetter"/>
      <w:lvlText w:val="%8)"/>
      <w:lvlJc w:val="left"/>
      <w:pPr>
        <w:ind w:left="3920" w:hanging="420"/>
      </w:pPr>
      <w:rPr>
        <w:rFonts w:cs="Times New Roman"/>
      </w:rPr>
    </w:lvl>
    <w:lvl w:ilvl="8" w:tentative="0">
      <w:start w:val="1"/>
      <w:numFmt w:val="lowerRoman"/>
      <w:lvlText w:val="%9."/>
      <w:lvlJc w:val="right"/>
      <w:pPr>
        <w:ind w:left="4340" w:hanging="420"/>
      </w:pPr>
      <w:rPr>
        <w:rFonts w:cs="Times New Roman"/>
      </w:rPr>
    </w:lvl>
  </w:abstractNum>
  <w:abstractNum w:abstractNumId="2">
    <w:nsid w:val="2901491A"/>
    <w:multiLevelType w:val="multilevel"/>
    <w:tmpl w:val="2901491A"/>
    <w:lvl w:ilvl="0" w:tentative="0">
      <w:start w:val="1"/>
      <w:numFmt w:val="decimal"/>
      <w:lvlText w:val="（%1）"/>
      <w:lvlJc w:val="left"/>
      <w:pPr>
        <w:ind w:left="1280" w:hanging="720"/>
      </w:pPr>
      <w:rPr>
        <w:rFonts w:hint="default" w:cs="Times New Roman"/>
      </w:rPr>
    </w:lvl>
    <w:lvl w:ilvl="1" w:tentative="0">
      <w:start w:val="1"/>
      <w:numFmt w:val="lowerLetter"/>
      <w:lvlText w:val="%2)"/>
      <w:lvlJc w:val="left"/>
      <w:pPr>
        <w:ind w:left="1400" w:hanging="420"/>
      </w:pPr>
      <w:rPr>
        <w:rFonts w:cs="Times New Roman"/>
      </w:rPr>
    </w:lvl>
    <w:lvl w:ilvl="2" w:tentative="0">
      <w:start w:val="1"/>
      <w:numFmt w:val="lowerRoman"/>
      <w:lvlText w:val="%3."/>
      <w:lvlJc w:val="right"/>
      <w:pPr>
        <w:ind w:left="1820" w:hanging="420"/>
      </w:pPr>
      <w:rPr>
        <w:rFonts w:cs="Times New Roman"/>
      </w:rPr>
    </w:lvl>
    <w:lvl w:ilvl="3" w:tentative="0">
      <w:start w:val="1"/>
      <w:numFmt w:val="decimal"/>
      <w:lvlText w:val="%4."/>
      <w:lvlJc w:val="left"/>
      <w:pPr>
        <w:ind w:left="2240" w:hanging="420"/>
      </w:pPr>
      <w:rPr>
        <w:rFonts w:cs="Times New Roman"/>
      </w:rPr>
    </w:lvl>
    <w:lvl w:ilvl="4" w:tentative="0">
      <w:start w:val="1"/>
      <w:numFmt w:val="lowerLetter"/>
      <w:lvlText w:val="%5)"/>
      <w:lvlJc w:val="left"/>
      <w:pPr>
        <w:ind w:left="2660" w:hanging="420"/>
      </w:pPr>
      <w:rPr>
        <w:rFonts w:cs="Times New Roman"/>
      </w:rPr>
    </w:lvl>
    <w:lvl w:ilvl="5" w:tentative="0">
      <w:start w:val="1"/>
      <w:numFmt w:val="lowerRoman"/>
      <w:lvlText w:val="%6."/>
      <w:lvlJc w:val="right"/>
      <w:pPr>
        <w:ind w:left="3080" w:hanging="420"/>
      </w:pPr>
      <w:rPr>
        <w:rFonts w:cs="Times New Roman"/>
      </w:rPr>
    </w:lvl>
    <w:lvl w:ilvl="6" w:tentative="0">
      <w:start w:val="1"/>
      <w:numFmt w:val="decimal"/>
      <w:lvlText w:val="%7."/>
      <w:lvlJc w:val="left"/>
      <w:pPr>
        <w:ind w:left="3500" w:hanging="420"/>
      </w:pPr>
      <w:rPr>
        <w:rFonts w:cs="Times New Roman"/>
      </w:rPr>
    </w:lvl>
    <w:lvl w:ilvl="7" w:tentative="0">
      <w:start w:val="1"/>
      <w:numFmt w:val="lowerLetter"/>
      <w:lvlText w:val="%8)"/>
      <w:lvlJc w:val="left"/>
      <w:pPr>
        <w:ind w:left="3920" w:hanging="420"/>
      </w:pPr>
      <w:rPr>
        <w:rFonts w:cs="Times New Roman"/>
      </w:rPr>
    </w:lvl>
    <w:lvl w:ilvl="8" w:tentative="0">
      <w:start w:val="1"/>
      <w:numFmt w:val="lowerRoman"/>
      <w:lvlText w:val="%9."/>
      <w:lvlJc w:val="right"/>
      <w:pPr>
        <w:ind w:left="4340" w:hanging="420"/>
      </w:pPr>
      <w:rPr>
        <w:rFonts w:cs="Times New Roman"/>
      </w:rPr>
    </w:lvl>
  </w:abstractNum>
  <w:num w:numId="1">
    <w:abstractNumId w:val="2"/>
  </w:num>
  <w:num w:numId="2">
    <w:abstractNumId w:val="0"/>
  </w:num>
  <w:num w:numId="3">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30"/>
  <w:bordersDoNotSurroundHeader w:val="1"/>
  <w:bordersDoNotSurroundFooter w:val="1"/>
  <w:documentProtection w:enforcement="0"/>
  <w:defaultTabStop w:val="420"/>
  <w:drawingGridHorizontalSpacing w:val="105"/>
  <w:drawingGridVerticalSpacing w:val="156"/>
  <w:displayHorizontalDrawingGridEvery w:val="2"/>
  <w:displayVerticalDrawingGridEvery w:val="2"/>
  <w:noPunctuationKerning w:val="1"/>
  <w:characterSpacingControl w:val="compressPunctuation"/>
  <w:noLineBreaksAfter w:lang="zh-CN" w:val="$([{£¥·‘“〈《「『【〔〖〝﹙﹛﹝＄（．［｛￡￥"/>
  <w:noLineBreaksBefore w:lang="zh-CN" w:val="!%),.:;&gt;?]}¢¨°·ˇˉ―‖’”…‰′″›℃∶、。〃〉》」』】〕〗〞︶︺︾﹀﹄﹚﹜﹞！＂％＇），．：；？］｀｜｝～￠"/>
  <w:compat>
    <w:spaceForUL/>
    <w:balanceSingleByteDoubleByteWidth/>
    <w:doNotLeaveBackslashAlone/>
    <w:ulTrailSpace/>
    <w:doNotExpandShiftReturn/>
    <w:adjustLineHeightInTable/>
    <w:useFELayou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Setting w:name="compatibilityMode" w:uri="http://schemas.microsoft.com/office/word" w:val="11"/>
  </w:compat>
  <w:docVars>
    <w:docVar w:name="commondata" w:val="eyJoZGlkIjoiNWM5MTZlMjg0NTliNTE1NDAxZTRlYzZhZWYxZGUwZmMifQ=="/>
  </w:docVars>
  <w:rsids>
    <w:rsidRoot w:val="006C5220"/>
    <w:rsid w:val="0000220C"/>
    <w:rsid w:val="0000228F"/>
    <w:rsid w:val="000037EF"/>
    <w:rsid w:val="00003BDD"/>
    <w:rsid w:val="00004E31"/>
    <w:rsid w:val="000056E0"/>
    <w:rsid w:val="000062A3"/>
    <w:rsid w:val="00006553"/>
    <w:rsid w:val="000066C2"/>
    <w:rsid w:val="00007043"/>
    <w:rsid w:val="0000769A"/>
    <w:rsid w:val="00007C43"/>
    <w:rsid w:val="00007EC0"/>
    <w:rsid w:val="00010055"/>
    <w:rsid w:val="000112F5"/>
    <w:rsid w:val="00011A68"/>
    <w:rsid w:val="00011ABE"/>
    <w:rsid w:val="00011F36"/>
    <w:rsid w:val="00012206"/>
    <w:rsid w:val="0001270F"/>
    <w:rsid w:val="00012D24"/>
    <w:rsid w:val="00012D4B"/>
    <w:rsid w:val="00013E23"/>
    <w:rsid w:val="000143B7"/>
    <w:rsid w:val="0001464E"/>
    <w:rsid w:val="000159EE"/>
    <w:rsid w:val="00015DD7"/>
    <w:rsid w:val="0001632C"/>
    <w:rsid w:val="000168F2"/>
    <w:rsid w:val="00020630"/>
    <w:rsid w:val="000206F4"/>
    <w:rsid w:val="000210E6"/>
    <w:rsid w:val="00021641"/>
    <w:rsid w:val="000222C3"/>
    <w:rsid w:val="00022466"/>
    <w:rsid w:val="000227E2"/>
    <w:rsid w:val="0002348F"/>
    <w:rsid w:val="00023A75"/>
    <w:rsid w:val="00024A7F"/>
    <w:rsid w:val="00025290"/>
    <w:rsid w:val="000259C4"/>
    <w:rsid w:val="00026384"/>
    <w:rsid w:val="00027AC6"/>
    <w:rsid w:val="00027EDC"/>
    <w:rsid w:val="00030BF6"/>
    <w:rsid w:val="0003103D"/>
    <w:rsid w:val="00031755"/>
    <w:rsid w:val="00031871"/>
    <w:rsid w:val="00032F5D"/>
    <w:rsid w:val="0003307C"/>
    <w:rsid w:val="00033960"/>
    <w:rsid w:val="00033C76"/>
    <w:rsid w:val="00033E44"/>
    <w:rsid w:val="00034EB4"/>
    <w:rsid w:val="00034F9D"/>
    <w:rsid w:val="00035A22"/>
    <w:rsid w:val="00035F5C"/>
    <w:rsid w:val="00036FEA"/>
    <w:rsid w:val="000411C6"/>
    <w:rsid w:val="00041BC6"/>
    <w:rsid w:val="0004226B"/>
    <w:rsid w:val="00042C18"/>
    <w:rsid w:val="00043CD1"/>
    <w:rsid w:val="000443AE"/>
    <w:rsid w:val="00045C66"/>
    <w:rsid w:val="00045EAC"/>
    <w:rsid w:val="000463DB"/>
    <w:rsid w:val="00046418"/>
    <w:rsid w:val="00047933"/>
    <w:rsid w:val="000509A3"/>
    <w:rsid w:val="00050CCF"/>
    <w:rsid w:val="00051D16"/>
    <w:rsid w:val="00052095"/>
    <w:rsid w:val="0005371E"/>
    <w:rsid w:val="00053BA1"/>
    <w:rsid w:val="00053FEB"/>
    <w:rsid w:val="00054F80"/>
    <w:rsid w:val="00056E13"/>
    <w:rsid w:val="00056FBE"/>
    <w:rsid w:val="00060092"/>
    <w:rsid w:val="00060B9C"/>
    <w:rsid w:val="0006110F"/>
    <w:rsid w:val="00061E7B"/>
    <w:rsid w:val="00062317"/>
    <w:rsid w:val="00063636"/>
    <w:rsid w:val="00064DF6"/>
    <w:rsid w:val="0006723E"/>
    <w:rsid w:val="00071A16"/>
    <w:rsid w:val="00071B59"/>
    <w:rsid w:val="00071DF0"/>
    <w:rsid w:val="00073223"/>
    <w:rsid w:val="00073C6C"/>
    <w:rsid w:val="0007419A"/>
    <w:rsid w:val="00074A62"/>
    <w:rsid w:val="000756C1"/>
    <w:rsid w:val="000759AA"/>
    <w:rsid w:val="00076CF2"/>
    <w:rsid w:val="00077F77"/>
    <w:rsid w:val="0008015B"/>
    <w:rsid w:val="00081658"/>
    <w:rsid w:val="0008172F"/>
    <w:rsid w:val="00081D01"/>
    <w:rsid w:val="00081D49"/>
    <w:rsid w:val="0008237A"/>
    <w:rsid w:val="00082AD1"/>
    <w:rsid w:val="000830D2"/>
    <w:rsid w:val="000842A2"/>
    <w:rsid w:val="00086D24"/>
    <w:rsid w:val="00087926"/>
    <w:rsid w:val="00087DA4"/>
    <w:rsid w:val="00090395"/>
    <w:rsid w:val="00094838"/>
    <w:rsid w:val="00096714"/>
    <w:rsid w:val="0009706A"/>
    <w:rsid w:val="00097829"/>
    <w:rsid w:val="000A062B"/>
    <w:rsid w:val="000A186C"/>
    <w:rsid w:val="000A24F2"/>
    <w:rsid w:val="000A2E1D"/>
    <w:rsid w:val="000A2FD3"/>
    <w:rsid w:val="000A4011"/>
    <w:rsid w:val="000A6351"/>
    <w:rsid w:val="000A6398"/>
    <w:rsid w:val="000A7125"/>
    <w:rsid w:val="000A739D"/>
    <w:rsid w:val="000A7626"/>
    <w:rsid w:val="000B0580"/>
    <w:rsid w:val="000B1007"/>
    <w:rsid w:val="000B1B9E"/>
    <w:rsid w:val="000B1CFD"/>
    <w:rsid w:val="000B29C5"/>
    <w:rsid w:val="000B3246"/>
    <w:rsid w:val="000B44CC"/>
    <w:rsid w:val="000B5853"/>
    <w:rsid w:val="000B6561"/>
    <w:rsid w:val="000B6BB1"/>
    <w:rsid w:val="000B7D9F"/>
    <w:rsid w:val="000C0682"/>
    <w:rsid w:val="000C11D6"/>
    <w:rsid w:val="000C135D"/>
    <w:rsid w:val="000C2155"/>
    <w:rsid w:val="000C2877"/>
    <w:rsid w:val="000C29E3"/>
    <w:rsid w:val="000C4087"/>
    <w:rsid w:val="000C52B3"/>
    <w:rsid w:val="000D0081"/>
    <w:rsid w:val="000D00BE"/>
    <w:rsid w:val="000D0106"/>
    <w:rsid w:val="000D1537"/>
    <w:rsid w:val="000D173E"/>
    <w:rsid w:val="000D1854"/>
    <w:rsid w:val="000D2306"/>
    <w:rsid w:val="000D307F"/>
    <w:rsid w:val="000D32CB"/>
    <w:rsid w:val="000D3560"/>
    <w:rsid w:val="000D3CD6"/>
    <w:rsid w:val="000D3F10"/>
    <w:rsid w:val="000D4056"/>
    <w:rsid w:val="000D441B"/>
    <w:rsid w:val="000D52E1"/>
    <w:rsid w:val="000D5C26"/>
    <w:rsid w:val="000D5E60"/>
    <w:rsid w:val="000D602B"/>
    <w:rsid w:val="000D6454"/>
    <w:rsid w:val="000D6DF6"/>
    <w:rsid w:val="000E02E6"/>
    <w:rsid w:val="000E03F2"/>
    <w:rsid w:val="000E0CB5"/>
    <w:rsid w:val="000E2109"/>
    <w:rsid w:val="000E22D0"/>
    <w:rsid w:val="000E4987"/>
    <w:rsid w:val="000E5690"/>
    <w:rsid w:val="000E5FE4"/>
    <w:rsid w:val="000E69D7"/>
    <w:rsid w:val="000E6A35"/>
    <w:rsid w:val="000E7BCE"/>
    <w:rsid w:val="000F108A"/>
    <w:rsid w:val="000F2315"/>
    <w:rsid w:val="000F2324"/>
    <w:rsid w:val="000F3A92"/>
    <w:rsid w:val="000F4009"/>
    <w:rsid w:val="000F451A"/>
    <w:rsid w:val="000F47D4"/>
    <w:rsid w:val="000F5957"/>
    <w:rsid w:val="000F6517"/>
    <w:rsid w:val="00100C0A"/>
    <w:rsid w:val="00101D92"/>
    <w:rsid w:val="00105C79"/>
    <w:rsid w:val="00105E22"/>
    <w:rsid w:val="00107999"/>
    <w:rsid w:val="0011091D"/>
    <w:rsid w:val="00110928"/>
    <w:rsid w:val="0011448A"/>
    <w:rsid w:val="00117EEE"/>
    <w:rsid w:val="00120000"/>
    <w:rsid w:val="001209B8"/>
    <w:rsid w:val="001212E5"/>
    <w:rsid w:val="0012288D"/>
    <w:rsid w:val="00122EC3"/>
    <w:rsid w:val="00123246"/>
    <w:rsid w:val="00123841"/>
    <w:rsid w:val="0012469E"/>
    <w:rsid w:val="00124CC6"/>
    <w:rsid w:val="00124E14"/>
    <w:rsid w:val="0012587D"/>
    <w:rsid w:val="00125D1F"/>
    <w:rsid w:val="001267F3"/>
    <w:rsid w:val="001300E7"/>
    <w:rsid w:val="0013032A"/>
    <w:rsid w:val="001308EF"/>
    <w:rsid w:val="00131966"/>
    <w:rsid w:val="00132845"/>
    <w:rsid w:val="00132AC9"/>
    <w:rsid w:val="00132FC0"/>
    <w:rsid w:val="001346B7"/>
    <w:rsid w:val="00135231"/>
    <w:rsid w:val="001356A5"/>
    <w:rsid w:val="00135F81"/>
    <w:rsid w:val="0013681C"/>
    <w:rsid w:val="00136B66"/>
    <w:rsid w:val="00136DC2"/>
    <w:rsid w:val="00140143"/>
    <w:rsid w:val="00140510"/>
    <w:rsid w:val="00140DD6"/>
    <w:rsid w:val="00141247"/>
    <w:rsid w:val="00141782"/>
    <w:rsid w:val="00142353"/>
    <w:rsid w:val="00142F74"/>
    <w:rsid w:val="00143003"/>
    <w:rsid w:val="00143296"/>
    <w:rsid w:val="00143985"/>
    <w:rsid w:val="00143CD0"/>
    <w:rsid w:val="001444DA"/>
    <w:rsid w:val="00144C9E"/>
    <w:rsid w:val="00145AAA"/>
    <w:rsid w:val="00146178"/>
    <w:rsid w:val="00146331"/>
    <w:rsid w:val="00146A1D"/>
    <w:rsid w:val="001473D0"/>
    <w:rsid w:val="00147CEF"/>
    <w:rsid w:val="001505D1"/>
    <w:rsid w:val="00150711"/>
    <w:rsid w:val="00150DC1"/>
    <w:rsid w:val="00151B76"/>
    <w:rsid w:val="00152910"/>
    <w:rsid w:val="00153571"/>
    <w:rsid w:val="00153A5C"/>
    <w:rsid w:val="00154317"/>
    <w:rsid w:val="00155275"/>
    <w:rsid w:val="00155CCC"/>
    <w:rsid w:val="001566AF"/>
    <w:rsid w:val="001566FA"/>
    <w:rsid w:val="00157FE7"/>
    <w:rsid w:val="00160AC9"/>
    <w:rsid w:val="0016130C"/>
    <w:rsid w:val="00161B8B"/>
    <w:rsid w:val="00161FBA"/>
    <w:rsid w:val="00162069"/>
    <w:rsid w:val="00162499"/>
    <w:rsid w:val="001626E1"/>
    <w:rsid w:val="00162B1C"/>
    <w:rsid w:val="00162DC2"/>
    <w:rsid w:val="0016372E"/>
    <w:rsid w:val="00164361"/>
    <w:rsid w:val="00164C8A"/>
    <w:rsid w:val="00164E66"/>
    <w:rsid w:val="001655E0"/>
    <w:rsid w:val="00166638"/>
    <w:rsid w:val="00166B6F"/>
    <w:rsid w:val="00166CA8"/>
    <w:rsid w:val="001703A8"/>
    <w:rsid w:val="00171984"/>
    <w:rsid w:val="0017248F"/>
    <w:rsid w:val="00172C9C"/>
    <w:rsid w:val="00174504"/>
    <w:rsid w:val="0017456E"/>
    <w:rsid w:val="001748E2"/>
    <w:rsid w:val="001751B4"/>
    <w:rsid w:val="00175472"/>
    <w:rsid w:val="00177037"/>
    <w:rsid w:val="00180C59"/>
    <w:rsid w:val="00181025"/>
    <w:rsid w:val="001810F3"/>
    <w:rsid w:val="00181393"/>
    <w:rsid w:val="00181FCB"/>
    <w:rsid w:val="001824B5"/>
    <w:rsid w:val="00182EBE"/>
    <w:rsid w:val="0018310F"/>
    <w:rsid w:val="0018361E"/>
    <w:rsid w:val="00184AC8"/>
    <w:rsid w:val="00184C7B"/>
    <w:rsid w:val="00184E3D"/>
    <w:rsid w:val="001852B5"/>
    <w:rsid w:val="0018543E"/>
    <w:rsid w:val="00186938"/>
    <w:rsid w:val="001902A3"/>
    <w:rsid w:val="00190D37"/>
    <w:rsid w:val="00191E56"/>
    <w:rsid w:val="00192275"/>
    <w:rsid w:val="00192342"/>
    <w:rsid w:val="00193A88"/>
    <w:rsid w:val="00193C36"/>
    <w:rsid w:val="001941C5"/>
    <w:rsid w:val="00194826"/>
    <w:rsid w:val="0019577D"/>
    <w:rsid w:val="00197644"/>
    <w:rsid w:val="001A07FD"/>
    <w:rsid w:val="001A5412"/>
    <w:rsid w:val="001A5AAC"/>
    <w:rsid w:val="001A6EED"/>
    <w:rsid w:val="001A73CC"/>
    <w:rsid w:val="001A7D5A"/>
    <w:rsid w:val="001B0030"/>
    <w:rsid w:val="001B0731"/>
    <w:rsid w:val="001B1559"/>
    <w:rsid w:val="001B2824"/>
    <w:rsid w:val="001B2FA3"/>
    <w:rsid w:val="001B42F8"/>
    <w:rsid w:val="001B48C1"/>
    <w:rsid w:val="001B4E25"/>
    <w:rsid w:val="001B51FF"/>
    <w:rsid w:val="001B669F"/>
    <w:rsid w:val="001C030F"/>
    <w:rsid w:val="001C0482"/>
    <w:rsid w:val="001C0805"/>
    <w:rsid w:val="001C1432"/>
    <w:rsid w:val="001C1DE1"/>
    <w:rsid w:val="001C2C62"/>
    <w:rsid w:val="001C366E"/>
    <w:rsid w:val="001C3CC0"/>
    <w:rsid w:val="001C3D3B"/>
    <w:rsid w:val="001C3F3C"/>
    <w:rsid w:val="001C4827"/>
    <w:rsid w:val="001C6A26"/>
    <w:rsid w:val="001C7660"/>
    <w:rsid w:val="001C7B39"/>
    <w:rsid w:val="001C7E58"/>
    <w:rsid w:val="001D000C"/>
    <w:rsid w:val="001D0415"/>
    <w:rsid w:val="001D0D65"/>
    <w:rsid w:val="001D0F98"/>
    <w:rsid w:val="001D14D1"/>
    <w:rsid w:val="001D1998"/>
    <w:rsid w:val="001D1A6B"/>
    <w:rsid w:val="001D1BB4"/>
    <w:rsid w:val="001D2281"/>
    <w:rsid w:val="001D2828"/>
    <w:rsid w:val="001D58BB"/>
    <w:rsid w:val="001D5C9D"/>
    <w:rsid w:val="001D64BB"/>
    <w:rsid w:val="001D75F6"/>
    <w:rsid w:val="001D7E86"/>
    <w:rsid w:val="001E03B8"/>
    <w:rsid w:val="001E04B7"/>
    <w:rsid w:val="001E0C95"/>
    <w:rsid w:val="001E1C02"/>
    <w:rsid w:val="001E1CC7"/>
    <w:rsid w:val="001E23E8"/>
    <w:rsid w:val="001E2551"/>
    <w:rsid w:val="001E3DA3"/>
    <w:rsid w:val="001E4589"/>
    <w:rsid w:val="001E51E0"/>
    <w:rsid w:val="001E6139"/>
    <w:rsid w:val="001E66F8"/>
    <w:rsid w:val="001E6834"/>
    <w:rsid w:val="001E6D60"/>
    <w:rsid w:val="001E73EB"/>
    <w:rsid w:val="001E7FCA"/>
    <w:rsid w:val="001F0120"/>
    <w:rsid w:val="001F0B39"/>
    <w:rsid w:val="001F22B6"/>
    <w:rsid w:val="001F23A4"/>
    <w:rsid w:val="001F256A"/>
    <w:rsid w:val="001F3667"/>
    <w:rsid w:val="001F4921"/>
    <w:rsid w:val="001F5501"/>
    <w:rsid w:val="001F58B7"/>
    <w:rsid w:val="001F604E"/>
    <w:rsid w:val="001F7EF3"/>
    <w:rsid w:val="00200F3D"/>
    <w:rsid w:val="00201B29"/>
    <w:rsid w:val="0020275B"/>
    <w:rsid w:val="002034C2"/>
    <w:rsid w:val="0020732A"/>
    <w:rsid w:val="0020769A"/>
    <w:rsid w:val="00207A94"/>
    <w:rsid w:val="00207AAE"/>
    <w:rsid w:val="00210732"/>
    <w:rsid w:val="00211405"/>
    <w:rsid w:val="00211B62"/>
    <w:rsid w:val="00211CA6"/>
    <w:rsid w:val="00211DFB"/>
    <w:rsid w:val="00212004"/>
    <w:rsid w:val="0021371C"/>
    <w:rsid w:val="002138CE"/>
    <w:rsid w:val="00213BBE"/>
    <w:rsid w:val="00213C3B"/>
    <w:rsid w:val="002140FF"/>
    <w:rsid w:val="0021455B"/>
    <w:rsid w:val="00214D70"/>
    <w:rsid w:val="00214EE4"/>
    <w:rsid w:val="0021534C"/>
    <w:rsid w:val="0021747E"/>
    <w:rsid w:val="0022007F"/>
    <w:rsid w:val="0022049E"/>
    <w:rsid w:val="00220D34"/>
    <w:rsid w:val="00221128"/>
    <w:rsid w:val="00221414"/>
    <w:rsid w:val="00221941"/>
    <w:rsid w:val="00221B24"/>
    <w:rsid w:val="0022219A"/>
    <w:rsid w:val="00222AB9"/>
    <w:rsid w:val="00222D7C"/>
    <w:rsid w:val="00222DD4"/>
    <w:rsid w:val="0022364B"/>
    <w:rsid w:val="002239D8"/>
    <w:rsid w:val="002242C4"/>
    <w:rsid w:val="00224A16"/>
    <w:rsid w:val="00224A58"/>
    <w:rsid w:val="00225558"/>
    <w:rsid w:val="0022655A"/>
    <w:rsid w:val="00226A67"/>
    <w:rsid w:val="002271F6"/>
    <w:rsid w:val="00227F00"/>
    <w:rsid w:val="00230A8F"/>
    <w:rsid w:val="002332ED"/>
    <w:rsid w:val="002347CF"/>
    <w:rsid w:val="002350D6"/>
    <w:rsid w:val="00235BF2"/>
    <w:rsid w:val="00235F89"/>
    <w:rsid w:val="0023648E"/>
    <w:rsid w:val="00237E4D"/>
    <w:rsid w:val="002401A0"/>
    <w:rsid w:val="00240279"/>
    <w:rsid w:val="00240AEE"/>
    <w:rsid w:val="00241272"/>
    <w:rsid w:val="00241CAF"/>
    <w:rsid w:val="002427A1"/>
    <w:rsid w:val="00244BDA"/>
    <w:rsid w:val="00244C3E"/>
    <w:rsid w:val="00244E1A"/>
    <w:rsid w:val="00245DEB"/>
    <w:rsid w:val="00246D26"/>
    <w:rsid w:val="00247450"/>
    <w:rsid w:val="002517EC"/>
    <w:rsid w:val="00252261"/>
    <w:rsid w:val="00253887"/>
    <w:rsid w:val="00254DFD"/>
    <w:rsid w:val="002559A1"/>
    <w:rsid w:val="002562B1"/>
    <w:rsid w:val="0025696A"/>
    <w:rsid w:val="0025756F"/>
    <w:rsid w:val="002579D3"/>
    <w:rsid w:val="00257AE6"/>
    <w:rsid w:val="00257FF0"/>
    <w:rsid w:val="00260D82"/>
    <w:rsid w:val="00264005"/>
    <w:rsid w:val="00264223"/>
    <w:rsid w:val="00264A2D"/>
    <w:rsid w:val="00265E2D"/>
    <w:rsid w:val="00265EB6"/>
    <w:rsid w:val="002662BD"/>
    <w:rsid w:val="002678E1"/>
    <w:rsid w:val="00271274"/>
    <w:rsid w:val="00272296"/>
    <w:rsid w:val="00272C57"/>
    <w:rsid w:val="00273BB6"/>
    <w:rsid w:val="00273C6C"/>
    <w:rsid w:val="0027519F"/>
    <w:rsid w:val="00275EC0"/>
    <w:rsid w:val="0027730F"/>
    <w:rsid w:val="0028025D"/>
    <w:rsid w:val="0028187C"/>
    <w:rsid w:val="0028292D"/>
    <w:rsid w:val="00284571"/>
    <w:rsid w:val="0028549F"/>
    <w:rsid w:val="00286312"/>
    <w:rsid w:val="00286EF7"/>
    <w:rsid w:val="00287B45"/>
    <w:rsid w:val="0029211E"/>
    <w:rsid w:val="002924C0"/>
    <w:rsid w:val="002926A8"/>
    <w:rsid w:val="00292FA2"/>
    <w:rsid w:val="00293A8C"/>
    <w:rsid w:val="00293DB4"/>
    <w:rsid w:val="00294362"/>
    <w:rsid w:val="00296075"/>
    <w:rsid w:val="00297B11"/>
    <w:rsid w:val="00297C02"/>
    <w:rsid w:val="002A0F16"/>
    <w:rsid w:val="002A13BF"/>
    <w:rsid w:val="002A17F4"/>
    <w:rsid w:val="002A3608"/>
    <w:rsid w:val="002A4478"/>
    <w:rsid w:val="002A4F7E"/>
    <w:rsid w:val="002A522C"/>
    <w:rsid w:val="002A60CF"/>
    <w:rsid w:val="002A719F"/>
    <w:rsid w:val="002A7822"/>
    <w:rsid w:val="002B22B8"/>
    <w:rsid w:val="002B4373"/>
    <w:rsid w:val="002B4446"/>
    <w:rsid w:val="002B72F9"/>
    <w:rsid w:val="002C02AF"/>
    <w:rsid w:val="002C0B12"/>
    <w:rsid w:val="002C0B3C"/>
    <w:rsid w:val="002C12AF"/>
    <w:rsid w:val="002C175E"/>
    <w:rsid w:val="002C1D99"/>
    <w:rsid w:val="002C2745"/>
    <w:rsid w:val="002C2928"/>
    <w:rsid w:val="002C40FE"/>
    <w:rsid w:val="002C4766"/>
    <w:rsid w:val="002C4767"/>
    <w:rsid w:val="002C4B40"/>
    <w:rsid w:val="002C4F5E"/>
    <w:rsid w:val="002C5792"/>
    <w:rsid w:val="002C6CF6"/>
    <w:rsid w:val="002C79FE"/>
    <w:rsid w:val="002C7B85"/>
    <w:rsid w:val="002C7BC7"/>
    <w:rsid w:val="002D0674"/>
    <w:rsid w:val="002D0BBD"/>
    <w:rsid w:val="002D0FCB"/>
    <w:rsid w:val="002D129E"/>
    <w:rsid w:val="002D157C"/>
    <w:rsid w:val="002D247E"/>
    <w:rsid w:val="002D2D06"/>
    <w:rsid w:val="002D3520"/>
    <w:rsid w:val="002D4270"/>
    <w:rsid w:val="002D51E5"/>
    <w:rsid w:val="002D5DD3"/>
    <w:rsid w:val="002D6893"/>
    <w:rsid w:val="002E1BC3"/>
    <w:rsid w:val="002E2475"/>
    <w:rsid w:val="002E25B1"/>
    <w:rsid w:val="002E26ED"/>
    <w:rsid w:val="002E2DCD"/>
    <w:rsid w:val="002E38C7"/>
    <w:rsid w:val="002E3984"/>
    <w:rsid w:val="002E3C60"/>
    <w:rsid w:val="002E42D2"/>
    <w:rsid w:val="002E4762"/>
    <w:rsid w:val="002E50D9"/>
    <w:rsid w:val="002E578B"/>
    <w:rsid w:val="002E57DF"/>
    <w:rsid w:val="002E5E97"/>
    <w:rsid w:val="002E5FF9"/>
    <w:rsid w:val="002E758F"/>
    <w:rsid w:val="002F0012"/>
    <w:rsid w:val="002F0730"/>
    <w:rsid w:val="002F08BD"/>
    <w:rsid w:val="002F0F12"/>
    <w:rsid w:val="002F1BA6"/>
    <w:rsid w:val="002F405D"/>
    <w:rsid w:val="002F50FB"/>
    <w:rsid w:val="002F56ED"/>
    <w:rsid w:val="002F6208"/>
    <w:rsid w:val="002F6527"/>
    <w:rsid w:val="002F6613"/>
    <w:rsid w:val="00300605"/>
    <w:rsid w:val="0030106A"/>
    <w:rsid w:val="003015D7"/>
    <w:rsid w:val="00301ECA"/>
    <w:rsid w:val="00303182"/>
    <w:rsid w:val="00303364"/>
    <w:rsid w:val="00304656"/>
    <w:rsid w:val="003046BA"/>
    <w:rsid w:val="00304D8B"/>
    <w:rsid w:val="00304DF9"/>
    <w:rsid w:val="00305459"/>
    <w:rsid w:val="00305D98"/>
    <w:rsid w:val="00306AAE"/>
    <w:rsid w:val="00307453"/>
    <w:rsid w:val="0031070F"/>
    <w:rsid w:val="00310E9A"/>
    <w:rsid w:val="0031178B"/>
    <w:rsid w:val="003118BF"/>
    <w:rsid w:val="00312132"/>
    <w:rsid w:val="0031252B"/>
    <w:rsid w:val="00314BF8"/>
    <w:rsid w:val="00314FD8"/>
    <w:rsid w:val="00315C52"/>
    <w:rsid w:val="00316437"/>
    <w:rsid w:val="00316731"/>
    <w:rsid w:val="003169FC"/>
    <w:rsid w:val="00317AAF"/>
    <w:rsid w:val="003204BA"/>
    <w:rsid w:val="00321ABB"/>
    <w:rsid w:val="00323BE2"/>
    <w:rsid w:val="00323BEB"/>
    <w:rsid w:val="003253E5"/>
    <w:rsid w:val="00325617"/>
    <w:rsid w:val="0032562B"/>
    <w:rsid w:val="00326364"/>
    <w:rsid w:val="0032666E"/>
    <w:rsid w:val="00327590"/>
    <w:rsid w:val="00327ACB"/>
    <w:rsid w:val="00330104"/>
    <w:rsid w:val="0033028E"/>
    <w:rsid w:val="00330721"/>
    <w:rsid w:val="00330F41"/>
    <w:rsid w:val="00331800"/>
    <w:rsid w:val="00333723"/>
    <w:rsid w:val="003337EB"/>
    <w:rsid w:val="00335012"/>
    <w:rsid w:val="00335193"/>
    <w:rsid w:val="0033523D"/>
    <w:rsid w:val="0033566A"/>
    <w:rsid w:val="00336254"/>
    <w:rsid w:val="00336835"/>
    <w:rsid w:val="00336AE4"/>
    <w:rsid w:val="00337AE2"/>
    <w:rsid w:val="003402A7"/>
    <w:rsid w:val="00340E7B"/>
    <w:rsid w:val="0034129F"/>
    <w:rsid w:val="00341661"/>
    <w:rsid w:val="0034247D"/>
    <w:rsid w:val="0034248E"/>
    <w:rsid w:val="00343869"/>
    <w:rsid w:val="003438B2"/>
    <w:rsid w:val="00343DA3"/>
    <w:rsid w:val="003441E6"/>
    <w:rsid w:val="003447EE"/>
    <w:rsid w:val="0034550B"/>
    <w:rsid w:val="00346DA3"/>
    <w:rsid w:val="0034702F"/>
    <w:rsid w:val="00347690"/>
    <w:rsid w:val="0035032D"/>
    <w:rsid w:val="00350614"/>
    <w:rsid w:val="0035069C"/>
    <w:rsid w:val="003512A8"/>
    <w:rsid w:val="00351E97"/>
    <w:rsid w:val="00353258"/>
    <w:rsid w:val="003533FF"/>
    <w:rsid w:val="00354456"/>
    <w:rsid w:val="00355BC9"/>
    <w:rsid w:val="00357CF1"/>
    <w:rsid w:val="00361194"/>
    <w:rsid w:val="003613DB"/>
    <w:rsid w:val="00361D18"/>
    <w:rsid w:val="00361DFB"/>
    <w:rsid w:val="00361F51"/>
    <w:rsid w:val="00362783"/>
    <w:rsid w:val="00362B39"/>
    <w:rsid w:val="00362F58"/>
    <w:rsid w:val="00364C78"/>
    <w:rsid w:val="00364EA2"/>
    <w:rsid w:val="00364EEE"/>
    <w:rsid w:val="0036511E"/>
    <w:rsid w:val="00365E65"/>
    <w:rsid w:val="003667CE"/>
    <w:rsid w:val="003667D4"/>
    <w:rsid w:val="00370E91"/>
    <w:rsid w:val="00371740"/>
    <w:rsid w:val="00372A65"/>
    <w:rsid w:val="003736BA"/>
    <w:rsid w:val="0037382C"/>
    <w:rsid w:val="00374B63"/>
    <w:rsid w:val="00375A2E"/>
    <w:rsid w:val="0037684B"/>
    <w:rsid w:val="00377B82"/>
    <w:rsid w:val="00377E39"/>
    <w:rsid w:val="003805A5"/>
    <w:rsid w:val="003816D6"/>
    <w:rsid w:val="003817F3"/>
    <w:rsid w:val="003837AC"/>
    <w:rsid w:val="003844FA"/>
    <w:rsid w:val="00385138"/>
    <w:rsid w:val="003854E4"/>
    <w:rsid w:val="003855FD"/>
    <w:rsid w:val="00385D1B"/>
    <w:rsid w:val="00385D24"/>
    <w:rsid w:val="00397FBA"/>
    <w:rsid w:val="003A01CC"/>
    <w:rsid w:val="003A1706"/>
    <w:rsid w:val="003A18EC"/>
    <w:rsid w:val="003A1954"/>
    <w:rsid w:val="003A3020"/>
    <w:rsid w:val="003A3AAD"/>
    <w:rsid w:val="003A4CBF"/>
    <w:rsid w:val="003A52BB"/>
    <w:rsid w:val="003A5FE9"/>
    <w:rsid w:val="003A7331"/>
    <w:rsid w:val="003A73B3"/>
    <w:rsid w:val="003A75C1"/>
    <w:rsid w:val="003B0EAE"/>
    <w:rsid w:val="003B1C6F"/>
    <w:rsid w:val="003B1F90"/>
    <w:rsid w:val="003B2E90"/>
    <w:rsid w:val="003B3922"/>
    <w:rsid w:val="003B3945"/>
    <w:rsid w:val="003B3AAA"/>
    <w:rsid w:val="003B40DD"/>
    <w:rsid w:val="003B517C"/>
    <w:rsid w:val="003B7C7C"/>
    <w:rsid w:val="003C01D7"/>
    <w:rsid w:val="003C1558"/>
    <w:rsid w:val="003C1670"/>
    <w:rsid w:val="003C283C"/>
    <w:rsid w:val="003C42FF"/>
    <w:rsid w:val="003C4C4C"/>
    <w:rsid w:val="003C5DF0"/>
    <w:rsid w:val="003C66B9"/>
    <w:rsid w:val="003C6E29"/>
    <w:rsid w:val="003C799D"/>
    <w:rsid w:val="003D03EF"/>
    <w:rsid w:val="003D16C3"/>
    <w:rsid w:val="003D202F"/>
    <w:rsid w:val="003D29DC"/>
    <w:rsid w:val="003D2B05"/>
    <w:rsid w:val="003D4172"/>
    <w:rsid w:val="003D5DCF"/>
    <w:rsid w:val="003D6711"/>
    <w:rsid w:val="003D7205"/>
    <w:rsid w:val="003D79B2"/>
    <w:rsid w:val="003E000B"/>
    <w:rsid w:val="003E0030"/>
    <w:rsid w:val="003E1135"/>
    <w:rsid w:val="003E1FEC"/>
    <w:rsid w:val="003E2CE5"/>
    <w:rsid w:val="003E3389"/>
    <w:rsid w:val="003E46D9"/>
    <w:rsid w:val="003E51C4"/>
    <w:rsid w:val="003E58EE"/>
    <w:rsid w:val="003E7D3D"/>
    <w:rsid w:val="003F0B65"/>
    <w:rsid w:val="003F1E24"/>
    <w:rsid w:val="003F239D"/>
    <w:rsid w:val="003F2472"/>
    <w:rsid w:val="003F34CE"/>
    <w:rsid w:val="003F3941"/>
    <w:rsid w:val="003F3E60"/>
    <w:rsid w:val="003F411A"/>
    <w:rsid w:val="003F438E"/>
    <w:rsid w:val="003F4652"/>
    <w:rsid w:val="003F5811"/>
    <w:rsid w:val="003F6182"/>
    <w:rsid w:val="003F63CA"/>
    <w:rsid w:val="003F7547"/>
    <w:rsid w:val="003F7BE5"/>
    <w:rsid w:val="00404B3A"/>
    <w:rsid w:val="00404C30"/>
    <w:rsid w:val="0040638B"/>
    <w:rsid w:val="004069A8"/>
    <w:rsid w:val="004069E3"/>
    <w:rsid w:val="0041046B"/>
    <w:rsid w:val="0041051C"/>
    <w:rsid w:val="004107F7"/>
    <w:rsid w:val="00411532"/>
    <w:rsid w:val="00411DCB"/>
    <w:rsid w:val="004135A0"/>
    <w:rsid w:val="0041373E"/>
    <w:rsid w:val="00413882"/>
    <w:rsid w:val="00413C45"/>
    <w:rsid w:val="0041425D"/>
    <w:rsid w:val="00414301"/>
    <w:rsid w:val="0041446F"/>
    <w:rsid w:val="00414763"/>
    <w:rsid w:val="00414782"/>
    <w:rsid w:val="004147C6"/>
    <w:rsid w:val="00415B94"/>
    <w:rsid w:val="00416DD7"/>
    <w:rsid w:val="00416E0E"/>
    <w:rsid w:val="0041734A"/>
    <w:rsid w:val="0042075F"/>
    <w:rsid w:val="00421008"/>
    <w:rsid w:val="004230B8"/>
    <w:rsid w:val="0042546E"/>
    <w:rsid w:val="004274D6"/>
    <w:rsid w:val="00427B4D"/>
    <w:rsid w:val="004300E2"/>
    <w:rsid w:val="004301EA"/>
    <w:rsid w:val="00430658"/>
    <w:rsid w:val="004307A9"/>
    <w:rsid w:val="004307F8"/>
    <w:rsid w:val="004318AE"/>
    <w:rsid w:val="0043330F"/>
    <w:rsid w:val="00435957"/>
    <w:rsid w:val="0043601D"/>
    <w:rsid w:val="00436CB7"/>
    <w:rsid w:val="004376E4"/>
    <w:rsid w:val="00441CBD"/>
    <w:rsid w:val="00441E1C"/>
    <w:rsid w:val="0044214D"/>
    <w:rsid w:val="00443349"/>
    <w:rsid w:val="00443C52"/>
    <w:rsid w:val="00443F01"/>
    <w:rsid w:val="00445526"/>
    <w:rsid w:val="00445FC2"/>
    <w:rsid w:val="00446FB6"/>
    <w:rsid w:val="004471F5"/>
    <w:rsid w:val="0045041B"/>
    <w:rsid w:val="0045086D"/>
    <w:rsid w:val="00451351"/>
    <w:rsid w:val="004517A9"/>
    <w:rsid w:val="00452F6E"/>
    <w:rsid w:val="00454130"/>
    <w:rsid w:val="00454AB0"/>
    <w:rsid w:val="00454D40"/>
    <w:rsid w:val="00455C2A"/>
    <w:rsid w:val="00455DE4"/>
    <w:rsid w:val="004566EC"/>
    <w:rsid w:val="00457486"/>
    <w:rsid w:val="00457ABD"/>
    <w:rsid w:val="0046008A"/>
    <w:rsid w:val="004607CE"/>
    <w:rsid w:val="00460B84"/>
    <w:rsid w:val="00463AF3"/>
    <w:rsid w:val="00463FAE"/>
    <w:rsid w:val="0046607C"/>
    <w:rsid w:val="00466913"/>
    <w:rsid w:val="0046735A"/>
    <w:rsid w:val="004676C5"/>
    <w:rsid w:val="00467879"/>
    <w:rsid w:val="00467EBA"/>
    <w:rsid w:val="0047003E"/>
    <w:rsid w:val="0047098F"/>
    <w:rsid w:val="00471103"/>
    <w:rsid w:val="0047120C"/>
    <w:rsid w:val="00472461"/>
    <w:rsid w:val="00473CBB"/>
    <w:rsid w:val="004753DC"/>
    <w:rsid w:val="00476508"/>
    <w:rsid w:val="00476C10"/>
    <w:rsid w:val="00477494"/>
    <w:rsid w:val="0048072E"/>
    <w:rsid w:val="0048074F"/>
    <w:rsid w:val="00480F2D"/>
    <w:rsid w:val="004835FE"/>
    <w:rsid w:val="00483FFC"/>
    <w:rsid w:val="004842DD"/>
    <w:rsid w:val="00484B5D"/>
    <w:rsid w:val="004850A1"/>
    <w:rsid w:val="0048572F"/>
    <w:rsid w:val="00485AA7"/>
    <w:rsid w:val="00485E3F"/>
    <w:rsid w:val="0048668B"/>
    <w:rsid w:val="00487061"/>
    <w:rsid w:val="00490216"/>
    <w:rsid w:val="00491B97"/>
    <w:rsid w:val="004920BB"/>
    <w:rsid w:val="00493107"/>
    <w:rsid w:val="004940BE"/>
    <w:rsid w:val="0049441F"/>
    <w:rsid w:val="004944B7"/>
    <w:rsid w:val="004948B0"/>
    <w:rsid w:val="00494F4C"/>
    <w:rsid w:val="004959E7"/>
    <w:rsid w:val="00496E18"/>
    <w:rsid w:val="00496F22"/>
    <w:rsid w:val="004973A0"/>
    <w:rsid w:val="00497767"/>
    <w:rsid w:val="004A03C6"/>
    <w:rsid w:val="004A0951"/>
    <w:rsid w:val="004A0F29"/>
    <w:rsid w:val="004A1265"/>
    <w:rsid w:val="004A15DF"/>
    <w:rsid w:val="004A20E0"/>
    <w:rsid w:val="004A379A"/>
    <w:rsid w:val="004A45F5"/>
    <w:rsid w:val="004A4720"/>
    <w:rsid w:val="004A4E04"/>
    <w:rsid w:val="004A5005"/>
    <w:rsid w:val="004A5BB9"/>
    <w:rsid w:val="004A78BD"/>
    <w:rsid w:val="004A78EA"/>
    <w:rsid w:val="004B0AE5"/>
    <w:rsid w:val="004B10E8"/>
    <w:rsid w:val="004B20A2"/>
    <w:rsid w:val="004B294D"/>
    <w:rsid w:val="004B5D7F"/>
    <w:rsid w:val="004B610D"/>
    <w:rsid w:val="004B67F7"/>
    <w:rsid w:val="004B689F"/>
    <w:rsid w:val="004B781E"/>
    <w:rsid w:val="004C07F0"/>
    <w:rsid w:val="004C0B1F"/>
    <w:rsid w:val="004C14CC"/>
    <w:rsid w:val="004C156A"/>
    <w:rsid w:val="004C238B"/>
    <w:rsid w:val="004C243D"/>
    <w:rsid w:val="004C2C39"/>
    <w:rsid w:val="004C2CBA"/>
    <w:rsid w:val="004C57BA"/>
    <w:rsid w:val="004C5C8F"/>
    <w:rsid w:val="004C60D3"/>
    <w:rsid w:val="004C63BB"/>
    <w:rsid w:val="004C6ABB"/>
    <w:rsid w:val="004C6B2D"/>
    <w:rsid w:val="004C6CB6"/>
    <w:rsid w:val="004D0CB3"/>
    <w:rsid w:val="004D1987"/>
    <w:rsid w:val="004D1E57"/>
    <w:rsid w:val="004D22CE"/>
    <w:rsid w:val="004D2C93"/>
    <w:rsid w:val="004D2CD2"/>
    <w:rsid w:val="004D3881"/>
    <w:rsid w:val="004D4582"/>
    <w:rsid w:val="004D459A"/>
    <w:rsid w:val="004D4C82"/>
    <w:rsid w:val="004D5AE0"/>
    <w:rsid w:val="004D606E"/>
    <w:rsid w:val="004E0058"/>
    <w:rsid w:val="004E1B91"/>
    <w:rsid w:val="004E22BB"/>
    <w:rsid w:val="004E25F0"/>
    <w:rsid w:val="004E3E30"/>
    <w:rsid w:val="004E52E3"/>
    <w:rsid w:val="004E53B5"/>
    <w:rsid w:val="004E5FBC"/>
    <w:rsid w:val="004E6276"/>
    <w:rsid w:val="004E65A2"/>
    <w:rsid w:val="004E6C45"/>
    <w:rsid w:val="004F09FB"/>
    <w:rsid w:val="004F1039"/>
    <w:rsid w:val="004F13DB"/>
    <w:rsid w:val="004F1D88"/>
    <w:rsid w:val="004F2AE5"/>
    <w:rsid w:val="004F2B7E"/>
    <w:rsid w:val="004F4DBF"/>
    <w:rsid w:val="004F4F27"/>
    <w:rsid w:val="004F5DF0"/>
    <w:rsid w:val="004F5E8E"/>
    <w:rsid w:val="004F6640"/>
    <w:rsid w:val="00500344"/>
    <w:rsid w:val="00500AEB"/>
    <w:rsid w:val="00502824"/>
    <w:rsid w:val="00502EDD"/>
    <w:rsid w:val="0050397F"/>
    <w:rsid w:val="00503998"/>
    <w:rsid w:val="00504025"/>
    <w:rsid w:val="00505614"/>
    <w:rsid w:val="00505F4A"/>
    <w:rsid w:val="00506085"/>
    <w:rsid w:val="005072CC"/>
    <w:rsid w:val="005104CF"/>
    <w:rsid w:val="005118A7"/>
    <w:rsid w:val="00511CA5"/>
    <w:rsid w:val="00511EA7"/>
    <w:rsid w:val="00512276"/>
    <w:rsid w:val="0051278A"/>
    <w:rsid w:val="00515073"/>
    <w:rsid w:val="00516429"/>
    <w:rsid w:val="00516E87"/>
    <w:rsid w:val="00516FD7"/>
    <w:rsid w:val="00517874"/>
    <w:rsid w:val="00517931"/>
    <w:rsid w:val="00521B4D"/>
    <w:rsid w:val="005229D5"/>
    <w:rsid w:val="00522E57"/>
    <w:rsid w:val="00523056"/>
    <w:rsid w:val="00523C89"/>
    <w:rsid w:val="005241A4"/>
    <w:rsid w:val="0052477D"/>
    <w:rsid w:val="005250B3"/>
    <w:rsid w:val="00525622"/>
    <w:rsid w:val="005258EB"/>
    <w:rsid w:val="005266C5"/>
    <w:rsid w:val="00526B29"/>
    <w:rsid w:val="005272F9"/>
    <w:rsid w:val="005278BE"/>
    <w:rsid w:val="00527B4A"/>
    <w:rsid w:val="00527EE3"/>
    <w:rsid w:val="00531017"/>
    <w:rsid w:val="005320D3"/>
    <w:rsid w:val="0053254C"/>
    <w:rsid w:val="00533822"/>
    <w:rsid w:val="00533CDB"/>
    <w:rsid w:val="00535069"/>
    <w:rsid w:val="0053514B"/>
    <w:rsid w:val="005357F2"/>
    <w:rsid w:val="00540D62"/>
    <w:rsid w:val="005413C1"/>
    <w:rsid w:val="00544AEE"/>
    <w:rsid w:val="00544F92"/>
    <w:rsid w:val="00545161"/>
    <w:rsid w:val="005461F4"/>
    <w:rsid w:val="00546E9F"/>
    <w:rsid w:val="00547D47"/>
    <w:rsid w:val="005513C4"/>
    <w:rsid w:val="00551790"/>
    <w:rsid w:val="00552078"/>
    <w:rsid w:val="00552084"/>
    <w:rsid w:val="0055324E"/>
    <w:rsid w:val="00553BD8"/>
    <w:rsid w:val="00553C95"/>
    <w:rsid w:val="00554200"/>
    <w:rsid w:val="005549EC"/>
    <w:rsid w:val="00555429"/>
    <w:rsid w:val="00557576"/>
    <w:rsid w:val="00557873"/>
    <w:rsid w:val="00560E70"/>
    <w:rsid w:val="005614C8"/>
    <w:rsid w:val="005615AF"/>
    <w:rsid w:val="0056175E"/>
    <w:rsid w:val="005618CD"/>
    <w:rsid w:val="00561D62"/>
    <w:rsid w:val="00561FFC"/>
    <w:rsid w:val="00562DDE"/>
    <w:rsid w:val="00563711"/>
    <w:rsid w:val="0056448A"/>
    <w:rsid w:val="00565231"/>
    <w:rsid w:val="00566E37"/>
    <w:rsid w:val="00567202"/>
    <w:rsid w:val="00567545"/>
    <w:rsid w:val="005676BE"/>
    <w:rsid w:val="00567A76"/>
    <w:rsid w:val="0057020D"/>
    <w:rsid w:val="005707E3"/>
    <w:rsid w:val="00571DE7"/>
    <w:rsid w:val="00572018"/>
    <w:rsid w:val="005729B1"/>
    <w:rsid w:val="00573D0C"/>
    <w:rsid w:val="00573F3A"/>
    <w:rsid w:val="00574202"/>
    <w:rsid w:val="005742AB"/>
    <w:rsid w:val="0057590E"/>
    <w:rsid w:val="00575D46"/>
    <w:rsid w:val="00575E3C"/>
    <w:rsid w:val="0058029D"/>
    <w:rsid w:val="005806B4"/>
    <w:rsid w:val="005807D4"/>
    <w:rsid w:val="00580AB6"/>
    <w:rsid w:val="005815A4"/>
    <w:rsid w:val="00581ED5"/>
    <w:rsid w:val="005820D4"/>
    <w:rsid w:val="005834A6"/>
    <w:rsid w:val="005843A3"/>
    <w:rsid w:val="00586644"/>
    <w:rsid w:val="00586E9C"/>
    <w:rsid w:val="00587801"/>
    <w:rsid w:val="00590421"/>
    <w:rsid w:val="005917F4"/>
    <w:rsid w:val="00591B43"/>
    <w:rsid w:val="005937B2"/>
    <w:rsid w:val="00593CB1"/>
    <w:rsid w:val="005946DF"/>
    <w:rsid w:val="005950CE"/>
    <w:rsid w:val="0059692E"/>
    <w:rsid w:val="005973A4"/>
    <w:rsid w:val="005A0889"/>
    <w:rsid w:val="005A24A8"/>
    <w:rsid w:val="005A351B"/>
    <w:rsid w:val="005A3EEA"/>
    <w:rsid w:val="005A4BE3"/>
    <w:rsid w:val="005A4C7F"/>
    <w:rsid w:val="005A5471"/>
    <w:rsid w:val="005A69BA"/>
    <w:rsid w:val="005A731D"/>
    <w:rsid w:val="005A790E"/>
    <w:rsid w:val="005A7A3A"/>
    <w:rsid w:val="005A7BCF"/>
    <w:rsid w:val="005B009C"/>
    <w:rsid w:val="005B1778"/>
    <w:rsid w:val="005B2868"/>
    <w:rsid w:val="005B3408"/>
    <w:rsid w:val="005B3A6C"/>
    <w:rsid w:val="005B3DD2"/>
    <w:rsid w:val="005B58A2"/>
    <w:rsid w:val="005B6B7C"/>
    <w:rsid w:val="005B72A0"/>
    <w:rsid w:val="005B79A1"/>
    <w:rsid w:val="005C14FF"/>
    <w:rsid w:val="005C1616"/>
    <w:rsid w:val="005C1DD8"/>
    <w:rsid w:val="005C28FF"/>
    <w:rsid w:val="005C2E05"/>
    <w:rsid w:val="005C2E11"/>
    <w:rsid w:val="005C2F4D"/>
    <w:rsid w:val="005C39DE"/>
    <w:rsid w:val="005C411B"/>
    <w:rsid w:val="005C4DF2"/>
    <w:rsid w:val="005C5223"/>
    <w:rsid w:val="005C5521"/>
    <w:rsid w:val="005C5A52"/>
    <w:rsid w:val="005C5D15"/>
    <w:rsid w:val="005C7709"/>
    <w:rsid w:val="005C7860"/>
    <w:rsid w:val="005D0B3A"/>
    <w:rsid w:val="005D0CA3"/>
    <w:rsid w:val="005D12A8"/>
    <w:rsid w:val="005D21EB"/>
    <w:rsid w:val="005D2469"/>
    <w:rsid w:val="005D2773"/>
    <w:rsid w:val="005D3411"/>
    <w:rsid w:val="005D3F3B"/>
    <w:rsid w:val="005D45F8"/>
    <w:rsid w:val="005D4877"/>
    <w:rsid w:val="005D4D81"/>
    <w:rsid w:val="005D5292"/>
    <w:rsid w:val="005D68ED"/>
    <w:rsid w:val="005D7353"/>
    <w:rsid w:val="005E0771"/>
    <w:rsid w:val="005E166C"/>
    <w:rsid w:val="005E2839"/>
    <w:rsid w:val="005E2E52"/>
    <w:rsid w:val="005E2E84"/>
    <w:rsid w:val="005E7554"/>
    <w:rsid w:val="005E7AEC"/>
    <w:rsid w:val="005E7F33"/>
    <w:rsid w:val="005E7F6B"/>
    <w:rsid w:val="005E7FAB"/>
    <w:rsid w:val="005F095F"/>
    <w:rsid w:val="005F0A9E"/>
    <w:rsid w:val="005F0C54"/>
    <w:rsid w:val="005F1AE4"/>
    <w:rsid w:val="005F1F72"/>
    <w:rsid w:val="005F2B9A"/>
    <w:rsid w:val="005F37C0"/>
    <w:rsid w:val="005F3B15"/>
    <w:rsid w:val="005F507C"/>
    <w:rsid w:val="005F5115"/>
    <w:rsid w:val="005F53C7"/>
    <w:rsid w:val="005F68A7"/>
    <w:rsid w:val="005F6CCD"/>
    <w:rsid w:val="005F6FE2"/>
    <w:rsid w:val="005F72C4"/>
    <w:rsid w:val="0060044F"/>
    <w:rsid w:val="00601169"/>
    <w:rsid w:val="00601E3D"/>
    <w:rsid w:val="0060239D"/>
    <w:rsid w:val="006034BC"/>
    <w:rsid w:val="00604358"/>
    <w:rsid w:val="00604CBE"/>
    <w:rsid w:val="00604F81"/>
    <w:rsid w:val="00604F9D"/>
    <w:rsid w:val="00605F3D"/>
    <w:rsid w:val="00606D62"/>
    <w:rsid w:val="00606DC7"/>
    <w:rsid w:val="00606F23"/>
    <w:rsid w:val="006076ED"/>
    <w:rsid w:val="0061110D"/>
    <w:rsid w:val="00613DD5"/>
    <w:rsid w:val="00614C70"/>
    <w:rsid w:val="00614DD9"/>
    <w:rsid w:val="00615669"/>
    <w:rsid w:val="0061572A"/>
    <w:rsid w:val="00615A4D"/>
    <w:rsid w:val="00615A88"/>
    <w:rsid w:val="006169FA"/>
    <w:rsid w:val="0061710B"/>
    <w:rsid w:val="0062093F"/>
    <w:rsid w:val="006214BB"/>
    <w:rsid w:val="00621BF0"/>
    <w:rsid w:val="00621F30"/>
    <w:rsid w:val="00622890"/>
    <w:rsid w:val="006230B3"/>
    <w:rsid w:val="0062598B"/>
    <w:rsid w:val="00626058"/>
    <w:rsid w:val="00626BAF"/>
    <w:rsid w:val="006274B5"/>
    <w:rsid w:val="0062778E"/>
    <w:rsid w:val="00627960"/>
    <w:rsid w:val="006300B6"/>
    <w:rsid w:val="00630971"/>
    <w:rsid w:val="00630E28"/>
    <w:rsid w:val="00631D93"/>
    <w:rsid w:val="00634B85"/>
    <w:rsid w:val="0064130B"/>
    <w:rsid w:val="00641644"/>
    <w:rsid w:val="00642D10"/>
    <w:rsid w:val="00643844"/>
    <w:rsid w:val="0064410A"/>
    <w:rsid w:val="006442FA"/>
    <w:rsid w:val="006444E6"/>
    <w:rsid w:val="0064469E"/>
    <w:rsid w:val="00645F16"/>
    <w:rsid w:val="00646C99"/>
    <w:rsid w:val="006475D3"/>
    <w:rsid w:val="00651AF6"/>
    <w:rsid w:val="00652257"/>
    <w:rsid w:val="006522A8"/>
    <w:rsid w:val="0065303E"/>
    <w:rsid w:val="00654E74"/>
    <w:rsid w:val="006554F5"/>
    <w:rsid w:val="00655E4E"/>
    <w:rsid w:val="00657E9C"/>
    <w:rsid w:val="00660B65"/>
    <w:rsid w:val="00660FC7"/>
    <w:rsid w:val="00661B98"/>
    <w:rsid w:val="00661EF6"/>
    <w:rsid w:val="006624E2"/>
    <w:rsid w:val="00662F28"/>
    <w:rsid w:val="0066395D"/>
    <w:rsid w:val="00664016"/>
    <w:rsid w:val="00664038"/>
    <w:rsid w:val="006643C9"/>
    <w:rsid w:val="0066464C"/>
    <w:rsid w:val="00665361"/>
    <w:rsid w:val="00665D7F"/>
    <w:rsid w:val="00666BA5"/>
    <w:rsid w:val="00666BC5"/>
    <w:rsid w:val="006675E0"/>
    <w:rsid w:val="00667772"/>
    <w:rsid w:val="00667E23"/>
    <w:rsid w:val="0067099D"/>
    <w:rsid w:val="006735B6"/>
    <w:rsid w:val="0067454B"/>
    <w:rsid w:val="006757F3"/>
    <w:rsid w:val="00675957"/>
    <w:rsid w:val="006773AE"/>
    <w:rsid w:val="0067766B"/>
    <w:rsid w:val="0067766C"/>
    <w:rsid w:val="00677C24"/>
    <w:rsid w:val="00681CEC"/>
    <w:rsid w:val="00681EE9"/>
    <w:rsid w:val="00682071"/>
    <w:rsid w:val="0068275C"/>
    <w:rsid w:val="00683140"/>
    <w:rsid w:val="00683255"/>
    <w:rsid w:val="00683536"/>
    <w:rsid w:val="00683EE2"/>
    <w:rsid w:val="006846D8"/>
    <w:rsid w:val="00684F33"/>
    <w:rsid w:val="006855E2"/>
    <w:rsid w:val="006859C9"/>
    <w:rsid w:val="006873E1"/>
    <w:rsid w:val="00690F95"/>
    <w:rsid w:val="006914B8"/>
    <w:rsid w:val="0069217D"/>
    <w:rsid w:val="00693348"/>
    <w:rsid w:val="00694AF2"/>
    <w:rsid w:val="006959FC"/>
    <w:rsid w:val="006968A2"/>
    <w:rsid w:val="0069732E"/>
    <w:rsid w:val="006A102B"/>
    <w:rsid w:val="006A1900"/>
    <w:rsid w:val="006A27B1"/>
    <w:rsid w:val="006A2826"/>
    <w:rsid w:val="006A2895"/>
    <w:rsid w:val="006A289E"/>
    <w:rsid w:val="006A302F"/>
    <w:rsid w:val="006A3360"/>
    <w:rsid w:val="006A3918"/>
    <w:rsid w:val="006A4CE5"/>
    <w:rsid w:val="006A520E"/>
    <w:rsid w:val="006A543A"/>
    <w:rsid w:val="006A5F31"/>
    <w:rsid w:val="006A623E"/>
    <w:rsid w:val="006A6B89"/>
    <w:rsid w:val="006A7305"/>
    <w:rsid w:val="006A7774"/>
    <w:rsid w:val="006B0844"/>
    <w:rsid w:val="006B0B1C"/>
    <w:rsid w:val="006B1066"/>
    <w:rsid w:val="006B1AD0"/>
    <w:rsid w:val="006B3736"/>
    <w:rsid w:val="006B3E4B"/>
    <w:rsid w:val="006B427D"/>
    <w:rsid w:val="006B585E"/>
    <w:rsid w:val="006B610B"/>
    <w:rsid w:val="006B67AA"/>
    <w:rsid w:val="006C1C7A"/>
    <w:rsid w:val="006C1D02"/>
    <w:rsid w:val="006C23C2"/>
    <w:rsid w:val="006C2AFD"/>
    <w:rsid w:val="006C30A1"/>
    <w:rsid w:val="006C3781"/>
    <w:rsid w:val="006C4705"/>
    <w:rsid w:val="006C47F1"/>
    <w:rsid w:val="006C5220"/>
    <w:rsid w:val="006C5727"/>
    <w:rsid w:val="006C5878"/>
    <w:rsid w:val="006C5A2B"/>
    <w:rsid w:val="006C5D75"/>
    <w:rsid w:val="006C5EAF"/>
    <w:rsid w:val="006C69CE"/>
    <w:rsid w:val="006D032A"/>
    <w:rsid w:val="006D0363"/>
    <w:rsid w:val="006D0445"/>
    <w:rsid w:val="006D100B"/>
    <w:rsid w:val="006D1529"/>
    <w:rsid w:val="006D16A5"/>
    <w:rsid w:val="006D1D5C"/>
    <w:rsid w:val="006D305D"/>
    <w:rsid w:val="006D3804"/>
    <w:rsid w:val="006D4521"/>
    <w:rsid w:val="006D47CA"/>
    <w:rsid w:val="006D49D7"/>
    <w:rsid w:val="006D6149"/>
    <w:rsid w:val="006D6489"/>
    <w:rsid w:val="006D69D4"/>
    <w:rsid w:val="006D6DC0"/>
    <w:rsid w:val="006D70BC"/>
    <w:rsid w:val="006D7E30"/>
    <w:rsid w:val="006E0673"/>
    <w:rsid w:val="006E0EEB"/>
    <w:rsid w:val="006E14E2"/>
    <w:rsid w:val="006E1585"/>
    <w:rsid w:val="006E204F"/>
    <w:rsid w:val="006E24BA"/>
    <w:rsid w:val="006E24C5"/>
    <w:rsid w:val="006E2C0F"/>
    <w:rsid w:val="006E3922"/>
    <w:rsid w:val="006E43B9"/>
    <w:rsid w:val="006E4C50"/>
    <w:rsid w:val="006E537C"/>
    <w:rsid w:val="006E5B0E"/>
    <w:rsid w:val="006E5CED"/>
    <w:rsid w:val="006E747F"/>
    <w:rsid w:val="006E7BAC"/>
    <w:rsid w:val="006F04B6"/>
    <w:rsid w:val="006F1197"/>
    <w:rsid w:val="006F13BC"/>
    <w:rsid w:val="006F1B0F"/>
    <w:rsid w:val="006F1CE6"/>
    <w:rsid w:val="006F1F3B"/>
    <w:rsid w:val="006F2DA6"/>
    <w:rsid w:val="006F408A"/>
    <w:rsid w:val="006F43A0"/>
    <w:rsid w:val="006F4E7C"/>
    <w:rsid w:val="006F51AA"/>
    <w:rsid w:val="006F555E"/>
    <w:rsid w:val="007000E8"/>
    <w:rsid w:val="007002C9"/>
    <w:rsid w:val="00700DF8"/>
    <w:rsid w:val="00701E70"/>
    <w:rsid w:val="007022F8"/>
    <w:rsid w:val="00702809"/>
    <w:rsid w:val="0070568D"/>
    <w:rsid w:val="00705975"/>
    <w:rsid w:val="0070705A"/>
    <w:rsid w:val="007074F4"/>
    <w:rsid w:val="00707574"/>
    <w:rsid w:val="007076FA"/>
    <w:rsid w:val="007102E7"/>
    <w:rsid w:val="007109E3"/>
    <w:rsid w:val="00710C8F"/>
    <w:rsid w:val="00710DA2"/>
    <w:rsid w:val="0071237E"/>
    <w:rsid w:val="00712715"/>
    <w:rsid w:val="00712E28"/>
    <w:rsid w:val="007136B2"/>
    <w:rsid w:val="007137B5"/>
    <w:rsid w:val="00714A65"/>
    <w:rsid w:val="00714A74"/>
    <w:rsid w:val="00714EF9"/>
    <w:rsid w:val="007151CD"/>
    <w:rsid w:val="007160B3"/>
    <w:rsid w:val="00717554"/>
    <w:rsid w:val="007207EB"/>
    <w:rsid w:val="00720C51"/>
    <w:rsid w:val="00721973"/>
    <w:rsid w:val="00721B5A"/>
    <w:rsid w:val="00721B9E"/>
    <w:rsid w:val="00722D50"/>
    <w:rsid w:val="00723427"/>
    <w:rsid w:val="00723AA7"/>
    <w:rsid w:val="00723C8E"/>
    <w:rsid w:val="00724526"/>
    <w:rsid w:val="0072499B"/>
    <w:rsid w:val="007250F1"/>
    <w:rsid w:val="007259FB"/>
    <w:rsid w:val="0072788E"/>
    <w:rsid w:val="00727991"/>
    <w:rsid w:val="00727C3D"/>
    <w:rsid w:val="00727ECC"/>
    <w:rsid w:val="00730160"/>
    <w:rsid w:val="00730B9E"/>
    <w:rsid w:val="0073238C"/>
    <w:rsid w:val="00733153"/>
    <w:rsid w:val="0073320A"/>
    <w:rsid w:val="00733629"/>
    <w:rsid w:val="00733BA4"/>
    <w:rsid w:val="00733D91"/>
    <w:rsid w:val="00734363"/>
    <w:rsid w:val="00737F0B"/>
    <w:rsid w:val="00740C68"/>
    <w:rsid w:val="00742C91"/>
    <w:rsid w:val="007431EF"/>
    <w:rsid w:val="00744895"/>
    <w:rsid w:val="00745BB6"/>
    <w:rsid w:val="00745F4A"/>
    <w:rsid w:val="00746151"/>
    <w:rsid w:val="00746330"/>
    <w:rsid w:val="00746A46"/>
    <w:rsid w:val="00747225"/>
    <w:rsid w:val="00747770"/>
    <w:rsid w:val="00747809"/>
    <w:rsid w:val="00750884"/>
    <w:rsid w:val="00750C7B"/>
    <w:rsid w:val="00750D5B"/>
    <w:rsid w:val="00751FED"/>
    <w:rsid w:val="00752BE5"/>
    <w:rsid w:val="00754230"/>
    <w:rsid w:val="00755A64"/>
    <w:rsid w:val="007573B1"/>
    <w:rsid w:val="00757530"/>
    <w:rsid w:val="00757B34"/>
    <w:rsid w:val="00761285"/>
    <w:rsid w:val="0076152D"/>
    <w:rsid w:val="00761937"/>
    <w:rsid w:val="00762117"/>
    <w:rsid w:val="00762BD9"/>
    <w:rsid w:val="007630ED"/>
    <w:rsid w:val="007631D9"/>
    <w:rsid w:val="00764C36"/>
    <w:rsid w:val="00766658"/>
    <w:rsid w:val="0076738B"/>
    <w:rsid w:val="007708CA"/>
    <w:rsid w:val="007716EF"/>
    <w:rsid w:val="00771A1C"/>
    <w:rsid w:val="00771E87"/>
    <w:rsid w:val="00773D4D"/>
    <w:rsid w:val="007742E7"/>
    <w:rsid w:val="007745BA"/>
    <w:rsid w:val="00775757"/>
    <w:rsid w:val="00775BD6"/>
    <w:rsid w:val="00775C52"/>
    <w:rsid w:val="00775E6F"/>
    <w:rsid w:val="00775EB2"/>
    <w:rsid w:val="0078125A"/>
    <w:rsid w:val="00781CBD"/>
    <w:rsid w:val="007820FE"/>
    <w:rsid w:val="00782713"/>
    <w:rsid w:val="0078334F"/>
    <w:rsid w:val="007834BD"/>
    <w:rsid w:val="00783872"/>
    <w:rsid w:val="00783B31"/>
    <w:rsid w:val="007847B2"/>
    <w:rsid w:val="00784ECC"/>
    <w:rsid w:val="00785BC8"/>
    <w:rsid w:val="00786CBD"/>
    <w:rsid w:val="00787E97"/>
    <w:rsid w:val="00790338"/>
    <w:rsid w:val="00790B32"/>
    <w:rsid w:val="00791638"/>
    <w:rsid w:val="00791965"/>
    <w:rsid w:val="007919A3"/>
    <w:rsid w:val="00793C8D"/>
    <w:rsid w:val="00794ADC"/>
    <w:rsid w:val="00795E4C"/>
    <w:rsid w:val="007963B6"/>
    <w:rsid w:val="00797E64"/>
    <w:rsid w:val="007A0858"/>
    <w:rsid w:val="007A3B61"/>
    <w:rsid w:val="007A3F58"/>
    <w:rsid w:val="007A52F7"/>
    <w:rsid w:val="007A5303"/>
    <w:rsid w:val="007A5A26"/>
    <w:rsid w:val="007A5AE6"/>
    <w:rsid w:val="007A5B4D"/>
    <w:rsid w:val="007A6616"/>
    <w:rsid w:val="007A7872"/>
    <w:rsid w:val="007B0BFF"/>
    <w:rsid w:val="007B144F"/>
    <w:rsid w:val="007B1572"/>
    <w:rsid w:val="007B1609"/>
    <w:rsid w:val="007B174D"/>
    <w:rsid w:val="007B196D"/>
    <w:rsid w:val="007B1B49"/>
    <w:rsid w:val="007B2C85"/>
    <w:rsid w:val="007B2D68"/>
    <w:rsid w:val="007B359A"/>
    <w:rsid w:val="007B3D2E"/>
    <w:rsid w:val="007B44C3"/>
    <w:rsid w:val="007B6DCD"/>
    <w:rsid w:val="007B6E31"/>
    <w:rsid w:val="007B6FA3"/>
    <w:rsid w:val="007B701E"/>
    <w:rsid w:val="007B7D71"/>
    <w:rsid w:val="007B7FD4"/>
    <w:rsid w:val="007C0417"/>
    <w:rsid w:val="007C090B"/>
    <w:rsid w:val="007C1377"/>
    <w:rsid w:val="007C1FB2"/>
    <w:rsid w:val="007C28C5"/>
    <w:rsid w:val="007C2A0A"/>
    <w:rsid w:val="007C2AFA"/>
    <w:rsid w:val="007C4153"/>
    <w:rsid w:val="007C4D59"/>
    <w:rsid w:val="007C51EA"/>
    <w:rsid w:val="007C57F4"/>
    <w:rsid w:val="007C790C"/>
    <w:rsid w:val="007C7BE0"/>
    <w:rsid w:val="007C7DBB"/>
    <w:rsid w:val="007D075B"/>
    <w:rsid w:val="007D0C0A"/>
    <w:rsid w:val="007D2B94"/>
    <w:rsid w:val="007D36BA"/>
    <w:rsid w:val="007D4D07"/>
    <w:rsid w:val="007D59BC"/>
    <w:rsid w:val="007D7735"/>
    <w:rsid w:val="007D793C"/>
    <w:rsid w:val="007D7F0F"/>
    <w:rsid w:val="007E1010"/>
    <w:rsid w:val="007E162B"/>
    <w:rsid w:val="007E1B2C"/>
    <w:rsid w:val="007E26D7"/>
    <w:rsid w:val="007E3723"/>
    <w:rsid w:val="007E38CF"/>
    <w:rsid w:val="007E3990"/>
    <w:rsid w:val="007E3C84"/>
    <w:rsid w:val="007E46DB"/>
    <w:rsid w:val="007E4B36"/>
    <w:rsid w:val="007E5520"/>
    <w:rsid w:val="007E583C"/>
    <w:rsid w:val="007E5ADB"/>
    <w:rsid w:val="007E6145"/>
    <w:rsid w:val="007E7B0D"/>
    <w:rsid w:val="007F1687"/>
    <w:rsid w:val="007F1EDF"/>
    <w:rsid w:val="007F4694"/>
    <w:rsid w:val="007F4AB0"/>
    <w:rsid w:val="007F5CE1"/>
    <w:rsid w:val="007F5E1F"/>
    <w:rsid w:val="007F7CE5"/>
    <w:rsid w:val="0080071F"/>
    <w:rsid w:val="00800ADD"/>
    <w:rsid w:val="00800C0A"/>
    <w:rsid w:val="00800C9C"/>
    <w:rsid w:val="008013CB"/>
    <w:rsid w:val="00801554"/>
    <w:rsid w:val="00801E6D"/>
    <w:rsid w:val="00803B87"/>
    <w:rsid w:val="008043C2"/>
    <w:rsid w:val="00804875"/>
    <w:rsid w:val="00805134"/>
    <w:rsid w:val="00805CE6"/>
    <w:rsid w:val="00806F05"/>
    <w:rsid w:val="008070D3"/>
    <w:rsid w:val="00810CC6"/>
    <w:rsid w:val="008121C0"/>
    <w:rsid w:val="008126D6"/>
    <w:rsid w:val="008129DD"/>
    <w:rsid w:val="00812B47"/>
    <w:rsid w:val="0081545B"/>
    <w:rsid w:val="00815975"/>
    <w:rsid w:val="00815CBE"/>
    <w:rsid w:val="008160AF"/>
    <w:rsid w:val="008161BF"/>
    <w:rsid w:val="00816A37"/>
    <w:rsid w:val="00816EF9"/>
    <w:rsid w:val="008223A1"/>
    <w:rsid w:val="00822582"/>
    <w:rsid w:val="00823B93"/>
    <w:rsid w:val="00823F63"/>
    <w:rsid w:val="00825B14"/>
    <w:rsid w:val="008272C3"/>
    <w:rsid w:val="008273D9"/>
    <w:rsid w:val="0082759C"/>
    <w:rsid w:val="00830E91"/>
    <w:rsid w:val="00833A5E"/>
    <w:rsid w:val="00834F00"/>
    <w:rsid w:val="00836147"/>
    <w:rsid w:val="00837F1C"/>
    <w:rsid w:val="00840070"/>
    <w:rsid w:val="0084115F"/>
    <w:rsid w:val="0084127F"/>
    <w:rsid w:val="0084375F"/>
    <w:rsid w:val="00843BAD"/>
    <w:rsid w:val="00844D7D"/>
    <w:rsid w:val="0084511E"/>
    <w:rsid w:val="00845637"/>
    <w:rsid w:val="008458B1"/>
    <w:rsid w:val="008459CB"/>
    <w:rsid w:val="00845B01"/>
    <w:rsid w:val="00846362"/>
    <w:rsid w:val="008472B3"/>
    <w:rsid w:val="0085117A"/>
    <w:rsid w:val="00851B62"/>
    <w:rsid w:val="0085391C"/>
    <w:rsid w:val="008539F7"/>
    <w:rsid w:val="00853CE8"/>
    <w:rsid w:val="00853ED4"/>
    <w:rsid w:val="0085420E"/>
    <w:rsid w:val="00854447"/>
    <w:rsid w:val="00855368"/>
    <w:rsid w:val="00856444"/>
    <w:rsid w:val="008566B3"/>
    <w:rsid w:val="00856A69"/>
    <w:rsid w:val="00856BDD"/>
    <w:rsid w:val="00857E2D"/>
    <w:rsid w:val="0086005B"/>
    <w:rsid w:val="008607F3"/>
    <w:rsid w:val="00860B5A"/>
    <w:rsid w:val="008619B5"/>
    <w:rsid w:val="00861E02"/>
    <w:rsid w:val="00862FA3"/>
    <w:rsid w:val="00862FF6"/>
    <w:rsid w:val="00863300"/>
    <w:rsid w:val="008638E8"/>
    <w:rsid w:val="00863CF1"/>
    <w:rsid w:val="008649D7"/>
    <w:rsid w:val="0086504B"/>
    <w:rsid w:val="00865BFB"/>
    <w:rsid w:val="008663CC"/>
    <w:rsid w:val="00867C4D"/>
    <w:rsid w:val="00870091"/>
    <w:rsid w:val="00870271"/>
    <w:rsid w:val="0087437A"/>
    <w:rsid w:val="0087598E"/>
    <w:rsid w:val="00875E8E"/>
    <w:rsid w:val="008776F9"/>
    <w:rsid w:val="00880222"/>
    <w:rsid w:val="00881EF2"/>
    <w:rsid w:val="00881FC0"/>
    <w:rsid w:val="00882386"/>
    <w:rsid w:val="00882825"/>
    <w:rsid w:val="008837F7"/>
    <w:rsid w:val="00883B4E"/>
    <w:rsid w:val="0088491C"/>
    <w:rsid w:val="00884FCF"/>
    <w:rsid w:val="00885B84"/>
    <w:rsid w:val="00885CF0"/>
    <w:rsid w:val="0088742D"/>
    <w:rsid w:val="00887BBD"/>
    <w:rsid w:val="0089090D"/>
    <w:rsid w:val="00891D34"/>
    <w:rsid w:val="00891E97"/>
    <w:rsid w:val="008920B8"/>
    <w:rsid w:val="008920E9"/>
    <w:rsid w:val="00892710"/>
    <w:rsid w:val="008935A8"/>
    <w:rsid w:val="00893AE1"/>
    <w:rsid w:val="00893EA2"/>
    <w:rsid w:val="00893EF8"/>
    <w:rsid w:val="0089488C"/>
    <w:rsid w:val="00895F93"/>
    <w:rsid w:val="00896475"/>
    <w:rsid w:val="00896D7B"/>
    <w:rsid w:val="00897147"/>
    <w:rsid w:val="00897613"/>
    <w:rsid w:val="0089791F"/>
    <w:rsid w:val="008A07E9"/>
    <w:rsid w:val="008A07F5"/>
    <w:rsid w:val="008A10AF"/>
    <w:rsid w:val="008A1A51"/>
    <w:rsid w:val="008A2071"/>
    <w:rsid w:val="008A214E"/>
    <w:rsid w:val="008A318C"/>
    <w:rsid w:val="008A47CA"/>
    <w:rsid w:val="008A5219"/>
    <w:rsid w:val="008A5259"/>
    <w:rsid w:val="008A5457"/>
    <w:rsid w:val="008A5B1B"/>
    <w:rsid w:val="008A5EB2"/>
    <w:rsid w:val="008A65DB"/>
    <w:rsid w:val="008A70D9"/>
    <w:rsid w:val="008A7E77"/>
    <w:rsid w:val="008B0078"/>
    <w:rsid w:val="008B0457"/>
    <w:rsid w:val="008B06C3"/>
    <w:rsid w:val="008B0FDF"/>
    <w:rsid w:val="008B145D"/>
    <w:rsid w:val="008B1677"/>
    <w:rsid w:val="008B1798"/>
    <w:rsid w:val="008B229D"/>
    <w:rsid w:val="008B2A7E"/>
    <w:rsid w:val="008B3E37"/>
    <w:rsid w:val="008B4A41"/>
    <w:rsid w:val="008B52AF"/>
    <w:rsid w:val="008B5983"/>
    <w:rsid w:val="008B61F9"/>
    <w:rsid w:val="008B6754"/>
    <w:rsid w:val="008B6AC2"/>
    <w:rsid w:val="008B7B03"/>
    <w:rsid w:val="008B7E54"/>
    <w:rsid w:val="008B7FC6"/>
    <w:rsid w:val="008C0234"/>
    <w:rsid w:val="008C0DC2"/>
    <w:rsid w:val="008C2D64"/>
    <w:rsid w:val="008C305C"/>
    <w:rsid w:val="008C3F6D"/>
    <w:rsid w:val="008C4585"/>
    <w:rsid w:val="008C5611"/>
    <w:rsid w:val="008C5C14"/>
    <w:rsid w:val="008C5D83"/>
    <w:rsid w:val="008C65A7"/>
    <w:rsid w:val="008C6A69"/>
    <w:rsid w:val="008D077B"/>
    <w:rsid w:val="008D0C97"/>
    <w:rsid w:val="008D11D7"/>
    <w:rsid w:val="008D157C"/>
    <w:rsid w:val="008D1E0B"/>
    <w:rsid w:val="008D24B3"/>
    <w:rsid w:val="008D268F"/>
    <w:rsid w:val="008D29BC"/>
    <w:rsid w:val="008D3E39"/>
    <w:rsid w:val="008D44D6"/>
    <w:rsid w:val="008D4A8C"/>
    <w:rsid w:val="008D6166"/>
    <w:rsid w:val="008D702A"/>
    <w:rsid w:val="008D7CCC"/>
    <w:rsid w:val="008E0533"/>
    <w:rsid w:val="008E168A"/>
    <w:rsid w:val="008E2C3C"/>
    <w:rsid w:val="008E2D34"/>
    <w:rsid w:val="008E3881"/>
    <w:rsid w:val="008E3B14"/>
    <w:rsid w:val="008E3BAF"/>
    <w:rsid w:val="008E3E01"/>
    <w:rsid w:val="008E4567"/>
    <w:rsid w:val="008E4A2F"/>
    <w:rsid w:val="008E5045"/>
    <w:rsid w:val="008E5605"/>
    <w:rsid w:val="008E5BD0"/>
    <w:rsid w:val="008E77B6"/>
    <w:rsid w:val="008F0592"/>
    <w:rsid w:val="008F09AD"/>
    <w:rsid w:val="008F1629"/>
    <w:rsid w:val="008F3C33"/>
    <w:rsid w:val="008F570D"/>
    <w:rsid w:val="008F58D7"/>
    <w:rsid w:val="008F6F71"/>
    <w:rsid w:val="008F7021"/>
    <w:rsid w:val="008F7926"/>
    <w:rsid w:val="0090144B"/>
    <w:rsid w:val="00903F88"/>
    <w:rsid w:val="009043D0"/>
    <w:rsid w:val="00905E45"/>
    <w:rsid w:val="00905E5D"/>
    <w:rsid w:val="009062AD"/>
    <w:rsid w:val="00906B70"/>
    <w:rsid w:val="00907923"/>
    <w:rsid w:val="00912368"/>
    <w:rsid w:val="00912A9E"/>
    <w:rsid w:val="00912E86"/>
    <w:rsid w:val="009143C5"/>
    <w:rsid w:val="00914485"/>
    <w:rsid w:val="009156D2"/>
    <w:rsid w:val="009159EC"/>
    <w:rsid w:val="00915F77"/>
    <w:rsid w:val="00915FBB"/>
    <w:rsid w:val="009164D8"/>
    <w:rsid w:val="00916C12"/>
    <w:rsid w:val="009177AB"/>
    <w:rsid w:val="009206C2"/>
    <w:rsid w:val="00921870"/>
    <w:rsid w:val="00922552"/>
    <w:rsid w:val="0092261D"/>
    <w:rsid w:val="009229BA"/>
    <w:rsid w:val="00923318"/>
    <w:rsid w:val="00924392"/>
    <w:rsid w:val="00924573"/>
    <w:rsid w:val="00925461"/>
    <w:rsid w:val="009265E9"/>
    <w:rsid w:val="00930242"/>
    <w:rsid w:val="0093099B"/>
    <w:rsid w:val="0093282A"/>
    <w:rsid w:val="00932F7A"/>
    <w:rsid w:val="00933C92"/>
    <w:rsid w:val="00934F51"/>
    <w:rsid w:val="009353F2"/>
    <w:rsid w:val="0093580B"/>
    <w:rsid w:val="009403E7"/>
    <w:rsid w:val="009407B7"/>
    <w:rsid w:val="00941593"/>
    <w:rsid w:val="00941B36"/>
    <w:rsid w:val="009421AC"/>
    <w:rsid w:val="00942374"/>
    <w:rsid w:val="00942A84"/>
    <w:rsid w:val="009433F9"/>
    <w:rsid w:val="00943589"/>
    <w:rsid w:val="009439F7"/>
    <w:rsid w:val="00943A0D"/>
    <w:rsid w:val="00943F62"/>
    <w:rsid w:val="00944B55"/>
    <w:rsid w:val="00944D6E"/>
    <w:rsid w:val="00945AFD"/>
    <w:rsid w:val="00945F5D"/>
    <w:rsid w:val="00946145"/>
    <w:rsid w:val="00946167"/>
    <w:rsid w:val="009471DA"/>
    <w:rsid w:val="00947A72"/>
    <w:rsid w:val="00950B2E"/>
    <w:rsid w:val="009511BA"/>
    <w:rsid w:val="009516ED"/>
    <w:rsid w:val="009520F6"/>
    <w:rsid w:val="00952A7F"/>
    <w:rsid w:val="00952B67"/>
    <w:rsid w:val="00952F46"/>
    <w:rsid w:val="00952FB2"/>
    <w:rsid w:val="00953D9F"/>
    <w:rsid w:val="0095460A"/>
    <w:rsid w:val="00956030"/>
    <w:rsid w:val="0096000A"/>
    <w:rsid w:val="0096028F"/>
    <w:rsid w:val="00960C4D"/>
    <w:rsid w:val="00960DE7"/>
    <w:rsid w:val="009613C9"/>
    <w:rsid w:val="009622D0"/>
    <w:rsid w:val="009623A0"/>
    <w:rsid w:val="009632A1"/>
    <w:rsid w:val="009632EF"/>
    <w:rsid w:val="00964531"/>
    <w:rsid w:val="009657AF"/>
    <w:rsid w:val="0097188C"/>
    <w:rsid w:val="009718CE"/>
    <w:rsid w:val="00971EE2"/>
    <w:rsid w:val="00973167"/>
    <w:rsid w:val="00973B9A"/>
    <w:rsid w:val="00974108"/>
    <w:rsid w:val="009745C8"/>
    <w:rsid w:val="0097492F"/>
    <w:rsid w:val="00974BBB"/>
    <w:rsid w:val="0097657A"/>
    <w:rsid w:val="0098000F"/>
    <w:rsid w:val="009804A2"/>
    <w:rsid w:val="00980B34"/>
    <w:rsid w:val="00981F09"/>
    <w:rsid w:val="009830D1"/>
    <w:rsid w:val="00985366"/>
    <w:rsid w:val="009859D8"/>
    <w:rsid w:val="00985EB5"/>
    <w:rsid w:val="00987440"/>
    <w:rsid w:val="00987791"/>
    <w:rsid w:val="00987B66"/>
    <w:rsid w:val="00991446"/>
    <w:rsid w:val="00992243"/>
    <w:rsid w:val="00992698"/>
    <w:rsid w:val="00993764"/>
    <w:rsid w:val="00993DD3"/>
    <w:rsid w:val="00996F81"/>
    <w:rsid w:val="00997878"/>
    <w:rsid w:val="009A06AB"/>
    <w:rsid w:val="009A0D15"/>
    <w:rsid w:val="009A2D43"/>
    <w:rsid w:val="009A5211"/>
    <w:rsid w:val="009A5394"/>
    <w:rsid w:val="009A53A9"/>
    <w:rsid w:val="009A6807"/>
    <w:rsid w:val="009B00AF"/>
    <w:rsid w:val="009B0503"/>
    <w:rsid w:val="009B0C51"/>
    <w:rsid w:val="009B246B"/>
    <w:rsid w:val="009B3EE1"/>
    <w:rsid w:val="009B44CB"/>
    <w:rsid w:val="009B4B6A"/>
    <w:rsid w:val="009B4BFA"/>
    <w:rsid w:val="009B4DA2"/>
    <w:rsid w:val="009B57E6"/>
    <w:rsid w:val="009C0278"/>
    <w:rsid w:val="009C0653"/>
    <w:rsid w:val="009C0CA9"/>
    <w:rsid w:val="009C0F0F"/>
    <w:rsid w:val="009C2725"/>
    <w:rsid w:val="009C28B5"/>
    <w:rsid w:val="009C2A02"/>
    <w:rsid w:val="009C2B2E"/>
    <w:rsid w:val="009C2F94"/>
    <w:rsid w:val="009C36A3"/>
    <w:rsid w:val="009C4267"/>
    <w:rsid w:val="009C458C"/>
    <w:rsid w:val="009C45E7"/>
    <w:rsid w:val="009C4AFD"/>
    <w:rsid w:val="009C5452"/>
    <w:rsid w:val="009C5580"/>
    <w:rsid w:val="009C5976"/>
    <w:rsid w:val="009C63BD"/>
    <w:rsid w:val="009D01AA"/>
    <w:rsid w:val="009D10F1"/>
    <w:rsid w:val="009D19D2"/>
    <w:rsid w:val="009D293C"/>
    <w:rsid w:val="009D369F"/>
    <w:rsid w:val="009D3C43"/>
    <w:rsid w:val="009D4678"/>
    <w:rsid w:val="009D54CA"/>
    <w:rsid w:val="009D5F26"/>
    <w:rsid w:val="009D6776"/>
    <w:rsid w:val="009E01D7"/>
    <w:rsid w:val="009E01EC"/>
    <w:rsid w:val="009E0DEB"/>
    <w:rsid w:val="009E2027"/>
    <w:rsid w:val="009E2236"/>
    <w:rsid w:val="009E2D09"/>
    <w:rsid w:val="009E3503"/>
    <w:rsid w:val="009E364D"/>
    <w:rsid w:val="009E37D8"/>
    <w:rsid w:val="009E3AD1"/>
    <w:rsid w:val="009E3F67"/>
    <w:rsid w:val="009E4FC3"/>
    <w:rsid w:val="009E6174"/>
    <w:rsid w:val="009E6ADB"/>
    <w:rsid w:val="009E790C"/>
    <w:rsid w:val="009E7DAA"/>
    <w:rsid w:val="009F0346"/>
    <w:rsid w:val="009F18EB"/>
    <w:rsid w:val="009F2953"/>
    <w:rsid w:val="009F2D40"/>
    <w:rsid w:val="009F36CD"/>
    <w:rsid w:val="009F5C38"/>
    <w:rsid w:val="009F6822"/>
    <w:rsid w:val="009F68BE"/>
    <w:rsid w:val="009F6CDF"/>
    <w:rsid w:val="009F6D24"/>
    <w:rsid w:val="009F75E9"/>
    <w:rsid w:val="00A0026D"/>
    <w:rsid w:val="00A014A0"/>
    <w:rsid w:val="00A0275B"/>
    <w:rsid w:val="00A04975"/>
    <w:rsid w:val="00A0536B"/>
    <w:rsid w:val="00A05444"/>
    <w:rsid w:val="00A0772C"/>
    <w:rsid w:val="00A11372"/>
    <w:rsid w:val="00A11543"/>
    <w:rsid w:val="00A133AC"/>
    <w:rsid w:val="00A1478D"/>
    <w:rsid w:val="00A149FF"/>
    <w:rsid w:val="00A150B7"/>
    <w:rsid w:val="00A15D91"/>
    <w:rsid w:val="00A15F14"/>
    <w:rsid w:val="00A160B9"/>
    <w:rsid w:val="00A165CA"/>
    <w:rsid w:val="00A2249A"/>
    <w:rsid w:val="00A23521"/>
    <w:rsid w:val="00A23557"/>
    <w:rsid w:val="00A261E5"/>
    <w:rsid w:val="00A268D4"/>
    <w:rsid w:val="00A26D29"/>
    <w:rsid w:val="00A30C11"/>
    <w:rsid w:val="00A31A2B"/>
    <w:rsid w:val="00A34525"/>
    <w:rsid w:val="00A359A6"/>
    <w:rsid w:val="00A35D3B"/>
    <w:rsid w:val="00A3646A"/>
    <w:rsid w:val="00A37082"/>
    <w:rsid w:val="00A377C5"/>
    <w:rsid w:val="00A37D37"/>
    <w:rsid w:val="00A400BF"/>
    <w:rsid w:val="00A4228A"/>
    <w:rsid w:val="00A42D2A"/>
    <w:rsid w:val="00A45E84"/>
    <w:rsid w:val="00A467F4"/>
    <w:rsid w:val="00A46BD8"/>
    <w:rsid w:val="00A47C05"/>
    <w:rsid w:val="00A517FE"/>
    <w:rsid w:val="00A51CF9"/>
    <w:rsid w:val="00A524D7"/>
    <w:rsid w:val="00A53BF8"/>
    <w:rsid w:val="00A54871"/>
    <w:rsid w:val="00A54D5C"/>
    <w:rsid w:val="00A54F42"/>
    <w:rsid w:val="00A55B37"/>
    <w:rsid w:val="00A56049"/>
    <w:rsid w:val="00A5721A"/>
    <w:rsid w:val="00A57F6D"/>
    <w:rsid w:val="00A602E0"/>
    <w:rsid w:val="00A605D2"/>
    <w:rsid w:val="00A60C7D"/>
    <w:rsid w:val="00A61059"/>
    <w:rsid w:val="00A62E77"/>
    <w:rsid w:val="00A6315E"/>
    <w:rsid w:val="00A63250"/>
    <w:rsid w:val="00A63E82"/>
    <w:rsid w:val="00A6475A"/>
    <w:rsid w:val="00A64A79"/>
    <w:rsid w:val="00A64C50"/>
    <w:rsid w:val="00A65F07"/>
    <w:rsid w:val="00A662D3"/>
    <w:rsid w:val="00A6688B"/>
    <w:rsid w:val="00A66B09"/>
    <w:rsid w:val="00A70055"/>
    <w:rsid w:val="00A707CB"/>
    <w:rsid w:val="00A71E25"/>
    <w:rsid w:val="00A72CDB"/>
    <w:rsid w:val="00A74C3F"/>
    <w:rsid w:val="00A76E2A"/>
    <w:rsid w:val="00A776FC"/>
    <w:rsid w:val="00A77BCB"/>
    <w:rsid w:val="00A80647"/>
    <w:rsid w:val="00A8088A"/>
    <w:rsid w:val="00A80993"/>
    <w:rsid w:val="00A81B43"/>
    <w:rsid w:val="00A8344C"/>
    <w:rsid w:val="00A849E9"/>
    <w:rsid w:val="00A84FD2"/>
    <w:rsid w:val="00A85321"/>
    <w:rsid w:val="00A862D1"/>
    <w:rsid w:val="00A86496"/>
    <w:rsid w:val="00A90BE7"/>
    <w:rsid w:val="00A9143F"/>
    <w:rsid w:val="00A9229B"/>
    <w:rsid w:val="00A92C6F"/>
    <w:rsid w:val="00A9376A"/>
    <w:rsid w:val="00A94198"/>
    <w:rsid w:val="00A94565"/>
    <w:rsid w:val="00A97CE9"/>
    <w:rsid w:val="00AA175B"/>
    <w:rsid w:val="00AA212C"/>
    <w:rsid w:val="00AA2468"/>
    <w:rsid w:val="00AA286B"/>
    <w:rsid w:val="00AA3057"/>
    <w:rsid w:val="00AA4737"/>
    <w:rsid w:val="00AA5EA4"/>
    <w:rsid w:val="00AA65C4"/>
    <w:rsid w:val="00AA6E51"/>
    <w:rsid w:val="00AA6ED0"/>
    <w:rsid w:val="00AA6FCE"/>
    <w:rsid w:val="00AB1E2E"/>
    <w:rsid w:val="00AB245D"/>
    <w:rsid w:val="00AB35F7"/>
    <w:rsid w:val="00AB477F"/>
    <w:rsid w:val="00AB5E5D"/>
    <w:rsid w:val="00AB64F7"/>
    <w:rsid w:val="00AB6917"/>
    <w:rsid w:val="00AB7166"/>
    <w:rsid w:val="00AB7BCD"/>
    <w:rsid w:val="00AC0E8E"/>
    <w:rsid w:val="00AC0F3E"/>
    <w:rsid w:val="00AC0F7E"/>
    <w:rsid w:val="00AC1200"/>
    <w:rsid w:val="00AC195D"/>
    <w:rsid w:val="00AC1D54"/>
    <w:rsid w:val="00AC2C07"/>
    <w:rsid w:val="00AC32A1"/>
    <w:rsid w:val="00AC33E9"/>
    <w:rsid w:val="00AC42DB"/>
    <w:rsid w:val="00AC4773"/>
    <w:rsid w:val="00AC4E9C"/>
    <w:rsid w:val="00AC5B9F"/>
    <w:rsid w:val="00AC61AF"/>
    <w:rsid w:val="00AC72AD"/>
    <w:rsid w:val="00AC76E5"/>
    <w:rsid w:val="00AD04F9"/>
    <w:rsid w:val="00AD0557"/>
    <w:rsid w:val="00AD1BA2"/>
    <w:rsid w:val="00AD202A"/>
    <w:rsid w:val="00AD408F"/>
    <w:rsid w:val="00AD498D"/>
    <w:rsid w:val="00AD4A6E"/>
    <w:rsid w:val="00AD5827"/>
    <w:rsid w:val="00AD5E54"/>
    <w:rsid w:val="00AD6ABC"/>
    <w:rsid w:val="00AD6D6A"/>
    <w:rsid w:val="00AD7BEC"/>
    <w:rsid w:val="00AE01C3"/>
    <w:rsid w:val="00AE01D0"/>
    <w:rsid w:val="00AE02C8"/>
    <w:rsid w:val="00AE18CA"/>
    <w:rsid w:val="00AE3FDB"/>
    <w:rsid w:val="00AE5354"/>
    <w:rsid w:val="00AE5860"/>
    <w:rsid w:val="00AE67A0"/>
    <w:rsid w:val="00AE6C68"/>
    <w:rsid w:val="00AE75F3"/>
    <w:rsid w:val="00AE7D8D"/>
    <w:rsid w:val="00AE7F56"/>
    <w:rsid w:val="00AF036F"/>
    <w:rsid w:val="00AF0F84"/>
    <w:rsid w:val="00AF3622"/>
    <w:rsid w:val="00AF4204"/>
    <w:rsid w:val="00AF4D55"/>
    <w:rsid w:val="00AF65F4"/>
    <w:rsid w:val="00AF6933"/>
    <w:rsid w:val="00AF6C72"/>
    <w:rsid w:val="00AF75F8"/>
    <w:rsid w:val="00AF78B3"/>
    <w:rsid w:val="00AF7AF2"/>
    <w:rsid w:val="00AF7FAC"/>
    <w:rsid w:val="00B00930"/>
    <w:rsid w:val="00B01C4F"/>
    <w:rsid w:val="00B0290E"/>
    <w:rsid w:val="00B03022"/>
    <w:rsid w:val="00B03E5E"/>
    <w:rsid w:val="00B0460D"/>
    <w:rsid w:val="00B04BE5"/>
    <w:rsid w:val="00B04C05"/>
    <w:rsid w:val="00B0577A"/>
    <w:rsid w:val="00B06F44"/>
    <w:rsid w:val="00B075DE"/>
    <w:rsid w:val="00B076E4"/>
    <w:rsid w:val="00B07C39"/>
    <w:rsid w:val="00B07E09"/>
    <w:rsid w:val="00B11115"/>
    <w:rsid w:val="00B12368"/>
    <w:rsid w:val="00B12A76"/>
    <w:rsid w:val="00B12F24"/>
    <w:rsid w:val="00B13358"/>
    <w:rsid w:val="00B137C3"/>
    <w:rsid w:val="00B146C0"/>
    <w:rsid w:val="00B15807"/>
    <w:rsid w:val="00B15923"/>
    <w:rsid w:val="00B15E6F"/>
    <w:rsid w:val="00B165D2"/>
    <w:rsid w:val="00B16A98"/>
    <w:rsid w:val="00B1778D"/>
    <w:rsid w:val="00B17975"/>
    <w:rsid w:val="00B17FF0"/>
    <w:rsid w:val="00B211C4"/>
    <w:rsid w:val="00B22179"/>
    <w:rsid w:val="00B22282"/>
    <w:rsid w:val="00B22316"/>
    <w:rsid w:val="00B22535"/>
    <w:rsid w:val="00B22C24"/>
    <w:rsid w:val="00B22E13"/>
    <w:rsid w:val="00B23281"/>
    <w:rsid w:val="00B2385D"/>
    <w:rsid w:val="00B23CA1"/>
    <w:rsid w:val="00B23E4B"/>
    <w:rsid w:val="00B27A64"/>
    <w:rsid w:val="00B307B6"/>
    <w:rsid w:val="00B326EE"/>
    <w:rsid w:val="00B34063"/>
    <w:rsid w:val="00B340AD"/>
    <w:rsid w:val="00B35CC9"/>
    <w:rsid w:val="00B362F6"/>
    <w:rsid w:val="00B36E07"/>
    <w:rsid w:val="00B3753D"/>
    <w:rsid w:val="00B37DA6"/>
    <w:rsid w:val="00B419CF"/>
    <w:rsid w:val="00B41BEA"/>
    <w:rsid w:val="00B41CF3"/>
    <w:rsid w:val="00B43C42"/>
    <w:rsid w:val="00B44522"/>
    <w:rsid w:val="00B46A5C"/>
    <w:rsid w:val="00B47E12"/>
    <w:rsid w:val="00B50787"/>
    <w:rsid w:val="00B50A0C"/>
    <w:rsid w:val="00B50B3C"/>
    <w:rsid w:val="00B5258F"/>
    <w:rsid w:val="00B526CA"/>
    <w:rsid w:val="00B53585"/>
    <w:rsid w:val="00B537E3"/>
    <w:rsid w:val="00B54538"/>
    <w:rsid w:val="00B546D2"/>
    <w:rsid w:val="00B573CF"/>
    <w:rsid w:val="00B57421"/>
    <w:rsid w:val="00B5768E"/>
    <w:rsid w:val="00B57CD6"/>
    <w:rsid w:val="00B6069C"/>
    <w:rsid w:val="00B60881"/>
    <w:rsid w:val="00B60BFE"/>
    <w:rsid w:val="00B6142D"/>
    <w:rsid w:val="00B61895"/>
    <w:rsid w:val="00B621D2"/>
    <w:rsid w:val="00B63DA6"/>
    <w:rsid w:val="00B64A10"/>
    <w:rsid w:val="00B65958"/>
    <w:rsid w:val="00B670E1"/>
    <w:rsid w:val="00B67C68"/>
    <w:rsid w:val="00B72308"/>
    <w:rsid w:val="00B72B96"/>
    <w:rsid w:val="00B72BBF"/>
    <w:rsid w:val="00B744E8"/>
    <w:rsid w:val="00B7593A"/>
    <w:rsid w:val="00B75C9E"/>
    <w:rsid w:val="00B76492"/>
    <w:rsid w:val="00B7673D"/>
    <w:rsid w:val="00B76833"/>
    <w:rsid w:val="00B76A88"/>
    <w:rsid w:val="00B7720F"/>
    <w:rsid w:val="00B776EF"/>
    <w:rsid w:val="00B7799B"/>
    <w:rsid w:val="00B77B23"/>
    <w:rsid w:val="00B80B56"/>
    <w:rsid w:val="00B817A7"/>
    <w:rsid w:val="00B8230B"/>
    <w:rsid w:val="00B82CE7"/>
    <w:rsid w:val="00B83CF5"/>
    <w:rsid w:val="00B83D10"/>
    <w:rsid w:val="00B8544E"/>
    <w:rsid w:val="00B85A30"/>
    <w:rsid w:val="00B85B27"/>
    <w:rsid w:val="00B86695"/>
    <w:rsid w:val="00B9006F"/>
    <w:rsid w:val="00B904EE"/>
    <w:rsid w:val="00B9059D"/>
    <w:rsid w:val="00B90C43"/>
    <w:rsid w:val="00B90E10"/>
    <w:rsid w:val="00B90EB5"/>
    <w:rsid w:val="00B90F0D"/>
    <w:rsid w:val="00B91F81"/>
    <w:rsid w:val="00B9229A"/>
    <w:rsid w:val="00B9287A"/>
    <w:rsid w:val="00B92B5C"/>
    <w:rsid w:val="00B92F68"/>
    <w:rsid w:val="00B93E83"/>
    <w:rsid w:val="00B94099"/>
    <w:rsid w:val="00B9628F"/>
    <w:rsid w:val="00B9629C"/>
    <w:rsid w:val="00B967E9"/>
    <w:rsid w:val="00B9705E"/>
    <w:rsid w:val="00B97252"/>
    <w:rsid w:val="00B97729"/>
    <w:rsid w:val="00B97E0E"/>
    <w:rsid w:val="00BA3D91"/>
    <w:rsid w:val="00BA40A8"/>
    <w:rsid w:val="00BA47A4"/>
    <w:rsid w:val="00BA529D"/>
    <w:rsid w:val="00BA5F7B"/>
    <w:rsid w:val="00BA6D6D"/>
    <w:rsid w:val="00BA7C3C"/>
    <w:rsid w:val="00BA7F12"/>
    <w:rsid w:val="00BB0271"/>
    <w:rsid w:val="00BB0671"/>
    <w:rsid w:val="00BB0DAD"/>
    <w:rsid w:val="00BB0E1E"/>
    <w:rsid w:val="00BB120B"/>
    <w:rsid w:val="00BB18C2"/>
    <w:rsid w:val="00BB2722"/>
    <w:rsid w:val="00BB354C"/>
    <w:rsid w:val="00BB3A32"/>
    <w:rsid w:val="00BB4ABA"/>
    <w:rsid w:val="00BB544F"/>
    <w:rsid w:val="00BB54DE"/>
    <w:rsid w:val="00BB6E15"/>
    <w:rsid w:val="00BB715F"/>
    <w:rsid w:val="00BC00D8"/>
    <w:rsid w:val="00BC08A3"/>
    <w:rsid w:val="00BC1155"/>
    <w:rsid w:val="00BC219D"/>
    <w:rsid w:val="00BC25FB"/>
    <w:rsid w:val="00BC2A3D"/>
    <w:rsid w:val="00BC3F9D"/>
    <w:rsid w:val="00BC4711"/>
    <w:rsid w:val="00BC5A39"/>
    <w:rsid w:val="00BC66B2"/>
    <w:rsid w:val="00BC6A21"/>
    <w:rsid w:val="00BC6A44"/>
    <w:rsid w:val="00BC6EA7"/>
    <w:rsid w:val="00BC75DF"/>
    <w:rsid w:val="00BD035F"/>
    <w:rsid w:val="00BD12F4"/>
    <w:rsid w:val="00BD22A2"/>
    <w:rsid w:val="00BD24A9"/>
    <w:rsid w:val="00BD2BE4"/>
    <w:rsid w:val="00BD4488"/>
    <w:rsid w:val="00BD473A"/>
    <w:rsid w:val="00BD4AAA"/>
    <w:rsid w:val="00BD5493"/>
    <w:rsid w:val="00BD5F9E"/>
    <w:rsid w:val="00BD6D5B"/>
    <w:rsid w:val="00BD73A8"/>
    <w:rsid w:val="00BD7490"/>
    <w:rsid w:val="00BD7916"/>
    <w:rsid w:val="00BD7F9C"/>
    <w:rsid w:val="00BE089D"/>
    <w:rsid w:val="00BE34BF"/>
    <w:rsid w:val="00BE3A49"/>
    <w:rsid w:val="00BE45F4"/>
    <w:rsid w:val="00BE4BF4"/>
    <w:rsid w:val="00BE51EA"/>
    <w:rsid w:val="00BE572B"/>
    <w:rsid w:val="00BE6464"/>
    <w:rsid w:val="00BE6A25"/>
    <w:rsid w:val="00BE703C"/>
    <w:rsid w:val="00BE7EE0"/>
    <w:rsid w:val="00BF0557"/>
    <w:rsid w:val="00BF0B0F"/>
    <w:rsid w:val="00BF0BF3"/>
    <w:rsid w:val="00BF0CC1"/>
    <w:rsid w:val="00BF0D25"/>
    <w:rsid w:val="00BF1268"/>
    <w:rsid w:val="00BF1A4E"/>
    <w:rsid w:val="00BF1E81"/>
    <w:rsid w:val="00BF28A4"/>
    <w:rsid w:val="00BF30FD"/>
    <w:rsid w:val="00BF38C7"/>
    <w:rsid w:val="00BF39AB"/>
    <w:rsid w:val="00BF59EF"/>
    <w:rsid w:val="00BF69F2"/>
    <w:rsid w:val="00BF7CA0"/>
    <w:rsid w:val="00C009B1"/>
    <w:rsid w:val="00C01F1B"/>
    <w:rsid w:val="00C03206"/>
    <w:rsid w:val="00C05039"/>
    <w:rsid w:val="00C05884"/>
    <w:rsid w:val="00C05A38"/>
    <w:rsid w:val="00C069BD"/>
    <w:rsid w:val="00C06B8B"/>
    <w:rsid w:val="00C06F50"/>
    <w:rsid w:val="00C07564"/>
    <w:rsid w:val="00C0761E"/>
    <w:rsid w:val="00C07BCD"/>
    <w:rsid w:val="00C07E57"/>
    <w:rsid w:val="00C10257"/>
    <w:rsid w:val="00C1074A"/>
    <w:rsid w:val="00C112B5"/>
    <w:rsid w:val="00C11C90"/>
    <w:rsid w:val="00C11EB0"/>
    <w:rsid w:val="00C12150"/>
    <w:rsid w:val="00C12467"/>
    <w:rsid w:val="00C13E88"/>
    <w:rsid w:val="00C13E97"/>
    <w:rsid w:val="00C13F57"/>
    <w:rsid w:val="00C1419C"/>
    <w:rsid w:val="00C1438E"/>
    <w:rsid w:val="00C15A1E"/>
    <w:rsid w:val="00C165C6"/>
    <w:rsid w:val="00C20269"/>
    <w:rsid w:val="00C21193"/>
    <w:rsid w:val="00C2161A"/>
    <w:rsid w:val="00C2306F"/>
    <w:rsid w:val="00C24363"/>
    <w:rsid w:val="00C24C2F"/>
    <w:rsid w:val="00C24E37"/>
    <w:rsid w:val="00C25A79"/>
    <w:rsid w:val="00C25C5B"/>
    <w:rsid w:val="00C27629"/>
    <w:rsid w:val="00C302A8"/>
    <w:rsid w:val="00C3049B"/>
    <w:rsid w:val="00C30B68"/>
    <w:rsid w:val="00C310C6"/>
    <w:rsid w:val="00C312B1"/>
    <w:rsid w:val="00C317A1"/>
    <w:rsid w:val="00C330E2"/>
    <w:rsid w:val="00C33198"/>
    <w:rsid w:val="00C33A51"/>
    <w:rsid w:val="00C35C6E"/>
    <w:rsid w:val="00C364AE"/>
    <w:rsid w:val="00C375B8"/>
    <w:rsid w:val="00C37CF1"/>
    <w:rsid w:val="00C37FEA"/>
    <w:rsid w:val="00C40697"/>
    <w:rsid w:val="00C4121E"/>
    <w:rsid w:val="00C415A4"/>
    <w:rsid w:val="00C42AC9"/>
    <w:rsid w:val="00C43419"/>
    <w:rsid w:val="00C43D44"/>
    <w:rsid w:val="00C44015"/>
    <w:rsid w:val="00C4414E"/>
    <w:rsid w:val="00C44CB1"/>
    <w:rsid w:val="00C45557"/>
    <w:rsid w:val="00C4611D"/>
    <w:rsid w:val="00C46736"/>
    <w:rsid w:val="00C46BE8"/>
    <w:rsid w:val="00C4730E"/>
    <w:rsid w:val="00C47E8E"/>
    <w:rsid w:val="00C50690"/>
    <w:rsid w:val="00C50CFE"/>
    <w:rsid w:val="00C520A8"/>
    <w:rsid w:val="00C56315"/>
    <w:rsid w:val="00C56CDF"/>
    <w:rsid w:val="00C574E1"/>
    <w:rsid w:val="00C5758C"/>
    <w:rsid w:val="00C578BF"/>
    <w:rsid w:val="00C60332"/>
    <w:rsid w:val="00C62281"/>
    <w:rsid w:val="00C63B0C"/>
    <w:rsid w:val="00C642DC"/>
    <w:rsid w:val="00C67EF5"/>
    <w:rsid w:val="00C70A26"/>
    <w:rsid w:val="00C70B39"/>
    <w:rsid w:val="00C70E83"/>
    <w:rsid w:val="00C70F29"/>
    <w:rsid w:val="00C71069"/>
    <w:rsid w:val="00C72510"/>
    <w:rsid w:val="00C72A57"/>
    <w:rsid w:val="00C7408E"/>
    <w:rsid w:val="00C74406"/>
    <w:rsid w:val="00C75A7B"/>
    <w:rsid w:val="00C766ED"/>
    <w:rsid w:val="00C77047"/>
    <w:rsid w:val="00C77454"/>
    <w:rsid w:val="00C80056"/>
    <w:rsid w:val="00C802FF"/>
    <w:rsid w:val="00C810D6"/>
    <w:rsid w:val="00C81752"/>
    <w:rsid w:val="00C81E1A"/>
    <w:rsid w:val="00C81FC8"/>
    <w:rsid w:val="00C82082"/>
    <w:rsid w:val="00C822DA"/>
    <w:rsid w:val="00C826C0"/>
    <w:rsid w:val="00C83AD4"/>
    <w:rsid w:val="00C84360"/>
    <w:rsid w:val="00C84502"/>
    <w:rsid w:val="00C84B60"/>
    <w:rsid w:val="00C85CAC"/>
    <w:rsid w:val="00C862FF"/>
    <w:rsid w:val="00C8652E"/>
    <w:rsid w:val="00C869AD"/>
    <w:rsid w:val="00C86F48"/>
    <w:rsid w:val="00C87733"/>
    <w:rsid w:val="00C87D2F"/>
    <w:rsid w:val="00C9037C"/>
    <w:rsid w:val="00C90784"/>
    <w:rsid w:val="00C916E9"/>
    <w:rsid w:val="00C917F9"/>
    <w:rsid w:val="00C92236"/>
    <w:rsid w:val="00C935BA"/>
    <w:rsid w:val="00C9560C"/>
    <w:rsid w:val="00C958E6"/>
    <w:rsid w:val="00C959AF"/>
    <w:rsid w:val="00C96625"/>
    <w:rsid w:val="00C97033"/>
    <w:rsid w:val="00C97E7A"/>
    <w:rsid w:val="00CA05DE"/>
    <w:rsid w:val="00CA070A"/>
    <w:rsid w:val="00CA11AB"/>
    <w:rsid w:val="00CA2565"/>
    <w:rsid w:val="00CA4C9D"/>
    <w:rsid w:val="00CA5665"/>
    <w:rsid w:val="00CA6491"/>
    <w:rsid w:val="00CA69E7"/>
    <w:rsid w:val="00CA6B81"/>
    <w:rsid w:val="00CA71E1"/>
    <w:rsid w:val="00CB0036"/>
    <w:rsid w:val="00CB0458"/>
    <w:rsid w:val="00CB0777"/>
    <w:rsid w:val="00CB0BF6"/>
    <w:rsid w:val="00CB14E5"/>
    <w:rsid w:val="00CB24E7"/>
    <w:rsid w:val="00CB35F9"/>
    <w:rsid w:val="00CB42F5"/>
    <w:rsid w:val="00CB44F6"/>
    <w:rsid w:val="00CB48FB"/>
    <w:rsid w:val="00CB5F12"/>
    <w:rsid w:val="00CB62AF"/>
    <w:rsid w:val="00CB6D94"/>
    <w:rsid w:val="00CB7256"/>
    <w:rsid w:val="00CB7358"/>
    <w:rsid w:val="00CC0EF4"/>
    <w:rsid w:val="00CC1F50"/>
    <w:rsid w:val="00CC3550"/>
    <w:rsid w:val="00CC3CA0"/>
    <w:rsid w:val="00CC53B8"/>
    <w:rsid w:val="00CC596A"/>
    <w:rsid w:val="00CC67BE"/>
    <w:rsid w:val="00CC6B94"/>
    <w:rsid w:val="00CC7777"/>
    <w:rsid w:val="00CD1701"/>
    <w:rsid w:val="00CD1E74"/>
    <w:rsid w:val="00CD3DC2"/>
    <w:rsid w:val="00CD45FA"/>
    <w:rsid w:val="00CD4EF4"/>
    <w:rsid w:val="00CD50E4"/>
    <w:rsid w:val="00CD5298"/>
    <w:rsid w:val="00CD54B3"/>
    <w:rsid w:val="00CD56E2"/>
    <w:rsid w:val="00CD5791"/>
    <w:rsid w:val="00CD6669"/>
    <w:rsid w:val="00CD6B17"/>
    <w:rsid w:val="00CD716E"/>
    <w:rsid w:val="00CD7239"/>
    <w:rsid w:val="00CE0004"/>
    <w:rsid w:val="00CE0383"/>
    <w:rsid w:val="00CE05EC"/>
    <w:rsid w:val="00CE08D8"/>
    <w:rsid w:val="00CE098E"/>
    <w:rsid w:val="00CE3615"/>
    <w:rsid w:val="00CE43F9"/>
    <w:rsid w:val="00CE61BC"/>
    <w:rsid w:val="00CE68B9"/>
    <w:rsid w:val="00CE7788"/>
    <w:rsid w:val="00CE7B6D"/>
    <w:rsid w:val="00CE7BFD"/>
    <w:rsid w:val="00CF00AC"/>
    <w:rsid w:val="00CF0A35"/>
    <w:rsid w:val="00CF2265"/>
    <w:rsid w:val="00CF3508"/>
    <w:rsid w:val="00CF35A5"/>
    <w:rsid w:val="00CF3DF7"/>
    <w:rsid w:val="00CF4131"/>
    <w:rsid w:val="00CF54D5"/>
    <w:rsid w:val="00CF613F"/>
    <w:rsid w:val="00CF65BD"/>
    <w:rsid w:val="00CF7254"/>
    <w:rsid w:val="00D007A9"/>
    <w:rsid w:val="00D0080A"/>
    <w:rsid w:val="00D0132F"/>
    <w:rsid w:val="00D01779"/>
    <w:rsid w:val="00D02414"/>
    <w:rsid w:val="00D02916"/>
    <w:rsid w:val="00D031C3"/>
    <w:rsid w:val="00D03E68"/>
    <w:rsid w:val="00D05A79"/>
    <w:rsid w:val="00D060EF"/>
    <w:rsid w:val="00D06418"/>
    <w:rsid w:val="00D071E0"/>
    <w:rsid w:val="00D11229"/>
    <w:rsid w:val="00D1144E"/>
    <w:rsid w:val="00D11DD5"/>
    <w:rsid w:val="00D12F44"/>
    <w:rsid w:val="00D13D57"/>
    <w:rsid w:val="00D1616D"/>
    <w:rsid w:val="00D16BEA"/>
    <w:rsid w:val="00D20FBC"/>
    <w:rsid w:val="00D22F45"/>
    <w:rsid w:val="00D23121"/>
    <w:rsid w:val="00D2396B"/>
    <w:rsid w:val="00D2527A"/>
    <w:rsid w:val="00D26219"/>
    <w:rsid w:val="00D2631D"/>
    <w:rsid w:val="00D26699"/>
    <w:rsid w:val="00D30433"/>
    <w:rsid w:val="00D30C57"/>
    <w:rsid w:val="00D318BA"/>
    <w:rsid w:val="00D31BF2"/>
    <w:rsid w:val="00D321A8"/>
    <w:rsid w:val="00D32439"/>
    <w:rsid w:val="00D324D4"/>
    <w:rsid w:val="00D32D09"/>
    <w:rsid w:val="00D33130"/>
    <w:rsid w:val="00D33618"/>
    <w:rsid w:val="00D34380"/>
    <w:rsid w:val="00D343E0"/>
    <w:rsid w:val="00D34AC9"/>
    <w:rsid w:val="00D35DD4"/>
    <w:rsid w:val="00D36AC1"/>
    <w:rsid w:val="00D37306"/>
    <w:rsid w:val="00D37925"/>
    <w:rsid w:val="00D37CEC"/>
    <w:rsid w:val="00D40A3A"/>
    <w:rsid w:val="00D4156F"/>
    <w:rsid w:val="00D415B0"/>
    <w:rsid w:val="00D426ED"/>
    <w:rsid w:val="00D427E7"/>
    <w:rsid w:val="00D43537"/>
    <w:rsid w:val="00D43A61"/>
    <w:rsid w:val="00D4409E"/>
    <w:rsid w:val="00D44791"/>
    <w:rsid w:val="00D4615A"/>
    <w:rsid w:val="00D46C46"/>
    <w:rsid w:val="00D478EC"/>
    <w:rsid w:val="00D50A1A"/>
    <w:rsid w:val="00D525F0"/>
    <w:rsid w:val="00D52F5D"/>
    <w:rsid w:val="00D53099"/>
    <w:rsid w:val="00D54182"/>
    <w:rsid w:val="00D5450F"/>
    <w:rsid w:val="00D55114"/>
    <w:rsid w:val="00D55717"/>
    <w:rsid w:val="00D5597D"/>
    <w:rsid w:val="00D5631F"/>
    <w:rsid w:val="00D565CB"/>
    <w:rsid w:val="00D56C07"/>
    <w:rsid w:val="00D5726B"/>
    <w:rsid w:val="00D601D2"/>
    <w:rsid w:val="00D61155"/>
    <w:rsid w:val="00D616D2"/>
    <w:rsid w:val="00D6250D"/>
    <w:rsid w:val="00D62B29"/>
    <w:rsid w:val="00D62B98"/>
    <w:rsid w:val="00D6374E"/>
    <w:rsid w:val="00D646AF"/>
    <w:rsid w:val="00D65188"/>
    <w:rsid w:val="00D67F6F"/>
    <w:rsid w:val="00D71475"/>
    <w:rsid w:val="00D72AAB"/>
    <w:rsid w:val="00D7300D"/>
    <w:rsid w:val="00D73F85"/>
    <w:rsid w:val="00D74F46"/>
    <w:rsid w:val="00D75BF0"/>
    <w:rsid w:val="00D765AD"/>
    <w:rsid w:val="00D7670A"/>
    <w:rsid w:val="00D77A28"/>
    <w:rsid w:val="00D77E20"/>
    <w:rsid w:val="00D807F3"/>
    <w:rsid w:val="00D80DF4"/>
    <w:rsid w:val="00D81A16"/>
    <w:rsid w:val="00D82327"/>
    <w:rsid w:val="00D82473"/>
    <w:rsid w:val="00D82D85"/>
    <w:rsid w:val="00D83201"/>
    <w:rsid w:val="00D8384A"/>
    <w:rsid w:val="00D843EF"/>
    <w:rsid w:val="00D84C45"/>
    <w:rsid w:val="00D84EE7"/>
    <w:rsid w:val="00D85278"/>
    <w:rsid w:val="00D85376"/>
    <w:rsid w:val="00D857E7"/>
    <w:rsid w:val="00D858B7"/>
    <w:rsid w:val="00D86013"/>
    <w:rsid w:val="00D8634B"/>
    <w:rsid w:val="00D86FC5"/>
    <w:rsid w:val="00D87A9F"/>
    <w:rsid w:val="00D900F3"/>
    <w:rsid w:val="00D9080F"/>
    <w:rsid w:val="00D90FB8"/>
    <w:rsid w:val="00D9107E"/>
    <w:rsid w:val="00D92155"/>
    <w:rsid w:val="00D92909"/>
    <w:rsid w:val="00D937D4"/>
    <w:rsid w:val="00D93B29"/>
    <w:rsid w:val="00D93E9C"/>
    <w:rsid w:val="00D93F66"/>
    <w:rsid w:val="00D94753"/>
    <w:rsid w:val="00D94806"/>
    <w:rsid w:val="00D94C9E"/>
    <w:rsid w:val="00D95EE3"/>
    <w:rsid w:val="00D96161"/>
    <w:rsid w:val="00D966DA"/>
    <w:rsid w:val="00D96749"/>
    <w:rsid w:val="00D96A8E"/>
    <w:rsid w:val="00D97000"/>
    <w:rsid w:val="00D97FB2"/>
    <w:rsid w:val="00DA0259"/>
    <w:rsid w:val="00DA042E"/>
    <w:rsid w:val="00DA10E0"/>
    <w:rsid w:val="00DA161B"/>
    <w:rsid w:val="00DA40DB"/>
    <w:rsid w:val="00DA4BF3"/>
    <w:rsid w:val="00DA5465"/>
    <w:rsid w:val="00DA5480"/>
    <w:rsid w:val="00DA592B"/>
    <w:rsid w:val="00DA6610"/>
    <w:rsid w:val="00DA68AA"/>
    <w:rsid w:val="00DA7A9A"/>
    <w:rsid w:val="00DA7E4C"/>
    <w:rsid w:val="00DA7EEB"/>
    <w:rsid w:val="00DB0712"/>
    <w:rsid w:val="00DB083A"/>
    <w:rsid w:val="00DB2800"/>
    <w:rsid w:val="00DB37B3"/>
    <w:rsid w:val="00DB409D"/>
    <w:rsid w:val="00DB4E4A"/>
    <w:rsid w:val="00DB50E7"/>
    <w:rsid w:val="00DB66BC"/>
    <w:rsid w:val="00DB6D5B"/>
    <w:rsid w:val="00DB7222"/>
    <w:rsid w:val="00DB7756"/>
    <w:rsid w:val="00DB7982"/>
    <w:rsid w:val="00DB7A87"/>
    <w:rsid w:val="00DC06AB"/>
    <w:rsid w:val="00DC1720"/>
    <w:rsid w:val="00DC1F50"/>
    <w:rsid w:val="00DC2ACE"/>
    <w:rsid w:val="00DC3162"/>
    <w:rsid w:val="00DC3799"/>
    <w:rsid w:val="00DC3F2F"/>
    <w:rsid w:val="00DC4F39"/>
    <w:rsid w:val="00DC5752"/>
    <w:rsid w:val="00DC590A"/>
    <w:rsid w:val="00DC5F38"/>
    <w:rsid w:val="00DC758A"/>
    <w:rsid w:val="00DC76DC"/>
    <w:rsid w:val="00DD0D88"/>
    <w:rsid w:val="00DD1681"/>
    <w:rsid w:val="00DD1F39"/>
    <w:rsid w:val="00DD2573"/>
    <w:rsid w:val="00DD2ABC"/>
    <w:rsid w:val="00DD46B7"/>
    <w:rsid w:val="00DD4914"/>
    <w:rsid w:val="00DD5859"/>
    <w:rsid w:val="00DD62D7"/>
    <w:rsid w:val="00DD6B70"/>
    <w:rsid w:val="00DD7A3E"/>
    <w:rsid w:val="00DE1134"/>
    <w:rsid w:val="00DE19D2"/>
    <w:rsid w:val="00DE1C3E"/>
    <w:rsid w:val="00DE3C26"/>
    <w:rsid w:val="00DE3C7C"/>
    <w:rsid w:val="00DE3F84"/>
    <w:rsid w:val="00DE460E"/>
    <w:rsid w:val="00DE49C7"/>
    <w:rsid w:val="00DE5652"/>
    <w:rsid w:val="00DE7426"/>
    <w:rsid w:val="00DE7B8E"/>
    <w:rsid w:val="00DF0F08"/>
    <w:rsid w:val="00DF128E"/>
    <w:rsid w:val="00DF21EA"/>
    <w:rsid w:val="00DF2786"/>
    <w:rsid w:val="00DF32FD"/>
    <w:rsid w:val="00DF39B0"/>
    <w:rsid w:val="00DF45EA"/>
    <w:rsid w:val="00DF49A1"/>
    <w:rsid w:val="00DF53F5"/>
    <w:rsid w:val="00DF5657"/>
    <w:rsid w:val="00DF686F"/>
    <w:rsid w:val="00DF752E"/>
    <w:rsid w:val="00E0061D"/>
    <w:rsid w:val="00E00649"/>
    <w:rsid w:val="00E01326"/>
    <w:rsid w:val="00E01FCE"/>
    <w:rsid w:val="00E02502"/>
    <w:rsid w:val="00E03B49"/>
    <w:rsid w:val="00E03BB2"/>
    <w:rsid w:val="00E03F68"/>
    <w:rsid w:val="00E05380"/>
    <w:rsid w:val="00E05644"/>
    <w:rsid w:val="00E06353"/>
    <w:rsid w:val="00E0660A"/>
    <w:rsid w:val="00E06B67"/>
    <w:rsid w:val="00E078DD"/>
    <w:rsid w:val="00E111F0"/>
    <w:rsid w:val="00E1129C"/>
    <w:rsid w:val="00E12BEF"/>
    <w:rsid w:val="00E1331C"/>
    <w:rsid w:val="00E13672"/>
    <w:rsid w:val="00E13C11"/>
    <w:rsid w:val="00E13C95"/>
    <w:rsid w:val="00E149ED"/>
    <w:rsid w:val="00E165AE"/>
    <w:rsid w:val="00E20325"/>
    <w:rsid w:val="00E20790"/>
    <w:rsid w:val="00E21365"/>
    <w:rsid w:val="00E21B9A"/>
    <w:rsid w:val="00E21E1D"/>
    <w:rsid w:val="00E224AE"/>
    <w:rsid w:val="00E22894"/>
    <w:rsid w:val="00E22E45"/>
    <w:rsid w:val="00E239BC"/>
    <w:rsid w:val="00E2403B"/>
    <w:rsid w:val="00E26336"/>
    <w:rsid w:val="00E26608"/>
    <w:rsid w:val="00E275D2"/>
    <w:rsid w:val="00E27B57"/>
    <w:rsid w:val="00E27EFF"/>
    <w:rsid w:val="00E30322"/>
    <w:rsid w:val="00E30C1D"/>
    <w:rsid w:val="00E3129E"/>
    <w:rsid w:val="00E31D58"/>
    <w:rsid w:val="00E32B56"/>
    <w:rsid w:val="00E32BC5"/>
    <w:rsid w:val="00E32C77"/>
    <w:rsid w:val="00E32D99"/>
    <w:rsid w:val="00E341DB"/>
    <w:rsid w:val="00E347A4"/>
    <w:rsid w:val="00E34ADC"/>
    <w:rsid w:val="00E34B70"/>
    <w:rsid w:val="00E3540F"/>
    <w:rsid w:val="00E36806"/>
    <w:rsid w:val="00E370A3"/>
    <w:rsid w:val="00E40010"/>
    <w:rsid w:val="00E40036"/>
    <w:rsid w:val="00E4066B"/>
    <w:rsid w:val="00E41155"/>
    <w:rsid w:val="00E41744"/>
    <w:rsid w:val="00E41D53"/>
    <w:rsid w:val="00E42E08"/>
    <w:rsid w:val="00E44B14"/>
    <w:rsid w:val="00E450BA"/>
    <w:rsid w:val="00E45D76"/>
    <w:rsid w:val="00E45EC0"/>
    <w:rsid w:val="00E46D6F"/>
    <w:rsid w:val="00E47D44"/>
    <w:rsid w:val="00E50384"/>
    <w:rsid w:val="00E5069C"/>
    <w:rsid w:val="00E50BB6"/>
    <w:rsid w:val="00E51474"/>
    <w:rsid w:val="00E51809"/>
    <w:rsid w:val="00E52541"/>
    <w:rsid w:val="00E52F4E"/>
    <w:rsid w:val="00E538A1"/>
    <w:rsid w:val="00E53D15"/>
    <w:rsid w:val="00E5425B"/>
    <w:rsid w:val="00E557E8"/>
    <w:rsid w:val="00E55B67"/>
    <w:rsid w:val="00E56137"/>
    <w:rsid w:val="00E57151"/>
    <w:rsid w:val="00E603B0"/>
    <w:rsid w:val="00E60816"/>
    <w:rsid w:val="00E61739"/>
    <w:rsid w:val="00E6183E"/>
    <w:rsid w:val="00E63135"/>
    <w:rsid w:val="00E64098"/>
    <w:rsid w:val="00E65B58"/>
    <w:rsid w:val="00E667A3"/>
    <w:rsid w:val="00E66CC5"/>
    <w:rsid w:val="00E67244"/>
    <w:rsid w:val="00E67D76"/>
    <w:rsid w:val="00E70D61"/>
    <w:rsid w:val="00E71A8A"/>
    <w:rsid w:val="00E733F6"/>
    <w:rsid w:val="00E73597"/>
    <w:rsid w:val="00E74509"/>
    <w:rsid w:val="00E74DE0"/>
    <w:rsid w:val="00E769C2"/>
    <w:rsid w:val="00E80116"/>
    <w:rsid w:val="00E80936"/>
    <w:rsid w:val="00E80E42"/>
    <w:rsid w:val="00E8265A"/>
    <w:rsid w:val="00E82ECE"/>
    <w:rsid w:val="00E838D8"/>
    <w:rsid w:val="00E85FA4"/>
    <w:rsid w:val="00E8626C"/>
    <w:rsid w:val="00E86DFD"/>
    <w:rsid w:val="00E877C9"/>
    <w:rsid w:val="00E904BF"/>
    <w:rsid w:val="00E90E80"/>
    <w:rsid w:val="00E912BA"/>
    <w:rsid w:val="00E91C1C"/>
    <w:rsid w:val="00E93BCE"/>
    <w:rsid w:val="00E94056"/>
    <w:rsid w:val="00E94278"/>
    <w:rsid w:val="00E947F1"/>
    <w:rsid w:val="00E955D5"/>
    <w:rsid w:val="00E95EE6"/>
    <w:rsid w:val="00E9612B"/>
    <w:rsid w:val="00E967B6"/>
    <w:rsid w:val="00EA188C"/>
    <w:rsid w:val="00EA2411"/>
    <w:rsid w:val="00EA2B29"/>
    <w:rsid w:val="00EA2CA3"/>
    <w:rsid w:val="00EA36F3"/>
    <w:rsid w:val="00EA371E"/>
    <w:rsid w:val="00EA3E5A"/>
    <w:rsid w:val="00EA479E"/>
    <w:rsid w:val="00EA6137"/>
    <w:rsid w:val="00EA7354"/>
    <w:rsid w:val="00EB1AA4"/>
    <w:rsid w:val="00EB23CB"/>
    <w:rsid w:val="00EB2A11"/>
    <w:rsid w:val="00EB3656"/>
    <w:rsid w:val="00EB3A89"/>
    <w:rsid w:val="00EB4E25"/>
    <w:rsid w:val="00EB4E57"/>
    <w:rsid w:val="00EB5343"/>
    <w:rsid w:val="00EB6943"/>
    <w:rsid w:val="00EB6C25"/>
    <w:rsid w:val="00EB6E87"/>
    <w:rsid w:val="00EB70CE"/>
    <w:rsid w:val="00EB7DF6"/>
    <w:rsid w:val="00EC0347"/>
    <w:rsid w:val="00EC09ED"/>
    <w:rsid w:val="00EC105E"/>
    <w:rsid w:val="00EC12BF"/>
    <w:rsid w:val="00EC1701"/>
    <w:rsid w:val="00EC1877"/>
    <w:rsid w:val="00EC1D02"/>
    <w:rsid w:val="00EC3CB7"/>
    <w:rsid w:val="00EC4439"/>
    <w:rsid w:val="00EC48AA"/>
    <w:rsid w:val="00EC4B0F"/>
    <w:rsid w:val="00EC4DB3"/>
    <w:rsid w:val="00EC53C2"/>
    <w:rsid w:val="00EC564A"/>
    <w:rsid w:val="00EC6966"/>
    <w:rsid w:val="00ED0A66"/>
    <w:rsid w:val="00ED267A"/>
    <w:rsid w:val="00ED2AB4"/>
    <w:rsid w:val="00ED376C"/>
    <w:rsid w:val="00ED3BE0"/>
    <w:rsid w:val="00ED4BA4"/>
    <w:rsid w:val="00ED4D8A"/>
    <w:rsid w:val="00ED4FC3"/>
    <w:rsid w:val="00ED71D9"/>
    <w:rsid w:val="00ED7731"/>
    <w:rsid w:val="00EE023E"/>
    <w:rsid w:val="00EE1DC6"/>
    <w:rsid w:val="00EE2974"/>
    <w:rsid w:val="00EE2D1C"/>
    <w:rsid w:val="00EE2EF5"/>
    <w:rsid w:val="00EE3B58"/>
    <w:rsid w:val="00EE4398"/>
    <w:rsid w:val="00EE4410"/>
    <w:rsid w:val="00EE4AEE"/>
    <w:rsid w:val="00EE57E6"/>
    <w:rsid w:val="00EE5F30"/>
    <w:rsid w:val="00EE70BA"/>
    <w:rsid w:val="00EE752C"/>
    <w:rsid w:val="00EF0BBC"/>
    <w:rsid w:val="00EF1071"/>
    <w:rsid w:val="00EF1687"/>
    <w:rsid w:val="00EF16FD"/>
    <w:rsid w:val="00EF1961"/>
    <w:rsid w:val="00EF2A94"/>
    <w:rsid w:val="00EF2EBC"/>
    <w:rsid w:val="00EF3010"/>
    <w:rsid w:val="00EF3F7B"/>
    <w:rsid w:val="00EF4965"/>
    <w:rsid w:val="00EF4FF4"/>
    <w:rsid w:val="00EF6A7D"/>
    <w:rsid w:val="00EF6F53"/>
    <w:rsid w:val="00F00575"/>
    <w:rsid w:val="00F01145"/>
    <w:rsid w:val="00F01CCA"/>
    <w:rsid w:val="00F02832"/>
    <w:rsid w:val="00F029C3"/>
    <w:rsid w:val="00F03336"/>
    <w:rsid w:val="00F04806"/>
    <w:rsid w:val="00F04863"/>
    <w:rsid w:val="00F052FD"/>
    <w:rsid w:val="00F0662F"/>
    <w:rsid w:val="00F069BE"/>
    <w:rsid w:val="00F0787E"/>
    <w:rsid w:val="00F07B51"/>
    <w:rsid w:val="00F11079"/>
    <w:rsid w:val="00F119C2"/>
    <w:rsid w:val="00F12C34"/>
    <w:rsid w:val="00F12CEE"/>
    <w:rsid w:val="00F12D17"/>
    <w:rsid w:val="00F12F1B"/>
    <w:rsid w:val="00F1354D"/>
    <w:rsid w:val="00F144E5"/>
    <w:rsid w:val="00F161A3"/>
    <w:rsid w:val="00F16ADF"/>
    <w:rsid w:val="00F16F23"/>
    <w:rsid w:val="00F17BF1"/>
    <w:rsid w:val="00F2086D"/>
    <w:rsid w:val="00F211F3"/>
    <w:rsid w:val="00F225CB"/>
    <w:rsid w:val="00F22822"/>
    <w:rsid w:val="00F23274"/>
    <w:rsid w:val="00F237AE"/>
    <w:rsid w:val="00F23AC6"/>
    <w:rsid w:val="00F25097"/>
    <w:rsid w:val="00F25641"/>
    <w:rsid w:val="00F25A3D"/>
    <w:rsid w:val="00F31575"/>
    <w:rsid w:val="00F32C84"/>
    <w:rsid w:val="00F32F88"/>
    <w:rsid w:val="00F33233"/>
    <w:rsid w:val="00F33D45"/>
    <w:rsid w:val="00F342CC"/>
    <w:rsid w:val="00F355D8"/>
    <w:rsid w:val="00F357E4"/>
    <w:rsid w:val="00F36638"/>
    <w:rsid w:val="00F3670F"/>
    <w:rsid w:val="00F374FE"/>
    <w:rsid w:val="00F378B6"/>
    <w:rsid w:val="00F37C3B"/>
    <w:rsid w:val="00F409B1"/>
    <w:rsid w:val="00F412D1"/>
    <w:rsid w:val="00F417DD"/>
    <w:rsid w:val="00F418B4"/>
    <w:rsid w:val="00F4541C"/>
    <w:rsid w:val="00F47863"/>
    <w:rsid w:val="00F47B14"/>
    <w:rsid w:val="00F51E2A"/>
    <w:rsid w:val="00F5224B"/>
    <w:rsid w:val="00F53053"/>
    <w:rsid w:val="00F53D12"/>
    <w:rsid w:val="00F53F08"/>
    <w:rsid w:val="00F53FA3"/>
    <w:rsid w:val="00F5461C"/>
    <w:rsid w:val="00F555E0"/>
    <w:rsid w:val="00F55BC5"/>
    <w:rsid w:val="00F60B68"/>
    <w:rsid w:val="00F60B6D"/>
    <w:rsid w:val="00F617D3"/>
    <w:rsid w:val="00F61B40"/>
    <w:rsid w:val="00F633D5"/>
    <w:rsid w:val="00F6439C"/>
    <w:rsid w:val="00F65A2B"/>
    <w:rsid w:val="00F665F7"/>
    <w:rsid w:val="00F66CDD"/>
    <w:rsid w:val="00F670E1"/>
    <w:rsid w:val="00F678FD"/>
    <w:rsid w:val="00F701D2"/>
    <w:rsid w:val="00F70E1E"/>
    <w:rsid w:val="00F71115"/>
    <w:rsid w:val="00F71D4A"/>
    <w:rsid w:val="00F726DC"/>
    <w:rsid w:val="00F72C7F"/>
    <w:rsid w:val="00F73299"/>
    <w:rsid w:val="00F73415"/>
    <w:rsid w:val="00F73E6A"/>
    <w:rsid w:val="00F751B2"/>
    <w:rsid w:val="00F80598"/>
    <w:rsid w:val="00F80895"/>
    <w:rsid w:val="00F834DC"/>
    <w:rsid w:val="00F835AC"/>
    <w:rsid w:val="00F837B7"/>
    <w:rsid w:val="00F84067"/>
    <w:rsid w:val="00F8465A"/>
    <w:rsid w:val="00F85309"/>
    <w:rsid w:val="00F8575F"/>
    <w:rsid w:val="00F86C0E"/>
    <w:rsid w:val="00F908F1"/>
    <w:rsid w:val="00F90CA8"/>
    <w:rsid w:val="00F92055"/>
    <w:rsid w:val="00F927AC"/>
    <w:rsid w:val="00F93987"/>
    <w:rsid w:val="00F93F27"/>
    <w:rsid w:val="00F949AB"/>
    <w:rsid w:val="00F961F2"/>
    <w:rsid w:val="00F9665A"/>
    <w:rsid w:val="00F966EA"/>
    <w:rsid w:val="00F96B12"/>
    <w:rsid w:val="00FA24DB"/>
    <w:rsid w:val="00FA2EFB"/>
    <w:rsid w:val="00FA4562"/>
    <w:rsid w:val="00FA59B6"/>
    <w:rsid w:val="00FA6D5D"/>
    <w:rsid w:val="00FB032C"/>
    <w:rsid w:val="00FB0348"/>
    <w:rsid w:val="00FB0CD1"/>
    <w:rsid w:val="00FB1751"/>
    <w:rsid w:val="00FB2B68"/>
    <w:rsid w:val="00FB2F0C"/>
    <w:rsid w:val="00FB34D8"/>
    <w:rsid w:val="00FB58E0"/>
    <w:rsid w:val="00FB61FB"/>
    <w:rsid w:val="00FB6557"/>
    <w:rsid w:val="00FB65FA"/>
    <w:rsid w:val="00FB7085"/>
    <w:rsid w:val="00FB727F"/>
    <w:rsid w:val="00FB7F24"/>
    <w:rsid w:val="00FC1B05"/>
    <w:rsid w:val="00FC20B2"/>
    <w:rsid w:val="00FC2337"/>
    <w:rsid w:val="00FC292F"/>
    <w:rsid w:val="00FC2E90"/>
    <w:rsid w:val="00FC3761"/>
    <w:rsid w:val="00FC3A2C"/>
    <w:rsid w:val="00FC58D0"/>
    <w:rsid w:val="00FC5AF0"/>
    <w:rsid w:val="00FC75F3"/>
    <w:rsid w:val="00FC769C"/>
    <w:rsid w:val="00FD0EF3"/>
    <w:rsid w:val="00FD0F80"/>
    <w:rsid w:val="00FD388A"/>
    <w:rsid w:val="00FD4530"/>
    <w:rsid w:val="00FD52B2"/>
    <w:rsid w:val="00FD6E85"/>
    <w:rsid w:val="00FD70C6"/>
    <w:rsid w:val="00FD7CE4"/>
    <w:rsid w:val="00FD7E91"/>
    <w:rsid w:val="00FE0A78"/>
    <w:rsid w:val="00FE1DFE"/>
    <w:rsid w:val="00FE1EC4"/>
    <w:rsid w:val="00FE2487"/>
    <w:rsid w:val="00FE2937"/>
    <w:rsid w:val="00FE2ABB"/>
    <w:rsid w:val="00FE2E43"/>
    <w:rsid w:val="00FE2E47"/>
    <w:rsid w:val="00FE381B"/>
    <w:rsid w:val="00FE5EA6"/>
    <w:rsid w:val="00FE60F9"/>
    <w:rsid w:val="00FE7F14"/>
    <w:rsid w:val="00FF209D"/>
    <w:rsid w:val="00FF3920"/>
    <w:rsid w:val="00FF49F3"/>
    <w:rsid w:val="00FF49F6"/>
    <w:rsid w:val="00FF552B"/>
    <w:rsid w:val="00FF5B44"/>
    <w:rsid w:val="00FF65F3"/>
    <w:rsid w:val="00FF6ECE"/>
    <w:rsid w:val="00FF7485"/>
    <w:rsid w:val="00FF74E4"/>
    <w:rsid w:val="00FF796A"/>
    <w:rsid w:val="00FF7E83"/>
    <w:rsid w:val="00FF7EDF"/>
    <w:rsid w:val="01130DC0"/>
    <w:rsid w:val="01325E93"/>
    <w:rsid w:val="01767C7F"/>
    <w:rsid w:val="01A81B03"/>
    <w:rsid w:val="01C126BA"/>
    <w:rsid w:val="01F56FD7"/>
    <w:rsid w:val="01F657D0"/>
    <w:rsid w:val="02105CA3"/>
    <w:rsid w:val="021958DA"/>
    <w:rsid w:val="021E3D57"/>
    <w:rsid w:val="02494838"/>
    <w:rsid w:val="02494F88"/>
    <w:rsid w:val="0275070A"/>
    <w:rsid w:val="0291745D"/>
    <w:rsid w:val="02BD3255"/>
    <w:rsid w:val="02CD6A72"/>
    <w:rsid w:val="02E65911"/>
    <w:rsid w:val="02E8719D"/>
    <w:rsid w:val="02F45893"/>
    <w:rsid w:val="02F6249C"/>
    <w:rsid w:val="030A26CC"/>
    <w:rsid w:val="03661F8B"/>
    <w:rsid w:val="03CC6B47"/>
    <w:rsid w:val="03FF3356"/>
    <w:rsid w:val="041B3A31"/>
    <w:rsid w:val="046F3A94"/>
    <w:rsid w:val="047B2813"/>
    <w:rsid w:val="04956F99"/>
    <w:rsid w:val="04C2689C"/>
    <w:rsid w:val="04E77AB7"/>
    <w:rsid w:val="04F27288"/>
    <w:rsid w:val="04F40600"/>
    <w:rsid w:val="05044A34"/>
    <w:rsid w:val="05141F9E"/>
    <w:rsid w:val="052C7BB4"/>
    <w:rsid w:val="054D0AC8"/>
    <w:rsid w:val="05525117"/>
    <w:rsid w:val="055B3502"/>
    <w:rsid w:val="05773989"/>
    <w:rsid w:val="05B3674A"/>
    <w:rsid w:val="05C77E79"/>
    <w:rsid w:val="05E8542D"/>
    <w:rsid w:val="05FD64EC"/>
    <w:rsid w:val="064709D8"/>
    <w:rsid w:val="06596EA8"/>
    <w:rsid w:val="06604E35"/>
    <w:rsid w:val="06C0099D"/>
    <w:rsid w:val="06F57DBE"/>
    <w:rsid w:val="07145CA2"/>
    <w:rsid w:val="07287F3E"/>
    <w:rsid w:val="076D5A77"/>
    <w:rsid w:val="07DC5EDC"/>
    <w:rsid w:val="0806709B"/>
    <w:rsid w:val="086354CD"/>
    <w:rsid w:val="087F1665"/>
    <w:rsid w:val="08AB6287"/>
    <w:rsid w:val="08BC23D0"/>
    <w:rsid w:val="08D4533B"/>
    <w:rsid w:val="08DF5578"/>
    <w:rsid w:val="094651B9"/>
    <w:rsid w:val="099A43D4"/>
    <w:rsid w:val="09B84490"/>
    <w:rsid w:val="09E64164"/>
    <w:rsid w:val="0A1D26EE"/>
    <w:rsid w:val="0A37043B"/>
    <w:rsid w:val="0A946DF7"/>
    <w:rsid w:val="0AC84FAB"/>
    <w:rsid w:val="0AE72455"/>
    <w:rsid w:val="0AF30B81"/>
    <w:rsid w:val="0B263709"/>
    <w:rsid w:val="0B6E483D"/>
    <w:rsid w:val="0B7A1EF2"/>
    <w:rsid w:val="0B7F1953"/>
    <w:rsid w:val="0BD0714E"/>
    <w:rsid w:val="0BF168E2"/>
    <w:rsid w:val="0C017D32"/>
    <w:rsid w:val="0C1B5826"/>
    <w:rsid w:val="0C350202"/>
    <w:rsid w:val="0C4048FF"/>
    <w:rsid w:val="0C40619E"/>
    <w:rsid w:val="0C6D6C99"/>
    <w:rsid w:val="0C9548BA"/>
    <w:rsid w:val="0CA601D4"/>
    <w:rsid w:val="0CF263E5"/>
    <w:rsid w:val="0CF503D2"/>
    <w:rsid w:val="0D132A20"/>
    <w:rsid w:val="0D572E6F"/>
    <w:rsid w:val="0D855493"/>
    <w:rsid w:val="0DD7453D"/>
    <w:rsid w:val="0E0B4F1B"/>
    <w:rsid w:val="0E0C39BD"/>
    <w:rsid w:val="0E1079B8"/>
    <w:rsid w:val="0E724400"/>
    <w:rsid w:val="0E82149F"/>
    <w:rsid w:val="0EAA2568"/>
    <w:rsid w:val="0ECC274E"/>
    <w:rsid w:val="0ED125C0"/>
    <w:rsid w:val="0F6C16FF"/>
    <w:rsid w:val="0F707374"/>
    <w:rsid w:val="0FC13000"/>
    <w:rsid w:val="0FED3335"/>
    <w:rsid w:val="100D79D8"/>
    <w:rsid w:val="100E0B96"/>
    <w:rsid w:val="101A021E"/>
    <w:rsid w:val="10257B64"/>
    <w:rsid w:val="10756B68"/>
    <w:rsid w:val="10825E10"/>
    <w:rsid w:val="109A1783"/>
    <w:rsid w:val="10FD21B2"/>
    <w:rsid w:val="11006301"/>
    <w:rsid w:val="1106059F"/>
    <w:rsid w:val="11064C5C"/>
    <w:rsid w:val="110C6D37"/>
    <w:rsid w:val="1176687E"/>
    <w:rsid w:val="117846E4"/>
    <w:rsid w:val="118C3228"/>
    <w:rsid w:val="119959AF"/>
    <w:rsid w:val="11C52B19"/>
    <w:rsid w:val="11E6203D"/>
    <w:rsid w:val="11F42717"/>
    <w:rsid w:val="12273D0B"/>
    <w:rsid w:val="12300D5D"/>
    <w:rsid w:val="12341AD8"/>
    <w:rsid w:val="12365E59"/>
    <w:rsid w:val="124979DC"/>
    <w:rsid w:val="124A5079"/>
    <w:rsid w:val="125E5B7C"/>
    <w:rsid w:val="128A6F60"/>
    <w:rsid w:val="12AF3F97"/>
    <w:rsid w:val="12F20C41"/>
    <w:rsid w:val="130E3AFA"/>
    <w:rsid w:val="130F285A"/>
    <w:rsid w:val="1314178C"/>
    <w:rsid w:val="132E5199"/>
    <w:rsid w:val="135D3194"/>
    <w:rsid w:val="13872676"/>
    <w:rsid w:val="13C67EB5"/>
    <w:rsid w:val="142451E6"/>
    <w:rsid w:val="14316A3E"/>
    <w:rsid w:val="14464221"/>
    <w:rsid w:val="145A0A0B"/>
    <w:rsid w:val="14646E2F"/>
    <w:rsid w:val="149342EC"/>
    <w:rsid w:val="14BB3E0E"/>
    <w:rsid w:val="15570E9F"/>
    <w:rsid w:val="155B05A7"/>
    <w:rsid w:val="15A34916"/>
    <w:rsid w:val="15B54BFF"/>
    <w:rsid w:val="15EB3BA3"/>
    <w:rsid w:val="16081437"/>
    <w:rsid w:val="1651353A"/>
    <w:rsid w:val="166C0657"/>
    <w:rsid w:val="16937F62"/>
    <w:rsid w:val="16CC65A6"/>
    <w:rsid w:val="16D542F9"/>
    <w:rsid w:val="171478BB"/>
    <w:rsid w:val="17496B8F"/>
    <w:rsid w:val="174D4064"/>
    <w:rsid w:val="176E5933"/>
    <w:rsid w:val="1795075B"/>
    <w:rsid w:val="179927E2"/>
    <w:rsid w:val="17996C0A"/>
    <w:rsid w:val="17A336F5"/>
    <w:rsid w:val="17B11B97"/>
    <w:rsid w:val="17B81571"/>
    <w:rsid w:val="17C628B1"/>
    <w:rsid w:val="17CC5066"/>
    <w:rsid w:val="17D87B0D"/>
    <w:rsid w:val="18153207"/>
    <w:rsid w:val="182E21A6"/>
    <w:rsid w:val="18305689"/>
    <w:rsid w:val="1845294B"/>
    <w:rsid w:val="18BD49ED"/>
    <w:rsid w:val="18C40971"/>
    <w:rsid w:val="18D8461E"/>
    <w:rsid w:val="190C3B2C"/>
    <w:rsid w:val="19622FDB"/>
    <w:rsid w:val="196F0A96"/>
    <w:rsid w:val="19734E52"/>
    <w:rsid w:val="19D56CD5"/>
    <w:rsid w:val="19E438A4"/>
    <w:rsid w:val="19F30A1A"/>
    <w:rsid w:val="1A1946EC"/>
    <w:rsid w:val="1A676F05"/>
    <w:rsid w:val="1A7942A8"/>
    <w:rsid w:val="1A7C617B"/>
    <w:rsid w:val="1A9704C6"/>
    <w:rsid w:val="1B437BF2"/>
    <w:rsid w:val="1B506062"/>
    <w:rsid w:val="1B595547"/>
    <w:rsid w:val="1BD84EBD"/>
    <w:rsid w:val="1C4D2898"/>
    <w:rsid w:val="1C580FB4"/>
    <w:rsid w:val="1CE72AA7"/>
    <w:rsid w:val="1CFD1D23"/>
    <w:rsid w:val="1D1A33A6"/>
    <w:rsid w:val="1D461255"/>
    <w:rsid w:val="1D505597"/>
    <w:rsid w:val="1D784397"/>
    <w:rsid w:val="1DBE0A84"/>
    <w:rsid w:val="1DF00D39"/>
    <w:rsid w:val="1E571FC4"/>
    <w:rsid w:val="1E8B6B43"/>
    <w:rsid w:val="1E9A6840"/>
    <w:rsid w:val="1ED6646A"/>
    <w:rsid w:val="1EDE6BA6"/>
    <w:rsid w:val="1F455053"/>
    <w:rsid w:val="1F55242C"/>
    <w:rsid w:val="1F700984"/>
    <w:rsid w:val="1FA552AA"/>
    <w:rsid w:val="1FCB3932"/>
    <w:rsid w:val="1FD60C01"/>
    <w:rsid w:val="200713E3"/>
    <w:rsid w:val="204C4FB6"/>
    <w:rsid w:val="20597257"/>
    <w:rsid w:val="206B7C76"/>
    <w:rsid w:val="20857445"/>
    <w:rsid w:val="20BB14C1"/>
    <w:rsid w:val="20D332ED"/>
    <w:rsid w:val="21110093"/>
    <w:rsid w:val="21594433"/>
    <w:rsid w:val="215C4327"/>
    <w:rsid w:val="21676E58"/>
    <w:rsid w:val="216F002D"/>
    <w:rsid w:val="219C7D87"/>
    <w:rsid w:val="21B54067"/>
    <w:rsid w:val="21E44D41"/>
    <w:rsid w:val="21F27118"/>
    <w:rsid w:val="22133B46"/>
    <w:rsid w:val="221556A0"/>
    <w:rsid w:val="22185EBE"/>
    <w:rsid w:val="222A27EC"/>
    <w:rsid w:val="22340234"/>
    <w:rsid w:val="223644B4"/>
    <w:rsid w:val="223F3C74"/>
    <w:rsid w:val="224A13C0"/>
    <w:rsid w:val="225C2F25"/>
    <w:rsid w:val="226C6A82"/>
    <w:rsid w:val="228327E0"/>
    <w:rsid w:val="22A07E58"/>
    <w:rsid w:val="22DA4835"/>
    <w:rsid w:val="22DC6AEF"/>
    <w:rsid w:val="22F87853"/>
    <w:rsid w:val="235A7FA5"/>
    <w:rsid w:val="237A77AC"/>
    <w:rsid w:val="237D63C2"/>
    <w:rsid w:val="23A46372"/>
    <w:rsid w:val="23AC3635"/>
    <w:rsid w:val="23E20D8D"/>
    <w:rsid w:val="240651D7"/>
    <w:rsid w:val="243A16F4"/>
    <w:rsid w:val="24545606"/>
    <w:rsid w:val="24922905"/>
    <w:rsid w:val="24B05BD6"/>
    <w:rsid w:val="24E77A09"/>
    <w:rsid w:val="25133447"/>
    <w:rsid w:val="251D567F"/>
    <w:rsid w:val="252127AC"/>
    <w:rsid w:val="25367556"/>
    <w:rsid w:val="253E2365"/>
    <w:rsid w:val="25635C14"/>
    <w:rsid w:val="258019C1"/>
    <w:rsid w:val="263D286F"/>
    <w:rsid w:val="2670184A"/>
    <w:rsid w:val="26754BC3"/>
    <w:rsid w:val="269F1C64"/>
    <w:rsid w:val="26AB0620"/>
    <w:rsid w:val="26CE6A6B"/>
    <w:rsid w:val="26D85BE5"/>
    <w:rsid w:val="26E509ED"/>
    <w:rsid w:val="27150397"/>
    <w:rsid w:val="274A336F"/>
    <w:rsid w:val="275D3313"/>
    <w:rsid w:val="27661CE9"/>
    <w:rsid w:val="27C91581"/>
    <w:rsid w:val="27DE748E"/>
    <w:rsid w:val="27E547CE"/>
    <w:rsid w:val="280C0D64"/>
    <w:rsid w:val="284F7A3C"/>
    <w:rsid w:val="28580658"/>
    <w:rsid w:val="28721745"/>
    <w:rsid w:val="28A17D90"/>
    <w:rsid w:val="28A40A97"/>
    <w:rsid w:val="28EB0069"/>
    <w:rsid w:val="2A1677D0"/>
    <w:rsid w:val="2A255EF6"/>
    <w:rsid w:val="2A385C41"/>
    <w:rsid w:val="2A7D5DF7"/>
    <w:rsid w:val="2A9D71E2"/>
    <w:rsid w:val="2AB15694"/>
    <w:rsid w:val="2AD42128"/>
    <w:rsid w:val="2AD508EE"/>
    <w:rsid w:val="2AF25321"/>
    <w:rsid w:val="2B077F27"/>
    <w:rsid w:val="2B7B2C13"/>
    <w:rsid w:val="2B8C78A7"/>
    <w:rsid w:val="2B9C48F7"/>
    <w:rsid w:val="2BBB6961"/>
    <w:rsid w:val="2BE04A04"/>
    <w:rsid w:val="2C0F5A50"/>
    <w:rsid w:val="2C1141DB"/>
    <w:rsid w:val="2C1667F2"/>
    <w:rsid w:val="2C2F34E1"/>
    <w:rsid w:val="2C72188C"/>
    <w:rsid w:val="2C937ABD"/>
    <w:rsid w:val="2C9772FD"/>
    <w:rsid w:val="2CA045B2"/>
    <w:rsid w:val="2CA94ED3"/>
    <w:rsid w:val="2CAB03E1"/>
    <w:rsid w:val="2CB8706D"/>
    <w:rsid w:val="2CD00F00"/>
    <w:rsid w:val="2CF72282"/>
    <w:rsid w:val="2DA4662A"/>
    <w:rsid w:val="2DBA08C3"/>
    <w:rsid w:val="2DD361D2"/>
    <w:rsid w:val="2DD53D36"/>
    <w:rsid w:val="2E0F6A8B"/>
    <w:rsid w:val="2E3F3B54"/>
    <w:rsid w:val="2EC577B7"/>
    <w:rsid w:val="2F190902"/>
    <w:rsid w:val="2F6154F6"/>
    <w:rsid w:val="2F7153BC"/>
    <w:rsid w:val="2F9E7701"/>
    <w:rsid w:val="2FBF6C4A"/>
    <w:rsid w:val="2FCE6D14"/>
    <w:rsid w:val="2FDD37C8"/>
    <w:rsid w:val="30451A17"/>
    <w:rsid w:val="305F5F26"/>
    <w:rsid w:val="30C306BE"/>
    <w:rsid w:val="30C54685"/>
    <w:rsid w:val="30CA6F6B"/>
    <w:rsid w:val="30DC0E18"/>
    <w:rsid w:val="30DD1767"/>
    <w:rsid w:val="310C4C7A"/>
    <w:rsid w:val="31406408"/>
    <w:rsid w:val="314A2CAF"/>
    <w:rsid w:val="31605278"/>
    <w:rsid w:val="3170775A"/>
    <w:rsid w:val="3175183C"/>
    <w:rsid w:val="317848BA"/>
    <w:rsid w:val="31BD5E56"/>
    <w:rsid w:val="31E0505B"/>
    <w:rsid w:val="31E955B9"/>
    <w:rsid w:val="31F972C9"/>
    <w:rsid w:val="3217019D"/>
    <w:rsid w:val="32321AFE"/>
    <w:rsid w:val="32544E54"/>
    <w:rsid w:val="328346EC"/>
    <w:rsid w:val="329A671D"/>
    <w:rsid w:val="32AE678B"/>
    <w:rsid w:val="33217126"/>
    <w:rsid w:val="333A41DA"/>
    <w:rsid w:val="336F0B8B"/>
    <w:rsid w:val="33982807"/>
    <w:rsid w:val="33FA6B80"/>
    <w:rsid w:val="34516272"/>
    <w:rsid w:val="34556214"/>
    <w:rsid w:val="34C94F3E"/>
    <w:rsid w:val="34E03223"/>
    <w:rsid w:val="35095C31"/>
    <w:rsid w:val="351C40B7"/>
    <w:rsid w:val="35342678"/>
    <w:rsid w:val="359F37F8"/>
    <w:rsid w:val="35A305BF"/>
    <w:rsid w:val="35B14E79"/>
    <w:rsid w:val="35B908A0"/>
    <w:rsid w:val="35C01EEE"/>
    <w:rsid w:val="35F27E98"/>
    <w:rsid w:val="36193570"/>
    <w:rsid w:val="362D4C60"/>
    <w:rsid w:val="36315EFE"/>
    <w:rsid w:val="366057DF"/>
    <w:rsid w:val="367B0F2A"/>
    <w:rsid w:val="36983E49"/>
    <w:rsid w:val="36985490"/>
    <w:rsid w:val="36B77B7A"/>
    <w:rsid w:val="36BE51A9"/>
    <w:rsid w:val="36D03C41"/>
    <w:rsid w:val="36D07B30"/>
    <w:rsid w:val="36EF77E2"/>
    <w:rsid w:val="372D4E45"/>
    <w:rsid w:val="372E1F6D"/>
    <w:rsid w:val="37596B56"/>
    <w:rsid w:val="376759E6"/>
    <w:rsid w:val="377D62E1"/>
    <w:rsid w:val="37DD253F"/>
    <w:rsid w:val="37F11B9E"/>
    <w:rsid w:val="381752B4"/>
    <w:rsid w:val="3857032A"/>
    <w:rsid w:val="385A17C6"/>
    <w:rsid w:val="38735E2E"/>
    <w:rsid w:val="38967F85"/>
    <w:rsid w:val="38A53551"/>
    <w:rsid w:val="38CC64AB"/>
    <w:rsid w:val="397D517E"/>
    <w:rsid w:val="399932D6"/>
    <w:rsid w:val="39E608A6"/>
    <w:rsid w:val="3A15016B"/>
    <w:rsid w:val="3A3F7B1F"/>
    <w:rsid w:val="3A5B7970"/>
    <w:rsid w:val="3AAC5F20"/>
    <w:rsid w:val="3AC55916"/>
    <w:rsid w:val="3AE37B43"/>
    <w:rsid w:val="3AFA4328"/>
    <w:rsid w:val="3B0E026E"/>
    <w:rsid w:val="3B0F564E"/>
    <w:rsid w:val="3B3514DC"/>
    <w:rsid w:val="3B653903"/>
    <w:rsid w:val="3B884AEE"/>
    <w:rsid w:val="3B8E0C8B"/>
    <w:rsid w:val="3BCA0E2F"/>
    <w:rsid w:val="3BCF0356"/>
    <w:rsid w:val="3C2173BE"/>
    <w:rsid w:val="3C3F1215"/>
    <w:rsid w:val="3C494AB0"/>
    <w:rsid w:val="3C6D163B"/>
    <w:rsid w:val="3C737FEE"/>
    <w:rsid w:val="3C8E191D"/>
    <w:rsid w:val="3C9372B5"/>
    <w:rsid w:val="3CC2540C"/>
    <w:rsid w:val="3CC7380C"/>
    <w:rsid w:val="3CCC690A"/>
    <w:rsid w:val="3CDC24A3"/>
    <w:rsid w:val="3DA26F4E"/>
    <w:rsid w:val="3DC13964"/>
    <w:rsid w:val="3E02770F"/>
    <w:rsid w:val="3E034F46"/>
    <w:rsid w:val="3E1C5FB8"/>
    <w:rsid w:val="3E461FFA"/>
    <w:rsid w:val="3E5875BB"/>
    <w:rsid w:val="3E77437A"/>
    <w:rsid w:val="3E8D0799"/>
    <w:rsid w:val="3E96253D"/>
    <w:rsid w:val="3E9C204E"/>
    <w:rsid w:val="3F2F743E"/>
    <w:rsid w:val="3F3102EA"/>
    <w:rsid w:val="3F39200F"/>
    <w:rsid w:val="3F5E3685"/>
    <w:rsid w:val="3F893958"/>
    <w:rsid w:val="3F904DA5"/>
    <w:rsid w:val="3FA154E0"/>
    <w:rsid w:val="3FD84B89"/>
    <w:rsid w:val="3FFF34D5"/>
    <w:rsid w:val="401B7708"/>
    <w:rsid w:val="40C50441"/>
    <w:rsid w:val="41130633"/>
    <w:rsid w:val="4122173F"/>
    <w:rsid w:val="413946DD"/>
    <w:rsid w:val="41576380"/>
    <w:rsid w:val="418013A8"/>
    <w:rsid w:val="41A01F32"/>
    <w:rsid w:val="41AB1011"/>
    <w:rsid w:val="41B80CA5"/>
    <w:rsid w:val="41C1177C"/>
    <w:rsid w:val="41C7524B"/>
    <w:rsid w:val="41FC2061"/>
    <w:rsid w:val="420D7C60"/>
    <w:rsid w:val="42175C6A"/>
    <w:rsid w:val="4265422E"/>
    <w:rsid w:val="427067D3"/>
    <w:rsid w:val="427C3B18"/>
    <w:rsid w:val="42AE31F6"/>
    <w:rsid w:val="42BE758E"/>
    <w:rsid w:val="42F122F3"/>
    <w:rsid w:val="42F76304"/>
    <w:rsid w:val="42FE2049"/>
    <w:rsid w:val="43095A30"/>
    <w:rsid w:val="433155A0"/>
    <w:rsid w:val="4337388C"/>
    <w:rsid w:val="43590498"/>
    <w:rsid w:val="43B927B5"/>
    <w:rsid w:val="43C3705C"/>
    <w:rsid w:val="43D22C1E"/>
    <w:rsid w:val="43E36DF0"/>
    <w:rsid w:val="440617BF"/>
    <w:rsid w:val="44140DC8"/>
    <w:rsid w:val="444232D0"/>
    <w:rsid w:val="449F2FA6"/>
    <w:rsid w:val="44C368A1"/>
    <w:rsid w:val="44DA6EB4"/>
    <w:rsid w:val="4520235F"/>
    <w:rsid w:val="455D7314"/>
    <w:rsid w:val="457115B0"/>
    <w:rsid w:val="45746506"/>
    <w:rsid w:val="45C15A50"/>
    <w:rsid w:val="45EE523F"/>
    <w:rsid w:val="460B0CAD"/>
    <w:rsid w:val="462B239B"/>
    <w:rsid w:val="463B6C60"/>
    <w:rsid w:val="465E7CE9"/>
    <w:rsid w:val="466949F3"/>
    <w:rsid w:val="46736486"/>
    <w:rsid w:val="468F4AE0"/>
    <w:rsid w:val="46D46799"/>
    <w:rsid w:val="46E42863"/>
    <w:rsid w:val="46ED600E"/>
    <w:rsid w:val="4700145E"/>
    <w:rsid w:val="47134358"/>
    <w:rsid w:val="47175C71"/>
    <w:rsid w:val="473562E6"/>
    <w:rsid w:val="47532AB3"/>
    <w:rsid w:val="476A0B07"/>
    <w:rsid w:val="476B171B"/>
    <w:rsid w:val="47B160AE"/>
    <w:rsid w:val="47BC1D39"/>
    <w:rsid w:val="47C63E6E"/>
    <w:rsid w:val="47D728FF"/>
    <w:rsid w:val="47EC21A5"/>
    <w:rsid w:val="47FB7227"/>
    <w:rsid w:val="480C5A1A"/>
    <w:rsid w:val="484306A6"/>
    <w:rsid w:val="485F30BF"/>
    <w:rsid w:val="486940A0"/>
    <w:rsid w:val="487A586C"/>
    <w:rsid w:val="488039E4"/>
    <w:rsid w:val="48B27939"/>
    <w:rsid w:val="48E934FE"/>
    <w:rsid w:val="49411291"/>
    <w:rsid w:val="495958E3"/>
    <w:rsid w:val="49DF2382"/>
    <w:rsid w:val="49E335A4"/>
    <w:rsid w:val="49F83654"/>
    <w:rsid w:val="4A4E2D9D"/>
    <w:rsid w:val="4A99449F"/>
    <w:rsid w:val="4AA97BFB"/>
    <w:rsid w:val="4AB769FC"/>
    <w:rsid w:val="4AD473C2"/>
    <w:rsid w:val="4AD47F97"/>
    <w:rsid w:val="4ADC493F"/>
    <w:rsid w:val="4AF04BB3"/>
    <w:rsid w:val="4B0B51D1"/>
    <w:rsid w:val="4B294631"/>
    <w:rsid w:val="4B944A92"/>
    <w:rsid w:val="4BA5690E"/>
    <w:rsid w:val="4BF54C18"/>
    <w:rsid w:val="4C004C97"/>
    <w:rsid w:val="4C3D1DE3"/>
    <w:rsid w:val="4C6652CC"/>
    <w:rsid w:val="4C874487"/>
    <w:rsid w:val="4CCC5026"/>
    <w:rsid w:val="4D0A525C"/>
    <w:rsid w:val="4D141D3B"/>
    <w:rsid w:val="4D3D50FD"/>
    <w:rsid w:val="4D4E0924"/>
    <w:rsid w:val="4D941D78"/>
    <w:rsid w:val="4DEA7BCB"/>
    <w:rsid w:val="4DF06649"/>
    <w:rsid w:val="4DF54AA6"/>
    <w:rsid w:val="4E0A307D"/>
    <w:rsid w:val="4E161168"/>
    <w:rsid w:val="4E4152CB"/>
    <w:rsid w:val="4E4744BB"/>
    <w:rsid w:val="4E536461"/>
    <w:rsid w:val="4E541690"/>
    <w:rsid w:val="4E99621A"/>
    <w:rsid w:val="4EAF7E6E"/>
    <w:rsid w:val="4EBC0A38"/>
    <w:rsid w:val="4EE63509"/>
    <w:rsid w:val="4F3F4ACB"/>
    <w:rsid w:val="4F7707FA"/>
    <w:rsid w:val="4F8A1971"/>
    <w:rsid w:val="4FE042AB"/>
    <w:rsid w:val="4FEA5443"/>
    <w:rsid w:val="501426F3"/>
    <w:rsid w:val="50A51BD8"/>
    <w:rsid w:val="50B13269"/>
    <w:rsid w:val="50B14FA9"/>
    <w:rsid w:val="50E7561F"/>
    <w:rsid w:val="50E77854"/>
    <w:rsid w:val="50F57D41"/>
    <w:rsid w:val="510D628D"/>
    <w:rsid w:val="514B7097"/>
    <w:rsid w:val="51566F70"/>
    <w:rsid w:val="51817AEB"/>
    <w:rsid w:val="51AF212C"/>
    <w:rsid w:val="51B33492"/>
    <w:rsid w:val="51E6096C"/>
    <w:rsid w:val="51F5455F"/>
    <w:rsid w:val="52486388"/>
    <w:rsid w:val="524E1F30"/>
    <w:rsid w:val="527821D9"/>
    <w:rsid w:val="5282542A"/>
    <w:rsid w:val="529F042E"/>
    <w:rsid w:val="52B449CB"/>
    <w:rsid w:val="53076DFC"/>
    <w:rsid w:val="530F59EE"/>
    <w:rsid w:val="53182258"/>
    <w:rsid w:val="53347BD7"/>
    <w:rsid w:val="535802B2"/>
    <w:rsid w:val="538052E4"/>
    <w:rsid w:val="53ED77F0"/>
    <w:rsid w:val="542A09DD"/>
    <w:rsid w:val="54396F3C"/>
    <w:rsid w:val="54500A68"/>
    <w:rsid w:val="549F7227"/>
    <w:rsid w:val="54D265EF"/>
    <w:rsid w:val="54E90D73"/>
    <w:rsid w:val="54F322DA"/>
    <w:rsid w:val="54F57D73"/>
    <w:rsid w:val="54F63708"/>
    <w:rsid w:val="550B6845"/>
    <w:rsid w:val="553241FA"/>
    <w:rsid w:val="55373BF7"/>
    <w:rsid w:val="554157AD"/>
    <w:rsid w:val="55DE4A1E"/>
    <w:rsid w:val="56416CCF"/>
    <w:rsid w:val="5650543E"/>
    <w:rsid w:val="56517AFC"/>
    <w:rsid w:val="5659482F"/>
    <w:rsid w:val="567A7BA2"/>
    <w:rsid w:val="56EF684B"/>
    <w:rsid w:val="56FB220A"/>
    <w:rsid w:val="574F77FC"/>
    <w:rsid w:val="578027B4"/>
    <w:rsid w:val="57B34159"/>
    <w:rsid w:val="57FA249C"/>
    <w:rsid w:val="58414F31"/>
    <w:rsid w:val="585B6D15"/>
    <w:rsid w:val="58781462"/>
    <w:rsid w:val="587D66C0"/>
    <w:rsid w:val="588B1225"/>
    <w:rsid w:val="58B126DF"/>
    <w:rsid w:val="58BA17AA"/>
    <w:rsid w:val="58C20224"/>
    <w:rsid w:val="58E10322"/>
    <w:rsid w:val="58FF5B61"/>
    <w:rsid w:val="590628FA"/>
    <w:rsid w:val="59066648"/>
    <w:rsid w:val="590961D4"/>
    <w:rsid w:val="59200ED7"/>
    <w:rsid w:val="598A6DA2"/>
    <w:rsid w:val="59AA38B5"/>
    <w:rsid w:val="59D57590"/>
    <w:rsid w:val="5A6B2D06"/>
    <w:rsid w:val="5A9722A8"/>
    <w:rsid w:val="5AD1392B"/>
    <w:rsid w:val="5B1D23F7"/>
    <w:rsid w:val="5B352FAF"/>
    <w:rsid w:val="5B3B20A2"/>
    <w:rsid w:val="5B75410F"/>
    <w:rsid w:val="5B7C392F"/>
    <w:rsid w:val="5B8147CD"/>
    <w:rsid w:val="5BBB625A"/>
    <w:rsid w:val="5BE54258"/>
    <w:rsid w:val="5BEA73B7"/>
    <w:rsid w:val="5BF31764"/>
    <w:rsid w:val="5C094674"/>
    <w:rsid w:val="5C1D17B1"/>
    <w:rsid w:val="5C591061"/>
    <w:rsid w:val="5C5C7E8A"/>
    <w:rsid w:val="5C683814"/>
    <w:rsid w:val="5C992C69"/>
    <w:rsid w:val="5CD77F6A"/>
    <w:rsid w:val="5CF91BFE"/>
    <w:rsid w:val="5D9928D3"/>
    <w:rsid w:val="5DA42053"/>
    <w:rsid w:val="5DB870FA"/>
    <w:rsid w:val="5DBF1408"/>
    <w:rsid w:val="5DC7008B"/>
    <w:rsid w:val="5DE10534"/>
    <w:rsid w:val="5DFB192D"/>
    <w:rsid w:val="5E0F0F93"/>
    <w:rsid w:val="5EB7358A"/>
    <w:rsid w:val="5EF416B0"/>
    <w:rsid w:val="5F1A2F47"/>
    <w:rsid w:val="5F545422"/>
    <w:rsid w:val="5F5F0B8B"/>
    <w:rsid w:val="5FCB0601"/>
    <w:rsid w:val="5FCB760C"/>
    <w:rsid w:val="5FF8292E"/>
    <w:rsid w:val="6038072E"/>
    <w:rsid w:val="603B0075"/>
    <w:rsid w:val="60472E94"/>
    <w:rsid w:val="605C6EEF"/>
    <w:rsid w:val="60A37A0C"/>
    <w:rsid w:val="60B47EDA"/>
    <w:rsid w:val="60EA0646"/>
    <w:rsid w:val="612418B4"/>
    <w:rsid w:val="613914D8"/>
    <w:rsid w:val="613C612D"/>
    <w:rsid w:val="61742F2E"/>
    <w:rsid w:val="61905628"/>
    <w:rsid w:val="61BC7666"/>
    <w:rsid w:val="61D97DDF"/>
    <w:rsid w:val="61E34092"/>
    <w:rsid w:val="621A0BE5"/>
    <w:rsid w:val="622C72FC"/>
    <w:rsid w:val="62394355"/>
    <w:rsid w:val="6284019F"/>
    <w:rsid w:val="62851DA6"/>
    <w:rsid w:val="62C27D98"/>
    <w:rsid w:val="62EA253B"/>
    <w:rsid w:val="62F223B9"/>
    <w:rsid w:val="632C71DE"/>
    <w:rsid w:val="63A40546"/>
    <w:rsid w:val="63BD1455"/>
    <w:rsid w:val="63ED2F9B"/>
    <w:rsid w:val="63FA1061"/>
    <w:rsid w:val="643251CD"/>
    <w:rsid w:val="645D5BBA"/>
    <w:rsid w:val="647F3938"/>
    <w:rsid w:val="6492082A"/>
    <w:rsid w:val="64A6753F"/>
    <w:rsid w:val="64B348EB"/>
    <w:rsid w:val="64C72939"/>
    <w:rsid w:val="64D50C98"/>
    <w:rsid w:val="64E549C1"/>
    <w:rsid w:val="64ED4A45"/>
    <w:rsid w:val="64F958CC"/>
    <w:rsid w:val="654E6854"/>
    <w:rsid w:val="655F4489"/>
    <w:rsid w:val="65605D49"/>
    <w:rsid w:val="65625639"/>
    <w:rsid w:val="65683D08"/>
    <w:rsid w:val="65B967DD"/>
    <w:rsid w:val="65CF76B9"/>
    <w:rsid w:val="65D50DAD"/>
    <w:rsid w:val="65D72AA8"/>
    <w:rsid w:val="663B1D91"/>
    <w:rsid w:val="66431CEE"/>
    <w:rsid w:val="66755079"/>
    <w:rsid w:val="66864A79"/>
    <w:rsid w:val="668B1AA5"/>
    <w:rsid w:val="670B2BC9"/>
    <w:rsid w:val="672D268A"/>
    <w:rsid w:val="67302121"/>
    <w:rsid w:val="67815D92"/>
    <w:rsid w:val="679627A8"/>
    <w:rsid w:val="67E46F56"/>
    <w:rsid w:val="68842A01"/>
    <w:rsid w:val="68BD7BDC"/>
    <w:rsid w:val="68C25B07"/>
    <w:rsid w:val="694F419F"/>
    <w:rsid w:val="69644355"/>
    <w:rsid w:val="69A34B8C"/>
    <w:rsid w:val="69D021D8"/>
    <w:rsid w:val="6A0A55A7"/>
    <w:rsid w:val="6A0D7A2A"/>
    <w:rsid w:val="6A8530D7"/>
    <w:rsid w:val="6A8A23B4"/>
    <w:rsid w:val="6AB21BBF"/>
    <w:rsid w:val="6AC50718"/>
    <w:rsid w:val="6AC561C1"/>
    <w:rsid w:val="6AC76706"/>
    <w:rsid w:val="6AC92F70"/>
    <w:rsid w:val="6AD90AE0"/>
    <w:rsid w:val="6B000DB3"/>
    <w:rsid w:val="6B22284E"/>
    <w:rsid w:val="6B7E2F24"/>
    <w:rsid w:val="6BA357B7"/>
    <w:rsid w:val="6BA6193B"/>
    <w:rsid w:val="6BB86E07"/>
    <w:rsid w:val="6C152FEE"/>
    <w:rsid w:val="6C5A38BB"/>
    <w:rsid w:val="6C7C4B0B"/>
    <w:rsid w:val="6C897457"/>
    <w:rsid w:val="6D1C27ED"/>
    <w:rsid w:val="6D5E0DAF"/>
    <w:rsid w:val="6DAB5EEF"/>
    <w:rsid w:val="6DDB2DC4"/>
    <w:rsid w:val="6DDC13BA"/>
    <w:rsid w:val="6DDD2301"/>
    <w:rsid w:val="6DE428AD"/>
    <w:rsid w:val="6DEF60A6"/>
    <w:rsid w:val="6E29112D"/>
    <w:rsid w:val="6E375980"/>
    <w:rsid w:val="6E505DCB"/>
    <w:rsid w:val="6E53792D"/>
    <w:rsid w:val="6E552770"/>
    <w:rsid w:val="6E624A76"/>
    <w:rsid w:val="6E6B6604"/>
    <w:rsid w:val="6E713749"/>
    <w:rsid w:val="6ECB131B"/>
    <w:rsid w:val="6F2B50B9"/>
    <w:rsid w:val="6F4A662A"/>
    <w:rsid w:val="6F5B755C"/>
    <w:rsid w:val="6F756BA6"/>
    <w:rsid w:val="6F8B777D"/>
    <w:rsid w:val="6F8E3A1E"/>
    <w:rsid w:val="6F944E04"/>
    <w:rsid w:val="6FE8511D"/>
    <w:rsid w:val="700103CC"/>
    <w:rsid w:val="70136091"/>
    <w:rsid w:val="705D0CD0"/>
    <w:rsid w:val="708E658F"/>
    <w:rsid w:val="7099528F"/>
    <w:rsid w:val="70A13152"/>
    <w:rsid w:val="70E93345"/>
    <w:rsid w:val="71376F23"/>
    <w:rsid w:val="714201E7"/>
    <w:rsid w:val="714758C1"/>
    <w:rsid w:val="714D02A0"/>
    <w:rsid w:val="71674FA6"/>
    <w:rsid w:val="71753938"/>
    <w:rsid w:val="71A74C09"/>
    <w:rsid w:val="71E13902"/>
    <w:rsid w:val="726111B9"/>
    <w:rsid w:val="72817F17"/>
    <w:rsid w:val="728209B6"/>
    <w:rsid w:val="729A2160"/>
    <w:rsid w:val="72E0678E"/>
    <w:rsid w:val="72F7044B"/>
    <w:rsid w:val="732B3BB9"/>
    <w:rsid w:val="73813576"/>
    <w:rsid w:val="73873DBA"/>
    <w:rsid w:val="73AF3A9F"/>
    <w:rsid w:val="73B938D3"/>
    <w:rsid w:val="73E63E99"/>
    <w:rsid w:val="741F0104"/>
    <w:rsid w:val="74506FAF"/>
    <w:rsid w:val="74537CDF"/>
    <w:rsid w:val="745920C8"/>
    <w:rsid w:val="746C0ABC"/>
    <w:rsid w:val="74CF1ADC"/>
    <w:rsid w:val="751440A2"/>
    <w:rsid w:val="751C6D33"/>
    <w:rsid w:val="75326E34"/>
    <w:rsid w:val="753E0982"/>
    <w:rsid w:val="753F4E32"/>
    <w:rsid w:val="75446487"/>
    <w:rsid w:val="75447B30"/>
    <w:rsid w:val="75783E81"/>
    <w:rsid w:val="75AE2F81"/>
    <w:rsid w:val="75BB6426"/>
    <w:rsid w:val="75DC4DFD"/>
    <w:rsid w:val="75E76CCB"/>
    <w:rsid w:val="75FB76B4"/>
    <w:rsid w:val="7601343D"/>
    <w:rsid w:val="76052D48"/>
    <w:rsid w:val="76313F9E"/>
    <w:rsid w:val="764B2384"/>
    <w:rsid w:val="766B2B4E"/>
    <w:rsid w:val="76727E3E"/>
    <w:rsid w:val="769931AB"/>
    <w:rsid w:val="76C50CCF"/>
    <w:rsid w:val="76E03019"/>
    <w:rsid w:val="771C66BD"/>
    <w:rsid w:val="771E729E"/>
    <w:rsid w:val="772B7F6D"/>
    <w:rsid w:val="776E6658"/>
    <w:rsid w:val="777B7D4B"/>
    <w:rsid w:val="77A92BCA"/>
    <w:rsid w:val="77C178EF"/>
    <w:rsid w:val="77ED6651"/>
    <w:rsid w:val="780E7219"/>
    <w:rsid w:val="780F5B0A"/>
    <w:rsid w:val="78315E89"/>
    <w:rsid w:val="7832298E"/>
    <w:rsid w:val="7836005D"/>
    <w:rsid w:val="78375FA9"/>
    <w:rsid w:val="78504BFA"/>
    <w:rsid w:val="786C3DA3"/>
    <w:rsid w:val="78985D3A"/>
    <w:rsid w:val="78B24F5B"/>
    <w:rsid w:val="78B754AD"/>
    <w:rsid w:val="79020653"/>
    <w:rsid w:val="791E1AB4"/>
    <w:rsid w:val="79455C55"/>
    <w:rsid w:val="79477F79"/>
    <w:rsid w:val="797D070B"/>
    <w:rsid w:val="79DF0E97"/>
    <w:rsid w:val="79EE4563"/>
    <w:rsid w:val="79FE7CA6"/>
    <w:rsid w:val="7A26020F"/>
    <w:rsid w:val="7A582005"/>
    <w:rsid w:val="7A670DA8"/>
    <w:rsid w:val="7AAE6C70"/>
    <w:rsid w:val="7AC32F8A"/>
    <w:rsid w:val="7B212B98"/>
    <w:rsid w:val="7B336EB5"/>
    <w:rsid w:val="7B7F4E0C"/>
    <w:rsid w:val="7BAC056D"/>
    <w:rsid w:val="7BFD3412"/>
    <w:rsid w:val="7CA11284"/>
    <w:rsid w:val="7D23301D"/>
    <w:rsid w:val="7D2549F7"/>
    <w:rsid w:val="7D3064C7"/>
    <w:rsid w:val="7DAB7DA8"/>
    <w:rsid w:val="7DF76D63"/>
    <w:rsid w:val="7E0409B3"/>
    <w:rsid w:val="7E256153"/>
    <w:rsid w:val="7E2A4844"/>
    <w:rsid w:val="7E330A54"/>
    <w:rsid w:val="7E420ABE"/>
    <w:rsid w:val="7E4D0494"/>
    <w:rsid w:val="7E580694"/>
    <w:rsid w:val="7E7A1F5E"/>
    <w:rsid w:val="7E955B16"/>
    <w:rsid w:val="7E956AE0"/>
    <w:rsid w:val="7EDD4AE3"/>
    <w:rsid w:val="7EFE67B8"/>
    <w:rsid w:val="7F2841F8"/>
    <w:rsid w:val="7F704640"/>
    <w:rsid w:val="7F9F767F"/>
    <w:rsid w:val="7FB071C5"/>
  </w:rsids>
  <m:mathPr>
    <m:mathFont m:val="Cambria Math"/>
    <m:brkBin m:val="before"/>
    <m:brkBinSub m:val="--"/>
    <m:smallFrac m:val="0"/>
    <m:dispDef/>
    <m:lMargin m:val="0"/>
    <m:rMargin m:val="0"/>
    <m:defJc m:val="centerGroup"/>
    <m:wrapIndent m:val="1440"/>
    <m:intLim m:val="subSup"/>
    <m:naryLim m:val="undOvr"/>
  </m:mathPr>
  <w:doNotAutoCompressPictures/>
  <w:uiCompat97To2003/>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imes New Roman" w:hAnsi="Times New Roman" w:eastAsia="宋体" w:cs="Times New Roman"/>
      </w:rPr>
    </w:r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ocked="1"/>
    <w:lsdException w:qFormat="1" w:uiPriority="0" w:name="heading 2" w:locked="1"/>
    <w:lsdException w:qFormat="1" w:unhideWhenUsed="0" w:uiPriority="99" w:semiHidden="0" w:name="heading 3"/>
    <w:lsdException w:qFormat="1" w:uiPriority="0" w:name="heading 4" w:locked="1"/>
    <w:lsdException w:qFormat="1" w:uiPriority="0" w:name="heading 5" w:locked="1"/>
    <w:lsdException w:qFormat="1" w:uiPriority="0" w:name="heading 6" w:locked="1"/>
    <w:lsdException w:qFormat="1" w:uiPriority="0" w:name="heading 7" w:locked="1"/>
    <w:lsdException w:qFormat="1" w:uiPriority="0" w:name="heading 8" w:locked="1"/>
    <w:lsdException w:qFormat="1" w:uiPriority="0" w:name="heading 9" w:locked="1"/>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nhideWhenUsed="0" w:uiPriority="99" w:semiHidden="0" w:name="toc 1"/>
    <w:lsdException w:qFormat="1" w:unhideWhenUsed="0" w:uiPriority="99" w:semiHidden="0" w:name="toc 2"/>
    <w:lsdException w:qFormat="1" w:unhideWhenUsed="0" w:uiPriority="99" w:semiHidden="0" w:name="toc 3"/>
    <w:lsdException w:qFormat="1" w:unhideWhenUsed="0" w:uiPriority="99" w:semiHidden="0" w:name="toc 4"/>
    <w:lsdException w:qFormat="1" w:unhideWhenUsed="0" w:uiPriority="99" w:semiHidden="0" w:name="toc 5"/>
    <w:lsdException w:qFormat="1" w:unhideWhenUsed="0" w:uiPriority="99" w:semiHidden="0" w:name="toc 6"/>
    <w:lsdException w:qFormat="1" w:unhideWhenUsed="0" w:uiPriority="99" w:semiHidden="0" w:name="toc 7"/>
    <w:lsdException w:qFormat="1" w:unhideWhenUsed="0" w:uiPriority="99" w:semiHidden="0" w:name="toc 8"/>
    <w:lsdException w:qFormat="1" w:unhideWhenUsed="0" w:uiPriority="99" w:semiHidden="0" w:name="toc 9"/>
    <w:lsdException w:unhideWhenUsed="0" w:uiPriority="99" w:semiHidden="0" w:name="Normal Indent"/>
    <w:lsdException w:qFormat="1" w:unhideWhenUsed="0" w:uiPriority="99" w:name="footnote text"/>
    <w:lsdException w:qFormat="1" w:unhideWhenUsed="0" w:uiPriority="99" w:semiHidden="0" w:name="annotation text"/>
    <w:lsdException w:qFormat="1" w:unhideWhenUsed="0" w:uiPriority="99" w:semiHidden="0" w:name="header"/>
    <w:lsdException w:qFormat="1" w:unhideWhenUsed="0" w:uiPriority="99" w:semiHidden="0" w:name="footer"/>
    <w:lsdException w:uiPriority="99" w:name="index heading"/>
    <w:lsdException w:qFormat="1" w:uiPriority="0" w:name="caption" w:locked="1"/>
    <w:lsdException w:uiPriority="99" w:name="table of figures"/>
    <w:lsdException w:uiPriority="99" w:name="envelope address"/>
    <w:lsdException w:uiPriority="99" w:name="envelope return"/>
    <w:lsdException w:unhideWhenUsed="0" w:uiPriority="99" w:name="footnote reference"/>
    <w:lsdException w:qFormat="1" w:unhideWhenUsed="0" w:uiPriority="99" w:name="annotation reference"/>
    <w:lsdException w:uiPriority="99" w:name="line number"/>
    <w:lsdException w:uiPriority="99" w:name="page number"/>
    <w:lsdException w:qFormat="1" w:unhideWhenUsed="0" w:uiPriority="99" w:name="endnote reference"/>
    <w:lsdException w:unhideWhenUsed="0"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0" w:semiHidden="0" w:name="Title" w:locked="1"/>
    <w:lsdException w:uiPriority="99" w:name="Closing"/>
    <w:lsdException w:uiPriority="99" w:name="Signature"/>
    <w:lsdException w:unhideWhenUsed="0" w:uiPriority="99"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0" w:semiHidden="0" w:name="Subtitle" w:locked="1"/>
    <w:lsdException w:uiPriority="99" w:name="Salutation"/>
    <w:lsdException w:unhideWhenUsed="0"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qFormat="1" w:unhideWhenUsed="0" w:uiPriority="99" w:semiHidden="0" w:name="Hyperlink"/>
    <w:lsdException w:uiPriority="99" w:name="FollowedHyperlink"/>
    <w:lsdException w:qFormat="1" w:unhideWhenUsed="0" w:uiPriority="0" w:semiHidden="0" w:name="Strong" w:locked="1"/>
    <w:lsdException w:qFormat="1" w:unhideWhenUsed="0" w:uiPriority="0" w:semiHidden="0" w:name="Emphasis" w:locked="1"/>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qFormat="1" w:unhideWhenUsed="0"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nhideWhenUsed="0" w:uiPriority="99" w:name="Balloon Text"/>
    <w:lsdException w:qFormat="1" w:unhideWhenUsed="0" w:uiPriority="9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99"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Calibri" w:hAnsi="Calibri" w:eastAsia="宋体" w:cs="Times New Roman"/>
      <w:kern w:val="2"/>
      <w:sz w:val="21"/>
      <w:szCs w:val="22"/>
      <w:lang w:val="en-US" w:eastAsia="zh-CN" w:bidi="ar-SA"/>
    </w:rPr>
  </w:style>
  <w:style w:type="paragraph" w:styleId="2">
    <w:name w:val="heading 3"/>
    <w:basedOn w:val="1"/>
    <w:next w:val="1"/>
    <w:link w:val="28"/>
    <w:qFormat/>
    <w:uiPriority w:val="99"/>
    <w:pPr>
      <w:keepNext/>
      <w:keepLines/>
      <w:widowControl/>
      <w:spacing w:line="259" w:lineRule="auto"/>
      <w:ind w:left="10" w:right="164" w:hanging="10"/>
      <w:jc w:val="center"/>
      <w:outlineLvl w:val="2"/>
    </w:pPr>
    <w:rPr>
      <w:rFonts w:ascii="Arial Unicode MS" w:hAnsi="Arial Unicode MS" w:cs="Arial Unicode MS"/>
      <w:color w:val="000000"/>
      <w:sz w:val="32"/>
    </w:rPr>
  </w:style>
  <w:style w:type="character" w:default="1" w:styleId="23">
    <w:name w:val="Default Paragraph Font"/>
    <w:semiHidden/>
    <w:uiPriority w:val="99"/>
  </w:style>
  <w:style w:type="table" w:default="1" w:styleId="21">
    <w:name w:val="Normal Table"/>
    <w:semiHidden/>
    <w:unhideWhenUsed/>
    <w:qFormat/>
    <w:uiPriority w:val="99"/>
    <w:tblPr>
      <w:tblCellMar>
        <w:top w:w="0" w:type="dxa"/>
        <w:left w:w="108" w:type="dxa"/>
        <w:bottom w:w="0" w:type="dxa"/>
        <w:right w:w="108" w:type="dxa"/>
      </w:tblCellMar>
    </w:tblPr>
  </w:style>
  <w:style w:type="paragraph" w:styleId="3">
    <w:name w:val="toc 7"/>
    <w:basedOn w:val="1"/>
    <w:next w:val="1"/>
    <w:qFormat/>
    <w:uiPriority w:val="99"/>
    <w:pPr>
      <w:ind w:left="2520" w:leftChars="1200"/>
    </w:pPr>
  </w:style>
  <w:style w:type="paragraph" w:styleId="4">
    <w:name w:val="Normal Indent"/>
    <w:basedOn w:val="1"/>
    <w:uiPriority w:val="99"/>
    <w:pPr>
      <w:ind w:firstLine="420" w:firstLineChars="200"/>
    </w:pPr>
    <w:rPr>
      <w:sz w:val="28"/>
      <w:szCs w:val="28"/>
    </w:rPr>
  </w:style>
  <w:style w:type="paragraph" w:styleId="5">
    <w:name w:val="annotation text"/>
    <w:basedOn w:val="1"/>
    <w:link w:val="29"/>
    <w:qFormat/>
    <w:uiPriority w:val="99"/>
    <w:pPr>
      <w:jc w:val="left"/>
    </w:pPr>
  </w:style>
  <w:style w:type="paragraph" w:styleId="6">
    <w:name w:val="toc 5"/>
    <w:basedOn w:val="1"/>
    <w:next w:val="1"/>
    <w:qFormat/>
    <w:uiPriority w:val="99"/>
    <w:pPr>
      <w:ind w:left="1680" w:leftChars="800"/>
    </w:pPr>
  </w:style>
  <w:style w:type="paragraph" w:styleId="7">
    <w:name w:val="toc 3"/>
    <w:basedOn w:val="1"/>
    <w:next w:val="1"/>
    <w:qFormat/>
    <w:uiPriority w:val="99"/>
    <w:pPr>
      <w:ind w:left="840" w:leftChars="400"/>
    </w:pPr>
  </w:style>
  <w:style w:type="paragraph" w:styleId="8">
    <w:name w:val="toc 8"/>
    <w:basedOn w:val="1"/>
    <w:next w:val="1"/>
    <w:qFormat/>
    <w:uiPriority w:val="99"/>
    <w:pPr>
      <w:ind w:left="2940" w:leftChars="1400"/>
    </w:pPr>
  </w:style>
  <w:style w:type="paragraph" w:styleId="9">
    <w:name w:val="Date"/>
    <w:basedOn w:val="1"/>
    <w:next w:val="1"/>
    <w:link w:val="30"/>
    <w:semiHidden/>
    <w:uiPriority w:val="99"/>
    <w:pPr>
      <w:ind w:left="100" w:leftChars="2500"/>
    </w:pPr>
  </w:style>
  <w:style w:type="paragraph" w:styleId="10">
    <w:name w:val="endnote text"/>
    <w:basedOn w:val="1"/>
    <w:link w:val="31"/>
    <w:semiHidden/>
    <w:uiPriority w:val="99"/>
    <w:pPr>
      <w:snapToGrid w:val="0"/>
      <w:jc w:val="left"/>
    </w:pPr>
  </w:style>
  <w:style w:type="paragraph" w:styleId="11">
    <w:name w:val="Balloon Text"/>
    <w:basedOn w:val="1"/>
    <w:link w:val="32"/>
    <w:semiHidden/>
    <w:uiPriority w:val="99"/>
    <w:rPr>
      <w:sz w:val="18"/>
      <w:szCs w:val="18"/>
    </w:rPr>
  </w:style>
  <w:style w:type="paragraph" w:styleId="12">
    <w:name w:val="footer"/>
    <w:basedOn w:val="1"/>
    <w:link w:val="33"/>
    <w:qFormat/>
    <w:uiPriority w:val="99"/>
    <w:pPr>
      <w:tabs>
        <w:tab w:val="center" w:pos="4153"/>
        <w:tab w:val="right" w:pos="8306"/>
      </w:tabs>
      <w:snapToGrid w:val="0"/>
      <w:jc w:val="left"/>
    </w:pPr>
    <w:rPr>
      <w:sz w:val="18"/>
      <w:szCs w:val="18"/>
    </w:rPr>
  </w:style>
  <w:style w:type="paragraph" w:styleId="13">
    <w:name w:val="header"/>
    <w:basedOn w:val="1"/>
    <w:link w:val="34"/>
    <w:qFormat/>
    <w:uiPriority w:val="99"/>
    <w:pPr>
      <w:pBdr>
        <w:bottom w:val="single" w:color="auto" w:sz="6" w:space="1"/>
      </w:pBdr>
      <w:tabs>
        <w:tab w:val="center" w:pos="4153"/>
        <w:tab w:val="right" w:pos="8306"/>
      </w:tabs>
      <w:snapToGrid w:val="0"/>
      <w:jc w:val="center"/>
    </w:pPr>
    <w:rPr>
      <w:sz w:val="18"/>
      <w:szCs w:val="18"/>
    </w:rPr>
  </w:style>
  <w:style w:type="paragraph" w:styleId="14">
    <w:name w:val="toc 1"/>
    <w:basedOn w:val="1"/>
    <w:next w:val="1"/>
    <w:uiPriority w:val="99"/>
  </w:style>
  <w:style w:type="paragraph" w:styleId="15">
    <w:name w:val="toc 4"/>
    <w:basedOn w:val="1"/>
    <w:next w:val="1"/>
    <w:qFormat/>
    <w:uiPriority w:val="99"/>
    <w:pPr>
      <w:ind w:left="1260" w:leftChars="600"/>
    </w:pPr>
  </w:style>
  <w:style w:type="paragraph" w:styleId="16">
    <w:name w:val="footnote text"/>
    <w:basedOn w:val="1"/>
    <w:link w:val="35"/>
    <w:semiHidden/>
    <w:qFormat/>
    <w:uiPriority w:val="99"/>
    <w:pPr>
      <w:snapToGrid w:val="0"/>
      <w:jc w:val="left"/>
    </w:pPr>
    <w:rPr>
      <w:sz w:val="18"/>
      <w:szCs w:val="18"/>
    </w:rPr>
  </w:style>
  <w:style w:type="paragraph" w:styleId="17">
    <w:name w:val="toc 6"/>
    <w:basedOn w:val="1"/>
    <w:next w:val="1"/>
    <w:qFormat/>
    <w:uiPriority w:val="99"/>
    <w:pPr>
      <w:ind w:left="2100" w:leftChars="1000"/>
    </w:pPr>
  </w:style>
  <w:style w:type="paragraph" w:styleId="18">
    <w:name w:val="toc 2"/>
    <w:basedOn w:val="1"/>
    <w:next w:val="1"/>
    <w:qFormat/>
    <w:uiPriority w:val="99"/>
    <w:pPr>
      <w:ind w:left="420" w:leftChars="200"/>
    </w:pPr>
  </w:style>
  <w:style w:type="paragraph" w:styleId="19">
    <w:name w:val="toc 9"/>
    <w:basedOn w:val="1"/>
    <w:next w:val="1"/>
    <w:qFormat/>
    <w:uiPriority w:val="99"/>
    <w:pPr>
      <w:ind w:left="3360" w:leftChars="1600"/>
    </w:pPr>
  </w:style>
  <w:style w:type="paragraph" w:styleId="20">
    <w:name w:val="annotation subject"/>
    <w:basedOn w:val="5"/>
    <w:next w:val="5"/>
    <w:link w:val="36"/>
    <w:semiHidden/>
    <w:qFormat/>
    <w:uiPriority w:val="99"/>
    <w:rPr>
      <w:b/>
      <w:bCs/>
    </w:rPr>
  </w:style>
  <w:style w:type="table" w:styleId="22">
    <w:name w:val="Table Grid"/>
    <w:basedOn w:val="21"/>
    <w:qFormat/>
    <w:uiPriority w:val="99"/>
    <w:rPr>
      <w:kern w:val="0"/>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
  </w:style>
  <w:style w:type="character" w:styleId="24">
    <w:name w:val="endnote reference"/>
    <w:basedOn w:val="23"/>
    <w:semiHidden/>
    <w:qFormat/>
    <w:uiPriority w:val="99"/>
    <w:rPr>
      <w:rFonts w:cs="Times New Roman"/>
      <w:vertAlign w:val="superscript"/>
    </w:rPr>
  </w:style>
  <w:style w:type="character" w:styleId="25">
    <w:name w:val="Hyperlink"/>
    <w:basedOn w:val="23"/>
    <w:qFormat/>
    <w:uiPriority w:val="99"/>
    <w:rPr>
      <w:rFonts w:cs="Times New Roman"/>
      <w:color w:val="0563C1"/>
      <w:u w:val="single"/>
    </w:rPr>
  </w:style>
  <w:style w:type="character" w:styleId="26">
    <w:name w:val="annotation reference"/>
    <w:basedOn w:val="23"/>
    <w:semiHidden/>
    <w:qFormat/>
    <w:uiPriority w:val="99"/>
    <w:rPr>
      <w:rFonts w:cs="Times New Roman"/>
      <w:sz w:val="21"/>
      <w:szCs w:val="21"/>
    </w:rPr>
  </w:style>
  <w:style w:type="character" w:styleId="27">
    <w:name w:val="footnote reference"/>
    <w:basedOn w:val="23"/>
    <w:semiHidden/>
    <w:uiPriority w:val="99"/>
    <w:rPr>
      <w:rFonts w:cs="Times New Roman"/>
      <w:vertAlign w:val="superscript"/>
    </w:rPr>
  </w:style>
  <w:style w:type="character" w:customStyle="1" w:styleId="28">
    <w:name w:val="Heading 3 Char"/>
    <w:basedOn w:val="23"/>
    <w:link w:val="2"/>
    <w:locked/>
    <w:uiPriority w:val="99"/>
    <w:rPr>
      <w:rFonts w:ascii="Arial Unicode MS" w:hAnsi="Arial Unicode MS" w:eastAsia="Times New Roman" w:cs="Arial Unicode MS"/>
      <w:color w:val="000000"/>
      <w:kern w:val="2"/>
      <w:sz w:val="22"/>
      <w:szCs w:val="22"/>
      <w:lang w:val="en-US" w:eastAsia="zh-CN" w:bidi="ar-SA"/>
    </w:rPr>
  </w:style>
  <w:style w:type="character" w:customStyle="1" w:styleId="29">
    <w:name w:val="Comment Text Char"/>
    <w:basedOn w:val="23"/>
    <w:link w:val="5"/>
    <w:qFormat/>
    <w:locked/>
    <w:uiPriority w:val="99"/>
    <w:rPr>
      <w:rFonts w:ascii="Calibri" w:hAnsi="Calibri" w:eastAsia="宋体" w:cs="Times New Roman"/>
      <w:kern w:val="2"/>
      <w:sz w:val="22"/>
      <w:szCs w:val="22"/>
    </w:rPr>
  </w:style>
  <w:style w:type="character" w:customStyle="1" w:styleId="30">
    <w:name w:val="Date Char"/>
    <w:basedOn w:val="23"/>
    <w:link w:val="9"/>
    <w:semiHidden/>
    <w:locked/>
    <w:uiPriority w:val="99"/>
    <w:rPr>
      <w:rFonts w:cs="Times New Roman"/>
    </w:rPr>
  </w:style>
  <w:style w:type="character" w:customStyle="1" w:styleId="31">
    <w:name w:val="Endnote Text Char"/>
    <w:basedOn w:val="23"/>
    <w:link w:val="10"/>
    <w:semiHidden/>
    <w:qFormat/>
    <w:locked/>
    <w:uiPriority w:val="99"/>
    <w:rPr>
      <w:rFonts w:ascii="Calibri" w:hAnsi="Calibri" w:eastAsia="宋体" w:cs="Times New Roman"/>
      <w:kern w:val="2"/>
      <w:sz w:val="22"/>
      <w:szCs w:val="22"/>
    </w:rPr>
  </w:style>
  <w:style w:type="character" w:customStyle="1" w:styleId="32">
    <w:name w:val="Balloon Text Char"/>
    <w:basedOn w:val="23"/>
    <w:link w:val="11"/>
    <w:semiHidden/>
    <w:qFormat/>
    <w:locked/>
    <w:uiPriority w:val="99"/>
    <w:rPr>
      <w:rFonts w:ascii="Calibri" w:hAnsi="Calibri" w:eastAsia="宋体" w:cs="Times New Roman"/>
      <w:kern w:val="2"/>
      <w:sz w:val="18"/>
      <w:szCs w:val="18"/>
    </w:rPr>
  </w:style>
  <w:style w:type="character" w:customStyle="1" w:styleId="33">
    <w:name w:val="Footer Char"/>
    <w:basedOn w:val="23"/>
    <w:link w:val="12"/>
    <w:qFormat/>
    <w:locked/>
    <w:uiPriority w:val="99"/>
    <w:rPr>
      <w:rFonts w:cs="Times New Roman"/>
      <w:sz w:val="18"/>
      <w:szCs w:val="18"/>
    </w:rPr>
  </w:style>
  <w:style w:type="character" w:customStyle="1" w:styleId="34">
    <w:name w:val="Header Char"/>
    <w:basedOn w:val="23"/>
    <w:link w:val="13"/>
    <w:qFormat/>
    <w:locked/>
    <w:uiPriority w:val="99"/>
    <w:rPr>
      <w:rFonts w:cs="Times New Roman"/>
      <w:sz w:val="18"/>
      <w:szCs w:val="18"/>
    </w:rPr>
  </w:style>
  <w:style w:type="character" w:customStyle="1" w:styleId="35">
    <w:name w:val="Footnote Text Char"/>
    <w:basedOn w:val="23"/>
    <w:link w:val="16"/>
    <w:semiHidden/>
    <w:qFormat/>
    <w:locked/>
    <w:uiPriority w:val="99"/>
    <w:rPr>
      <w:rFonts w:ascii="Calibri" w:hAnsi="Calibri" w:eastAsia="宋体" w:cs="Times New Roman"/>
      <w:kern w:val="2"/>
      <w:sz w:val="18"/>
      <w:szCs w:val="18"/>
    </w:rPr>
  </w:style>
  <w:style w:type="character" w:customStyle="1" w:styleId="36">
    <w:name w:val="Comment Subject Char"/>
    <w:basedOn w:val="29"/>
    <w:link w:val="20"/>
    <w:semiHidden/>
    <w:locked/>
    <w:uiPriority w:val="99"/>
    <w:rPr>
      <w:b/>
      <w:bCs/>
    </w:rPr>
  </w:style>
  <w:style w:type="paragraph" w:styleId="37">
    <w:name w:val="List Paragraph"/>
    <w:basedOn w:val="1"/>
    <w:qFormat/>
    <w:uiPriority w:val="99"/>
    <w:pPr>
      <w:ind w:firstLine="420" w:firstLineChars="200"/>
    </w:pPr>
  </w:style>
  <w:style w:type="table" w:customStyle="1" w:styleId="38">
    <w:name w:val="TableGrid"/>
    <w:qFormat/>
    <w:uiPriority w:val="99"/>
    <w:rPr>
      <w:kern w:val="0"/>
      <w:sz w:val="20"/>
      <w:szCs w:val="20"/>
    </w:rPr>
    <w:tblPr>
      <w:tblCellMar>
        <w:top w:w="0" w:type="dxa"/>
        <w:left w:w="0" w:type="dxa"/>
        <w:bottom w:w="0" w:type="dxa"/>
        <w:right w:w="0" w:type="dxa"/>
      </w:tblCellMar>
    </w:tblPr>
  </w:style>
  <w:style w:type="table" w:customStyle="1" w:styleId="39">
    <w:name w:val="TableGrid1"/>
    <w:qFormat/>
    <w:uiPriority w:val="99"/>
    <w:rPr>
      <w:kern w:val="0"/>
      <w:sz w:val="20"/>
      <w:szCs w:val="20"/>
    </w:rPr>
    <w:tblPr>
      <w:tblCellMar>
        <w:top w:w="0" w:type="dxa"/>
        <w:left w:w="0" w:type="dxa"/>
        <w:bottom w:w="0" w:type="dxa"/>
        <w:right w:w="0" w:type="dxa"/>
      </w:tblCellMar>
    </w:tblPr>
  </w:style>
  <w:style w:type="table" w:customStyle="1" w:styleId="40">
    <w:name w:val="TableGrid7"/>
    <w:qFormat/>
    <w:uiPriority w:val="99"/>
    <w:rPr>
      <w:kern w:val="0"/>
      <w:sz w:val="20"/>
      <w:szCs w:val="20"/>
    </w:rPr>
    <w:tblPr>
      <w:tblCellMar>
        <w:top w:w="0" w:type="dxa"/>
        <w:left w:w="0" w:type="dxa"/>
        <w:bottom w:w="0" w:type="dxa"/>
        <w:right w:w="0" w:type="dxa"/>
      </w:tblCellMar>
    </w:tblPr>
  </w:style>
  <w:style w:type="table" w:customStyle="1" w:styleId="41">
    <w:name w:val="TableGrid11"/>
    <w:qFormat/>
    <w:uiPriority w:val="99"/>
    <w:rPr>
      <w:kern w:val="0"/>
      <w:sz w:val="20"/>
      <w:szCs w:val="20"/>
    </w:rPr>
    <w:tblPr>
      <w:tblCellMar>
        <w:top w:w="0" w:type="dxa"/>
        <w:left w:w="0" w:type="dxa"/>
        <w:bottom w:w="0" w:type="dxa"/>
        <w:right w:w="0" w:type="dxa"/>
      </w:tblCellMar>
    </w:tblPr>
  </w:style>
  <w:style w:type="table" w:customStyle="1" w:styleId="42">
    <w:name w:val="TableGrid12"/>
    <w:qFormat/>
    <w:uiPriority w:val="99"/>
    <w:rPr>
      <w:kern w:val="0"/>
      <w:sz w:val="20"/>
      <w:szCs w:val="20"/>
    </w:rPr>
    <w:tblPr>
      <w:tblCellMar>
        <w:top w:w="0" w:type="dxa"/>
        <w:left w:w="0" w:type="dxa"/>
        <w:bottom w:w="0" w:type="dxa"/>
        <w:right w:w="0" w:type="dxa"/>
      </w:tblCellMar>
    </w:tblPr>
  </w:style>
  <w:style w:type="table" w:customStyle="1" w:styleId="43">
    <w:name w:val="TableGrid13"/>
    <w:qFormat/>
    <w:uiPriority w:val="99"/>
    <w:rPr>
      <w:kern w:val="0"/>
      <w:sz w:val="20"/>
      <w:szCs w:val="20"/>
    </w:rPr>
    <w:tblPr>
      <w:tblCellMar>
        <w:top w:w="0" w:type="dxa"/>
        <w:left w:w="0" w:type="dxa"/>
        <w:bottom w:w="0" w:type="dxa"/>
        <w:right w:w="0" w:type="dxa"/>
      </w:tblCellMar>
    </w:tblPr>
  </w:style>
  <w:style w:type="table" w:customStyle="1" w:styleId="44">
    <w:name w:val="TableGrid2"/>
    <w:qFormat/>
    <w:uiPriority w:val="99"/>
    <w:rPr>
      <w:kern w:val="0"/>
      <w:sz w:val="20"/>
      <w:szCs w:val="20"/>
    </w:rPr>
    <w:tblPr>
      <w:tblCellMar>
        <w:top w:w="0" w:type="dxa"/>
        <w:left w:w="0" w:type="dxa"/>
        <w:bottom w:w="0" w:type="dxa"/>
        <w:right w:w="0" w:type="dxa"/>
      </w:tblCellMar>
    </w:tblPr>
  </w:style>
  <w:style w:type="table" w:customStyle="1" w:styleId="45">
    <w:name w:val="TableGrid3"/>
    <w:qFormat/>
    <w:uiPriority w:val="99"/>
    <w:rPr>
      <w:kern w:val="0"/>
      <w:sz w:val="20"/>
      <w:szCs w:val="20"/>
    </w:rPr>
    <w:tblPr>
      <w:tblCellMar>
        <w:top w:w="0" w:type="dxa"/>
        <w:left w:w="0" w:type="dxa"/>
        <w:bottom w:w="0" w:type="dxa"/>
        <w:right w:w="0" w:type="dxa"/>
      </w:tblCellMar>
    </w:tblPr>
  </w:style>
  <w:style w:type="table" w:customStyle="1" w:styleId="46">
    <w:name w:val="TableGrid4"/>
    <w:qFormat/>
    <w:uiPriority w:val="99"/>
    <w:rPr>
      <w:kern w:val="0"/>
      <w:sz w:val="20"/>
      <w:szCs w:val="20"/>
    </w:rPr>
    <w:tblPr>
      <w:tblCellMar>
        <w:top w:w="0" w:type="dxa"/>
        <w:left w:w="0" w:type="dxa"/>
        <w:bottom w:w="0" w:type="dxa"/>
        <w:right w:w="0" w:type="dxa"/>
      </w:tblCellMar>
    </w:tblPr>
  </w:style>
  <w:style w:type="paragraph" w:customStyle="1" w:styleId="47">
    <w:name w:val="WPSOffice手动目录 1"/>
    <w:qFormat/>
    <w:uiPriority w:val="99"/>
    <w:rPr>
      <w:rFonts w:ascii="Calibri" w:hAnsi="Calibri" w:eastAsia="宋体" w:cs="Times New Roman"/>
      <w:kern w:val="0"/>
      <w:sz w:val="20"/>
      <w:szCs w:val="20"/>
      <w:lang w:val="en-US" w:eastAsia="zh-CN" w:bidi="ar-SA"/>
    </w:rPr>
  </w:style>
  <w:style w:type="paragraph" w:customStyle="1" w:styleId="48">
    <w:name w:val="WPSOffice手动目录 2"/>
    <w:qFormat/>
    <w:uiPriority w:val="99"/>
    <w:pPr>
      <w:ind w:left="200" w:leftChars="200"/>
    </w:pPr>
    <w:rPr>
      <w:rFonts w:ascii="Calibri" w:hAnsi="Calibri" w:eastAsia="宋体" w:cs="Times New Roman"/>
      <w:kern w:val="0"/>
      <w:sz w:val="20"/>
      <w:szCs w:val="20"/>
      <w:lang w:val="en-US" w:eastAsia="zh-CN" w:bidi="ar-SA"/>
    </w:rPr>
  </w:style>
  <w:style w:type="paragraph" w:customStyle="1" w:styleId="49">
    <w:name w:val="WPSOffice手动目录 3"/>
    <w:qFormat/>
    <w:uiPriority w:val="99"/>
    <w:pPr>
      <w:ind w:left="400" w:leftChars="400"/>
    </w:pPr>
    <w:rPr>
      <w:rFonts w:ascii="Calibri" w:hAnsi="Calibri" w:eastAsia="宋体" w:cs="Times New Roman"/>
      <w:kern w:val="0"/>
      <w:sz w:val="20"/>
      <w:szCs w:val="20"/>
      <w:lang w:val="en-US" w:eastAsia="zh-CN" w:bidi="ar-SA"/>
    </w:rPr>
  </w:style>
  <w:style w:type="character" w:customStyle="1" w:styleId="50">
    <w:name w:val="fontstyle01"/>
    <w:basedOn w:val="23"/>
    <w:qFormat/>
    <w:uiPriority w:val="99"/>
    <w:rPr>
      <w:rFonts w:ascii="仿宋" w:hAnsi="仿宋" w:eastAsia="仿宋" w:cs="Times New Roman"/>
      <w:color w:val="000000"/>
      <w:sz w:val="28"/>
      <w:szCs w:val="28"/>
    </w:rPr>
  </w:style>
  <w:style w:type="paragraph" w:customStyle="1" w:styleId="51">
    <w:name w:val="修订1"/>
    <w:hidden/>
    <w:semiHidden/>
    <w:qFormat/>
    <w:uiPriority w:val="99"/>
    <w:rPr>
      <w:rFonts w:ascii="Calibri" w:hAnsi="Calibri" w:eastAsia="宋体" w:cs="Times New Roman"/>
      <w:kern w:val="2"/>
      <w:sz w:val="21"/>
      <w:szCs w:val="22"/>
      <w:lang w:val="en-US" w:eastAsia="zh-CN" w:bidi="ar-SA"/>
    </w:rPr>
  </w:style>
  <w:style w:type="table" w:customStyle="1" w:styleId="52">
    <w:name w:val="TableGrid5"/>
    <w:qFormat/>
    <w:uiPriority w:val="99"/>
    <w:rPr>
      <w:rFonts w:ascii="Calibri" w:hAnsi="Calibri"/>
    </w:rPr>
    <w:tblPr>
      <w:tblCellMar>
        <w:top w:w="0" w:type="dxa"/>
        <w:left w:w="0" w:type="dxa"/>
        <w:bottom w:w="0" w:type="dxa"/>
        <w:right w:w="0" w:type="dxa"/>
      </w:tblCellMar>
    </w:tblPr>
  </w:style>
  <w:style w:type="paragraph" w:customStyle="1" w:styleId="53">
    <w:name w:val="Revision"/>
    <w:hidden/>
    <w:semiHidden/>
    <w:qFormat/>
    <w:uiPriority w:val="99"/>
    <w:rPr>
      <w:rFonts w:ascii="Calibri" w:hAnsi="Calibri" w:eastAsia="宋体" w:cs="Times New Roman"/>
      <w:kern w:val="2"/>
      <w:sz w:val="21"/>
      <w:szCs w:val="22"/>
      <w:lang w:val="en-US" w:eastAsia="zh-CN" w:bidi="ar-SA"/>
    </w:rPr>
  </w:style>
  <w:style w:type="table" w:customStyle="1" w:styleId="54">
    <w:name w:val="TableGrid6"/>
    <w:qFormat/>
    <w:uiPriority w:val="99"/>
    <w:rPr>
      <w:kern w:val="0"/>
      <w:sz w:val="20"/>
      <w:szCs w:val="20"/>
    </w:rPr>
    <w:tblPr>
      <w:tblCellMar>
        <w:top w:w="0" w:type="dxa"/>
        <w:left w:w="0" w:type="dxa"/>
        <w:bottom w:w="0" w:type="dxa"/>
        <w:right w:w="0" w:type="dxa"/>
      </w:tblCellMar>
    </w:tblPr>
  </w:style>
  <w:style w:type="table" w:customStyle="1" w:styleId="55">
    <w:name w:val="TableGrid14"/>
    <w:qFormat/>
    <w:uiPriority w:val="99"/>
    <w:rPr>
      <w:rFonts w:ascii="Calibri" w:hAnsi="Calibri"/>
    </w:rPr>
    <w:tblPr>
      <w:tblCellMar>
        <w:top w:w="0" w:type="dxa"/>
        <w:left w:w="0" w:type="dxa"/>
        <w:bottom w:w="0" w:type="dxa"/>
        <w:right w:w="0" w:type="dxa"/>
      </w:tblCellMar>
    </w:tblPr>
  </w:style>
  <w:style w:type="character" w:customStyle="1" w:styleId="56">
    <w:name w:val="Unresolved Mention"/>
    <w:basedOn w:val="23"/>
    <w:semiHidden/>
    <w:qFormat/>
    <w:uiPriority w:val="99"/>
    <w:rPr>
      <w:rFonts w:cs="Times New Roman"/>
      <w:color w:val="605E5C"/>
      <w:shd w:val="clear" w:color="auto" w:fill="E1DFDD"/>
    </w:rPr>
  </w:style>
</w:styles>
</file>

<file path=word/_rels/document.xml.rels><?xml version="1.0" encoding="UTF-8" standalone="yes"?>
<Relationships xmlns="http://schemas.openxmlformats.org/package/2006/relationships"><Relationship Id="rId9" Type="http://schemas.openxmlformats.org/officeDocument/2006/relationships/image" Target="media/image4.png"/><Relationship Id="rId8" Type="http://schemas.openxmlformats.org/officeDocument/2006/relationships/image" Target="media/image3.jpeg"/><Relationship Id="rId7" Type="http://schemas.openxmlformats.org/officeDocument/2006/relationships/image" Target="media/image2.png"/><Relationship Id="rId6" Type="http://schemas.openxmlformats.org/officeDocument/2006/relationships/oleObject" Target="embeddings/Workbook1.xls"/><Relationship Id="rId5" Type="http://schemas.openxmlformats.org/officeDocument/2006/relationships/image" Target="media/image1.png"/><Relationship Id="rId4" Type="http://schemas.openxmlformats.org/officeDocument/2006/relationships/theme" Target="theme/theme1.xml"/><Relationship Id="rId3" Type="http://schemas.openxmlformats.org/officeDocument/2006/relationships/footer" Target="footer1.xml"/><Relationship Id="rId2" Type="http://schemas.openxmlformats.org/officeDocument/2006/relationships/settings" Target="settings.xml"/><Relationship Id="rId12" Type="http://schemas.openxmlformats.org/officeDocument/2006/relationships/fontTable" Target="fontTable.xml"/><Relationship Id="rId11" Type="http://schemas.openxmlformats.org/officeDocument/2006/relationships/numbering" Target="numbering.xml"/><Relationship Id="rId10" Type="http://schemas.openxmlformats.org/officeDocument/2006/relationships/customXml" Target="../customXml/item1.xml"/><Relationship Id="rId1" Type="http://schemas.openxmlformats.org/officeDocument/2006/relationships/styles" Target="styl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
    <customSectPr/>
    <customSectPr/>
    <customSectPr/>
    <customSectPr/>
    <customSectPr/>
    <customSectPr/>
    <customSectPr/>
    <customSectPr/>
  </customSectProp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Normal_Wordconv.dotm</Template>
  <Pages>87</Pages>
  <Words>38243</Words>
  <Characters>42516</Characters>
  <Lines>0</Lines>
  <Paragraphs>0</Paragraphs>
  <TotalTime>6</TotalTime>
  <ScaleCrop>false</ScaleCrop>
  <LinksUpToDate>false</LinksUpToDate>
  <CharactersWithSpaces>42990</CharactersWithSpaces>
  <Application>WPS Office_11.8.2.8875_F1E327BC-269C-435d-A152-05C5408002CA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2021-12-22T08:13:00Z</dcterms:created>
  <dc:creator>lenovo</dc:creator>
  <cp:lastModifiedBy>杨倩怡</cp:lastModifiedBy>
  <cp:lastPrinted>2021-12-15T12:59:00Z</cp:lastPrinted>
  <dcterms:modified xsi:type="dcterms:W3CDTF">2024-07-17T01:46:08Z</dcterms:modified>
  <dc:title>重庆市渝北区</dc:title>
  <cp:revision>2</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2052-11.8.2.8875</vt:lpwstr>
  </property>
  <property fmtid="{D5CDD505-2E9C-101B-9397-08002B2CF9AE}" pid="3" name="ICV">
    <vt:lpwstr>F98A9E6D9B724787A0AAAA04E2DEA086</vt:lpwstr>
  </property>
</Properties>
</file>