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20</w:t>
      </w:r>
      <w:r>
        <w:rPr>
          <w:rFonts w:hint="eastAsia" w:ascii="方正小标宋_GBK" w:hAnsi="宋体" w:eastAsia="方正小标宋_GBK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方正小标宋_GBK" w:hAnsi="宋体" w:eastAsia="方正小标宋_GBK"/>
          <w:b/>
          <w:bCs/>
          <w:sz w:val="36"/>
          <w:szCs w:val="36"/>
        </w:rPr>
        <w:t>年度区级彩票公益金项目基本情况表</w:t>
      </w:r>
    </w:p>
    <w:tbl>
      <w:tblPr>
        <w:tblStyle w:val="4"/>
        <w:tblW w:w="9178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1992"/>
        <w:gridCol w:w="1800"/>
        <w:gridCol w:w="1143"/>
        <w:gridCol w:w="1033"/>
        <w:gridCol w:w="6"/>
        <w:gridCol w:w="19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项目实施单位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77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兴隆镇人民政府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7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项目名称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兴隆镇养老中心改建暨适老化改造项目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项目单位责任人</w:t>
            </w:r>
          </w:p>
        </w:tc>
        <w:tc>
          <w:tcPr>
            <w:tcW w:w="37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      李长江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联络人及联系方式</w:t>
            </w:r>
          </w:p>
        </w:tc>
        <w:tc>
          <w:tcPr>
            <w:tcW w:w="30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池均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15923952389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项目资金（万元）</w:t>
            </w: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资金来源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彩票公益金</w:t>
            </w:r>
          </w:p>
        </w:tc>
        <w:tc>
          <w:tcPr>
            <w:tcW w:w="2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资金下达数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（万元）</w:t>
            </w:r>
          </w:p>
        </w:tc>
        <w:tc>
          <w:tcPr>
            <w:tcW w:w="19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30.5126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实际支出（万元）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30.5126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其中：彩票公益金支出（万元）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30.5126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资金是否结余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21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结余处理</w:t>
            </w:r>
          </w:p>
        </w:tc>
        <w:tc>
          <w:tcPr>
            <w:tcW w:w="19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  <w:p>
            <w:pPr>
              <w:spacing w:after="0" w:line="440" w:lineRule="exac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项</w:t>
            </w:r>
          </w:p>
          <w:p>
            <w:pPr>
              <w:spacing w:after="0" w:line="440" w:lineRule="exac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目</w:t>
            </w:r>
          </w:p>
          <w:p>
            <w:pPr>
              <w:spacing w:after="0" w:line="440" w:lineRule="exac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内</w:t>
            </w:r>
            <w:bookmarkStart w:id="0" w:name="_GoBack"/>
            <w:bookmarkEnd w:id="0"/>
          </w:p>
          <w:p>
            <w:pPr>
              <w:spacing w:after="0" w:line="440" w:lineRule="exac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容</w:t>
            </w:r>
          </w:p>
        </w:tc>
        <w:tc>
          <w:tcPr>
            <w:tcW w:w="7965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项目概况，周期，实施内容：</w:t>
            </w:r>
          </w:p>
          <w:p>
            <w:pPr>
              <w:spacing w:after="0" w:line="440" w:lineRule="exac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兴隆镇养老服务中心适老化改造实施周期2021年5月至2021年12月，室内功能区改造约800平方米，外环境改造约1500平方米，设置休闲娱乐区，生活照料区、医疗保健区 、托养护理区四大功能区，康复花园及设施设备添置等。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</w:p>
        </w:tc>
        <w:tc>
          <w:tcPr>
            <w:tcW w:w="7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项目完成情况</w:t>
            </w:r>
          </w:p>
          <w:p>
            <w:pPr>
              <w:spacing w:after="0" w:line="440" w:lineRule="exac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该项目于2021年12月完工，达到建设要求。</w:t>
            </w:r>
          </w:p>
          <w:p>
            <w:pPr>
              <w:spacing w:after="0" w:line="440" w:lineRule="exact"/>
              <w:rPr>
                <w:rFonts w:hint="default" w:ascii="Times New Roman" w:hAnsi="Times New Roman" w:eastAsia="方正仿宋_GBK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资金使用情况：</w:t>
            </w:r>
          </w:p>
          <w:p>
            <w:pPr>
              <w:spacing w:after="0" w:line="440" w:lineRule="exact"/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2022年使用区级资金30.5126万元，已全部适用于兴隆镇养老中心改建暨适老化改造当中，包含部分工程尾款、设计费尾款、按摩椅购买、设施设备采购等。</w:t>
            </w:r>
          </w:p>
          <w:p>
            <w:pPr>
              <w:spacing w:after="0" w:line="440" w:lineRule="exact"/>
              <w:rPr>
                <w:rFonts w:ascii="方正仿宋_GBK" w:hAnsi="仿宋" w:eastAsia="方正仿宋_GBK" w:cs="Helvetica"/>
                <w:b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hAnsi="仿宋" w:eastAsia="方正仿宋_GBK" w:cs="Helvetica"/>
                <w:sz w:val="21"/>
                <w:szCs w:val="21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实际效果：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满足辖区内老年人不断增长的养老服务需求，为老年人提供质量高、服务优、覆盖广的养老服务。实施养老服务全覆盖工作，建成并完善养老设施服务网络，补齐社区居家养老服务覆盖短板，全面提升养老服务质量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contextualSpacing/>
              <w:jc w:val="center"/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1"/>
                <w:szCs w:val="21"/>
                <w:lang w:val="en-US" w:eastAsia="zh-CN"/>
              </w:rPr>
              <w:t>项目依据</w:t>
            </w:r>
          </w:p>
        </w:tc>
        <w:tc>
          <w:tcPr>
            <w:tcW w:w="7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立项依据：</w:t>
            </w:r>
            <w:r>
              <w:rPr>
                <w:rFonts w:hint="eastAsia" w:ascii="方正仿宋_GBK" w:hAnsi="Calibri" w:eastAsia="方正仿宋_GBK"/>
                <w:sz w:val="22"/>
                <w:szCs w:val="22"/>
              </w:rPr>
              <w:t>根据《渝北区农村养老服务全覆盖实施方案》（渝北府办发〔2021〕37号）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jc w:val="left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采购方式：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直接支出、询价采购、改造建设支出、设施设备采购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restart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绩效评价及其他</w:t>
            </w:r>
          </w:p>
        </w:tc>
        <w:tc>
          <w:tcPr>
            <w:tcW w:w="7965" w:type="dxa"/>
            <w:gridSpan w:val="6"/>
          </w:tcPr>
          <w:p>
            <w:pPr>
              <w:spacing w:line="220" w:lineRule="atLeast"/>
              <w:rPr>
                <w:rFonts w:hint="default" w:eastAsia="微软雅黑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绩效评价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eastAsia="方正仿宋_GBK"/>
                <w:szCs w:val="21"/>
                <w:lang w:val="en-US" w:eastAsia="zh-CN"/>
              </w:rPr>
              <w:t>在规定时间内（6个月）完成建设，老年人满意度占85%及以上，同时建成并完善养老设施服务网络，补齐社区居家养老服务覆盖短板，全面提升养老服务质量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65" w:type="dxa"/>
            <w:gridSpan w:val="6"/>
          </w:tcPr>
          <w:p>
            <w:pPr>
              <w:rPr>
                <w:rFonts w:hint="default" w:eastAsia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审计结果：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经审计，审计合格。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3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65" w:type="dxa"/>
            <w:gridSpan w:val="6"/>
          </w:tcPr>
          <w:p>
            <w:pP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highlight w:val="none"/>
              </w:rPr>
              <w:t>是否接受投诉及其他：</w:t>
            </w:r>
            <w:r>
              <w:rPr>
                <w:rFonts w:hint="eastAsia" w:ascii="方正仿宋_GBK" w:eastAsia="方正仿宋_GBK"/>
                <w:sz w:val="24"/>
                <w:szCs w:val="24"/>
                <w:highlight w:val="none"/>
                <w:lang w:val="en-US" w:eastAsia="zh-CN"/>
              </w:rPr>
              <w:t>否</w:t>
            </w:r>
          </w:p>
        </w:tc>
      </w:tr>
    </w:tbl>
    <w:p>
      <w:pPr>
        <w:spacing w:line="220" w:lineRule="atLeast"/>
        <w:rPr>
          <w:sz w:val="21"/>
          <w:szCs w:val="21"/>
        </w:rPr>
      </w:pP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jg0ODdlZTc5OWYxZjFkOTUzOTlhNTNmZDY0ODcifQ=="/>
  </w:docVars>
  <w:rsids>
    <w:rsidRoot w:val="00D31D50"/>
    <w:rsid w:val="000B4766"/>
    <w:rsid w:val="000D2099"/>
    <w:rsid w:val="000E6944"/>
    <w:rsid w:val="00104CC9"/>
    <w:rsid w:val="00170CF1"/>
    <w:rsid w:val="00174EF2"/>
    <w:rsid w:val="001A1BFE"/>
    <w:rsid w:val="001F2CE9"/>
    <w:rsid w:val="0020243E"/>
    <w:rsid w:val="00235838"/>
    <w:rsid w:val="00284031"/>
    <w:rsid w:val="002929DC"/>
    <w:rsid w:val="002A6601"/>
    <w:rsid w:val="002B21F8"/>
    <w:rsid w:val="00323B43"/>
    <w:rsid w:val="00337330"/>
    <w:rsid w:val="0037423A"/>
    <w:rsid w:val="003D0CCC"/>
    <w:rsid w:val="003D37D8"/>
    <w:rsid w:val="00426133"/>
    <w:rsid w:val="004358AB"/>
    <w:rsid w:val="00480793"/>
    <w:rsid w:val="00491348"/>
    <w:rsid w:val="004E3583"/>
    <w:rsid w:val="004F366D"/>
    <w:rsid w:val="00522EB7"/>
    <w:rsid w:val="005B3B4E"/>
    <w:rsid w:val="006368BE"/>
    <w:rsid w:val="00677C81"/>
    <w:rsid w:val="006C070B"/>
    <w:rsid w:val="006D1B28"/>
    <w:rsid w:val="0071290B"/>
    <w:rsid w:val="00776D58"/>
    <w:rsid w:val="007A6016"/>
    <w:rsid w:val="00831FBB"/>
    <w:rsid w:val="00835842"/>
    <w:rsid w:val="00863318"/>
    <w:rsid w:val="008A56C5"/>
    <w:rsid w:val="008B5B1D"/>
    <w:rsid w:val="008B7726"/>
    <w:rsid w:val="008E0D7E"/>
    <w:rsid w:val="009100FB"/>
    <w:rsid w:val="00934D32"/>
    <w:rsid w:val="00957DFA"/>
    <w:rsid w:val="00982EF7"/>
    <w:rsid w:val="009B3B74"/>
    <w:rsid w:val="009E3A3F"/>
    <w:rsid w:val="009F61FD"/>
    <w:rsid w:val="00A05EC2"/>
    <w:rsid w:val="00A14EB6"/>
    <w:rsid w:val="00A22847"/>
    <w:rsid w:val="00A4264F"/>
    <w:rsid w:val="00A44767"/>
    <w:rsid w:val="00A7343E"/>
    <w:rsid w:val="00A81274"/>
    <w:rsid w:val="00A923BC"/>
    <w:rsid w:val="00B1134A"/>
    <w:rsid w:val="00B13E87"/>
    <w:rsid w:val="00B16C00"/>
    <w:rsid w:val="00B25A20"/>
    <w:rsid w:val="00B87986"/>
    <w:rsid w:val="00B87FB5"/>
    <w:rsid w:val="00BB2351"/>
    <w:rsid w:val="00C35CBD"/>
    <w:rsid w:val="00C662B5"/>
    <w:rsid w:val="00D31D50"/>
    <w:rsid w:val="00D5707C"/>
    <w:rsid w:val="00D64F3E"/>
    <w:rsid w:val="00DD5E10"/>
    <w:rsid w:val="00DF04D3"/>
    <w:rsid w:val="00F3165C"/>
    <w:rsid w:val="00F503AE"/>
    <w:rsid w:val="00F733EE"/>
    <w:rsid w:val="00FC0B1E"/>
    <w:rsid w:val="0A325B26"/>
    <w:rsid w:val="0BCE1646"/>
    <w:rsid w:val="0D0C6E5B"/>
    <w:rsid w:val="12D3139C"/>
    <w:rsid w:val="18A5077D"/>
    <w:rsid w:val="1A1F489A"/>
    <w:rsid w:val="274749AE"/>
    <w:rsid w:val="2E55187D"/>
    <w:rsid w:val="399C2706"/>
    <w:rsid w:val="4BED787A"/>
    <w:rsid w:val="4EC63BC9"/>
    <w:rsid w:val="4FEB32C5"/>
    <w:rsid w:val="5DF01A55"/>
    <w:rsid w:val="5EE63C53"/>
    <w:rsid w:val="717C5785"/>
    <w:rsid w:val="724F4602"/>
    <w:rsid w:val="726D08C6"/>
    <w:rsid w:val="7A0F48A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99B1-8509-4074-9E4A-53E0B9DE3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2</Pages>
  <Words>618</Words>
  <Characters>680</Characters>
  <Lines>2</Lines>
  <Paragraphs>1</Paragraphs>
  <TotalTime>17</TotalTime>
  <ScaleCrop>false</ScaleCrop>
  <LinksUpToDate>false</LinksUpToDate>
  <CharactersWithSpaces>693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2020-04-20T03:40:00Z</dcterms:created>
  <dc:creator>Administrator</dc:creator>
  <cp:lastModifiedBy>Administrator</cp:lastModifiedBy>
  <cp:lastPrinted>2020-04-20T03:39:00Z</cp:lastPrinted>
  <dcterms:modified xsi:type="dcterms:W3CDTF">2023-06-09T01:48:18Z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719099570_btnclosed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707132E99A864DE5A0B3E0DBA0F6C2A6_13</vt:lpwstr>
  </property>
</Properties>
</file>