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hint="eastAsia" w:ascii="方正小标宋_GBK" w:hAnsi="宋体" w:eastAsia="方正小标宋_GBK"/>
          <w:b/>
          <w:bCs/>
          <w:sz w:val="36"/>
          <w:szCs w:val="36"/>
        </w:rPr>
        <w:t>20</w:t>
      </w:r>
      <w:r>
        <w:rPr>
          <w:rFonts w:hint="eastAsia" w:ascii="方正小标宋_GBK" w:hAnsi="宋体" w:eastAsia="方正小标宋_GBK"/>
          <w:b/>
          <w:bCs/>
          <w:sz w:val="36"/>
          <w:szCs w:val="36"/>
          <w:lang w:val="en-US" w:eastAsia="zh-CN"/>
        </w:rPr>
        <w:t>22</w:t>
      </w:r>
      <w:r>
        <w:rPr>
          <w:rFonts w:hint="eastAsia" w:ascii="方正小标宋_GBK" w:hAnsi="宋体" w:eastAsia="方正小标宋_GBK"/>
          <w:b/>
          <w:bCs/>
          <w:sz w:val="36"/>
          <w:szCs w:val="36"/>
        </w:rPr>
        <w:t>年度区级彩票公益金项目基本情况表</w:t>
      </w:r>
    </w:p>
    <w:tbl>
      <w:tblPr>
        <w:tblStyle w:val="4"/>
        <w:tblW w:w="9149" w:type="dxa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86"/>
        <w:gridCol w:w="1794"/>
        <w:gridCol w:w="1140"/>
        <w:gridCol w:w="1029"/>
        <w:gridCol w:w="6"/>
        <w:gridCol w:w="19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项目实施单位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  <w:p>
            <w:pPr>
              <w:spacing w:line="77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兴隆镇人民政府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77" w:lineRule="atLeas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项目名称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兴隆镇社区养老服务站运营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项目单位责任人</w:t>
            </w:r>
          </w:p>
        </w:tc>
        <w:tc>
          <w:tcPr>
            <w:tcW w:w="37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 xml:space="preserve">            李长江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联络人及联系方式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池均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15923952389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项目资金（万元）</w:t>
            </w: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00" w:lineRule="exact"/>
              <w:contextualSpacing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资金来源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彩票公益金</w:t>
            </w:r>
          </w:p>
        </w:tc>
        <w:tc>
          <w:tcPr>
            <w:tcW w:w="21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资金下达数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3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（万元）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00" w:lineRule="exact"/>
              <w:contextualSpacing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实际支出（万元）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12.6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其中：彩票公益金支出（万元）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default" w:ascii="方正仿宋_GBK" w:hAnsi="方正仿宋_GBK" w:eastAsia="方正仿宋_GBK" w:cs="方正仿宋_GBK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val="en-US" w:eastAsia="zh-CN"/>
              </w:rPr>
              <w:t>12.6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12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/>
              <w:spacing w:after="0" w:line="300" w:lineRule="exact"/>
              <w:contextualSpacing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资金是否结余</w:t>
            </w:r>
          </w:p>
        </w:tc>
        <w:tc>
          <w:tcPr>
            <w:tcW w:w="17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lang w:eastAsia="zh-CN"/>
              </w:rPr>
              <w:t>否</w:t>
            </w:r>
          </w:p>
        </w:tc>
        <w:tc>
          <w:tcPr>
            <w:tcW w:w="21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  <w:t>结余处理</w:t>
            </w: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_GBK" w:hAnsi="方正仿宋_GBK" w:eastAsia="方正仿宋_GBK" w:cs="方正仿宋_GBK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项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目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内</w:t>
            </w:r>
          </w:p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容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ascii="方正仿宋_GBK" w:hAnsi="仿宋" w:eastAsia="方正仿宋_GBK" w:cs="Helvetica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项目概况，周期，实施内容：</w:t>
            </w:r>
          </w:p>
          <w:p>
            <w:pPr>
              <w:spacing w:after="0" w:line="440" w:lineRule="exact"/>
              <w:rPr>
                <w:rFonts w:hint="default" w:ascii="方正仿宋_GBK" w:eastAsia="方正仿宋_GBK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兴隆镇社区养老服务站运营周期2021年-2022年底，保障兴隆镇社区养老服务站的正常运营及运营中开展节日活动，日常娱乐，上门助医、助洁、助行、康复按摩等服务。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eastAsia"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项目完成情况</w:t>
            </w:r>
          </w:p>
          <w:p>
            <w:pPr>
              <w:spacing w:after="0" w:line="440" w:lineRule="exact"/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2021年度运营良好，区级考核评分80.75。2022年运行考核结果未出。</w:t>
            </w:r>
          </w:p>
          <w:p>
            <w:pPr>
              <w:spacing w:after="0" w:line="440" w:lineRule="exact"/>
              <w:rPr>
                <w:rFonts w:hint="eastAsia" w:ascii="方正仿宋_GBK" w:eastAsia="方正仿宋_GBK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方正仿宋_GBK" w:eastAsia="方正仿宋_GBK"/>
                <w:color w:val="auto"/>
                <w:sz w:val="24"/>
                <w:szCs w:val="24"/>
                <w:lang w:val="en-US" w:eastAsia="zh-CN"/>
              </w:rPr>
              <w:t>2021-2022年度期间服务老年人4018人次，重点老人点对点服务上门巡查1000余人次，电话查访1万人次，上门服务1440人次，服务大型集体活动30次，日常活动96次。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7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hint="eastAsia" w:asci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资金使用情况（详细说明）：</w:t>
            </w:r>
          </w:p>
          <w:p>
            <w:pPr>
              <w:spacing w:after="0" w:line="440" w:lineRule="exact"/>
              <w:rPr>
                <w:rFonts w:hint="default" w:ascii="方正仿宋_GBK" w:hAnsi="仿宋" w:eastAsia="方正仿宋_GBK" w:cs="Helvetica"/>
                <w:b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兴隆镇社区养老服务站氛围打造及购买设施设备费用共计40272元，2021年-2022年运营管理费用共计55450元。日常活动开销每周开展一次日常活动，购买瓜子、花生、水果、饮料等每次日常活动花费230元左右，共计22142元。电话费用两年共计2400元，养老服务站网络费用5736元，以上合计126000元。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2" w:hRule="atLeast"/>
        </w:trPr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ascii="方正仿宋_GBK" w:hAnsi="仿宋" w:eastAsia="方正仿宋_GBK" w:cs="Helvetica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实际效果：</w:t>
            </w:r>
            <w:r>
              <w:rPr>
                <w:rFonts w:hint="eastAsia" w:ascii="方正仿宋_GBK" w:eastAsia="方正仿宋_GBK" w:cs="Times New Roman"/>
                <w:sz w:val="24"/>
                <w:szCs w:val="24"/>
                <w:lang w:val="en-US" w:eastAsia="zh-CN"/>
              </w:rPr>
              <w:t>向辖区内老人提供了丰富多彩的文化服务，满足其日常业余生活方面的需求，提高了老年人社区养老服务的满意度和幸福感，同时也增强了社区养老服务站的社会影响力。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项</w:t>
            </w:r>
          </w:p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目</w:t>
            </w:r>
          </w:p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依</w:t>
            </w:r>
          </w:p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据</w:t>
            </w: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立项依据：</w:t>
            </w:r>
            <w:r>
              <w:rPr>
                <w:rFonts w:hint="eastAsia" w:ascii="方正仿宋_GBK" w:eastAsia="方正仿宋_GBK"/>
                <w:sz w:val="24"/>
                <w:szCs w:val="24"/>
                <w:lang w:eastAsia="zh-CN"/>
              </w:rPr>
              <w:t>《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重庆市渝北区民政局关于印发&lt;渝北区养老服务中心、社区养老服务站运营管理工作指导意见&gt;的通知》（渝北民（2020）128号）、</w:t>
            </w:r>
            <w:r>
              <w:rPr>
                <w:rFonts w:hint="eastAsia" w:ascii="方正仿宋_GBK" w:eastAsia="方正仿宋_GBK"/>
                <w:color w:val="auto"/>
                <w:sz w:val="24"/>
                <w:szCs w:val="24"/>
                <w:highlight w:val="none"/>
                <w:lang w:val="en-US" w:eastAsia="zh-CN"/>
              </w:rPr>
              <w:t>《渝北区养老服务中心、社区养老服务站运营管理考核办法》（渝北民〔2022〕99号）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60" w:lineRule="exact"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440" w:lineRule="exact"/>
              <w:rPr>
                <w:rFonts w:ascii="方正仿宋_GBK" w:eastAsia="方正仿宋_GBK"/>
                <w:b/>
                <w:bCs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采购方式：</w:t>
            </w:r>
            <w:r>
              <w:rPr>
                <w:rFonts w:hint="eastAsia" w:ascii="方正仿宋_GBK" w:eastAsia="方正仿宋_GBK"/>
                <w:sz w:val="24"/>
                <w:szCs w:val="24"/>
                <w:lang w:val="en-US" w:eastAsia="zh-CN"/>
              </w:rPr>
              <w:t>直接支出、购买服务、询价采购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209" w:type="dxa"/>
            <w:vMerge w:val="restart"/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1"/>
                <w:szCs w:val="21"/>
              </w:rPr>
              <w:t>绩效评价及其他</w:t>
            </w:r>
          </w:p>
        </w:tc>
        <w:tc>
          <w:tcPr>
            <w:tcW w:w="7940" w:type="dxa"/>
            <w:gridSpan w:val="6"/>
          </w:tcPr>
          <w:p>
            <w:pPr>
              <w:spacing w:line="220" w:lineRule="atLeast"/>
              <w:rPr>
                <w:sz w:val="21"/>
                <w:szCs w:val="21"/>
              </w:rPr>
            </w:pPr>
            <w:r>
              <w:rPr>
                <w:rFonts w:hint="eastAsia" w:ascii="方正仿宋_GBK" w:eastAsia="方正仿宋_GBK"/>
                <w:sz w:val="24"/>
                <w:szCs w:val="24"/>
              </w:rPr>
              <w:t>绩效评价</w:t>
            </w:r>
            <w:r>
              <w:rPr>
                <w:rFonts w:hint="eastAsia"/>
                <w:sz w:val="21"/>
                <w:szCs w:val="21"/>
              </w:rPr>
              <w:t>：</w:t>
            </w:r>
            <w:r>
              <w:rPr>
                <w:rFonts w:hint="eastAsia" w:ascii="方正仿宋_GBK" w:eastAsia="方正仿宋_GBK" w:cs="Times New Roman"/>
                <w:sz w:val="24"/>
                <w:szCs w:val="24"/>
                <w:lang w:val="en-US" w:eastAsia="zh-CN"/>
              </w:rPr>
              <w:t>向辖区内老人提供了丰富多彩的文化服务，满足其日常业余生活方面的需求，提高了老年人社区养老服务的满意度和幸福感，同时也增强了社区养老服务站的社会影响力。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09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</w:tcPr>
          <w:p>
            <w:pPr>
              <w:rPr>
                <w:rFonts w:hint="eastAsia" w:eastAsia="方正仿宋_GBK"/>
                <w:sz w:val="21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方正仿宋_GBK" w:eastAsia="方正仿宋_GBK" w:cs="Times New Roman"/>
                <w:sz w:val="24"/>
                <w:szCs w:val="24"/>
                <w:lang w:val="en-US" w:eastAsia="zh-CN"/>
              </w:rPr>
              <w:t>审计结果： 未审计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09" w:type="dxa"/>
            <w:vMerge w:val="continue"/>
          </w:tcPr>
          <w:p>
            <w:pPr>
              <w:spacing w:line="560" w:lineRule="exact"/>
              <w:contextualSpacing/>
              <w:jc w:val="center"/>
              <w:rPr>
                <w:rFonts w:ascii="方正仿宋_GBK" w:eastAsia="方正仿宋_GBK"/>
                <w:sz w:val="21"/>
                <w:szCs w:val="21"/>
              </w:rPr>
            </w:pPr>
          </w:p>
        </w:tc>
        <w:tc>
          <w:tcPr>
            <w:tcW w:w="7940" w:type="dxa"/>
            <w:gridSpan w:val="6"/>
          </w:tcPr>
          <w:p>
            <w:pPr>
              <w:rPr>
                <w:rFonts w:hint="eastAsia" w:ascii="方正仿宋_GBK" w:eastAsia="方正仿宋_GBK"/>
                <w:sz w:val="24"/>
                <w:szCs w:val="24"/>
                <w:highlight w:val="yellow"/>
                <w:lang w:eastAsia="zh-CN"/>
              </w:rPr>
            </w:pPr>
            <w:r>
              <w:rPr>
                <w:rFonts w:hint="eastAsia" w:ascii="方正仿宋_GBK" w:eastAsia="方正仿宋_GBK" w:cs="Times New Roman"/>
                <w:sz w:val="24"/>
                <w:szCs w:val="24"/>
                <w:lang w:val="en-US" w:eastAsia="zh-CN"/>
              </w:rPr>
              <w:t>是否接受投诉及其他：是</w:t>
            </w:r>
          </w:p>
        </w:tc>
      </w:tr>
    </w:tbl>
    <w:p>
      <w:pPr>
        <w:spacing w:line="220" w:lineRule="atLeas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附图：</w:t>
      </w:r>
    </w:p>
    <w:p>
      <w:pPr>
        <w:spacing w:line="220" w:lineRule="atLeas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drawing>
          <wp:inline distT="0" distB="0" distL="114300" distR="114300">
            <wp:extent cx="1684655" cy="2246630"/>
            <wp:effectExtent l="0" t="0" r="10795" b="1270"/>
            <wp:docPr id="1" name="图片 1" descr="1082DAFEE93487E781C6EBC54FAEF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082DAFEE93487E781C6EBC54FAEF23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224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eastAsia="zh-CN"/>
        </w:rPr>
        <w:drawing>
          <wp:inline distT="0" distB="0" distL="114300" distR="114300">
            <wp:extent cx="2930525" cy="2197735"/>
            <wp:effectExtent l="0" t="0" r="3175" b="12065"/>
            <wp:docPr id="7" name="图片 7" descr="340ED470A78BF7CEC2C378AD11D8F0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340ED470A78BF7CEC2C378AD11D8F0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30525" cy="2197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eastAsia="zh-CN"/>
        </w:rPr>
        <w:drawing>
          <wp:inline distT="0" distB="0" distL="114300" distR="114300">
            <wp:extent cx="2962275" cy="2221865"/>
            <wp:effectExtent l="0" t="0" r="9525" b="6985"/>
            <wp:docPr id="2" name="图片 2" descr="BB1C086451185EB9C30580501E388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B1C086451185EB9C30580501E388EF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22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eastAsia="zh-CN"/>
        </w:rPr>
        <w:drawing>
          <wp:inline distT="0" distB="0" distL="114300" distR="114300">
            <wp:extent cx="2028825" cy="1903730"/>
            <wp:effectExtent l="0" t="0" r="9525" b="1270"/>
            <wp:docPr id="5" name="图片 5" descr="4B1C04AF3D3C26CB5EBDF1D716F53E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B1C04AF3D3C26CB5EBDF1D716F53EF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90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20" w:lineRule="atLeast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drawing>
          <wp:inline distT="0" distB="0" distL="114300" distR="114300">
            <wp:extent cx="2425065" cy="1819275"/>
            <wp:effectExtent l="0" t="0" r="13335" b="9525"/>
            <wp:docPr id="8" name="图片 8" descr="DAB3951D097863EE29B1F8E8E526BD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DAB3951D097863EE29B1F8E8E526BDCB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2506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1"/>
          <w:szCs w:val="21"/>
          <w:lang w:eastAsia="zh-CN"/>
        </w:rPr>
        <w:drawing>
          <wp:inline distT="0" distB="0" distL="114300" distR="114300">
            <wp:extent cx="2383790" cy="1800860"/>
            <wp:effectExtent l="0" t="0" r="16510" b="8890"/>
            <wp:docPr id="9" name="图片 9" descr="97B72CDF0AE9C9703FB23EC56AFCAA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97B72CDF0AE9C9703FB23EC56AFCAA1E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83790" cy="1800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134" w:right="1797" w:bottom="1134" w:left="179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NhMjg0ODdlZTc5OWYxZjFkOTUzOTlhNTNmZDY0ODcifQ=="/>
  </w:docVars>
  <w:rsids>
    <w:rsidRoot w:val="00D31D50"/>
    <w:rsid w:val="000B4766"/>
    <w:rsid w:val="000D2099"/>
    <w:rsid w:val="000E6944"/>
    <w:rsid w:val="00104CC9"/>
    <w:rsid w:val="00170CF1"/>
    <w:rsid w:val="00174EF2"/>
    <w:rsid w:val="001A1BFE"/>
    <w:rsid w:val="001F2CE9"/>
    <w:rsid w:val="0020243E"/>
    <w:rsid w:val="00235838"/>
    <w:rsid w:val="00284031"/>
    <w:rsid w:val="002929DC"/>
    <w:rsid w:val="002A6601"/>
    <w:rsid w:val="002B21F8"/>
    <w:rsid w:val="00323B43"/>
    <w:rsid w:val="00337330"/>
    <w:rsid w:val="0037423A"/>
    <w:rsid w:val="003D0CCC"/>
    <w:rsid w:val="003D37D8"/>
    <w:rsid w:val="00426133"/>
    <w:rsid w:val="004358AB"/>
    <w:rsid w:val="00480793"/>
    <w:rsid w:val="00491348"/>
    <w:rsid w:val="004E3583"/>
    <w:rsid w:val="004F366D"/>
    <w:rsid w:val="00522EB7"/>
    <w:rsid w:val="005B3B4E"/>
    <w:rsid w:val="006368BE"/>
    <w:rsid w:val="00677C81"/>
    <w:rsid w:val="006C070B"/>
    <w:rsid w:val="006D1B28"/>
    <w:rsid w:val="0071290B"/>
    <w:rsid w:val="00776D58"/>
    <w:rsid w:val="007A6016"/>
    <w:rsid w:val="00831FBB"/>
    <w:rsid w:val="00835842"/>
    <w:rsid w:val="00863318"/>
    <w:rsid w:val="008A56C5"/>
    <w:rsid w:val="008B5B1D"/>
    <w:rsid w:val="008B7726"/>
    <w:rsid w:val="008E0D7E"/>
    <w:rsid w:val="009100FB"/>
    <w:rsid w:val="00934D32"/>
    <w:rsid w:val="00957DFA"/>
    <w:rsid w:val="00982EF7"/>
    <w:rsid w:val="009B3B74"/>
    <w:rsid w:val="009E3A3F"/>
    <w:rsid w:val="009F61FD"/>
    <w:rsid w:val="00A05EC2"/>
    <w:rsid w:val="00A14EB6"/>
    <w:rsid w:val="00A22847"/>
    <w:rsid w:val="00A4264F"/>
    <w:rsid w:val="00A44767"/>
    <w:rsid w:val="00A7343E"/>
    <w:rsid w:val="00A81274"/>
    <w:rsid w:val="00A923BC"/>
    <w:rsid w:val="00B1134A"/>
    <w:rsid w:val="00B13E87"/>
    <w:rsid w:val="00B16C00"/>
    <w:rsid w:val="00B25A20"/>
    <w:rsid w:val="00B87986"/>
    <w:rsid w:val="00B87FB5"/>
    <w:rsid w:val="00BB2351"/>
    <w:rsid w:val="00C35CBD"/>
    <w:rsid w:val="00C662B5"/>
    <w:rsid w:val="00D31D50"/>
    <w:rsid w:val="00D5707C"/>
    <w:rsid w:val="00D64F3E"/>
    <w:rsid w:val="00DD5E10"/>
    <w:rsid w:val="00DF04D3"/>
    <w:rsid w:val="00F3165C"/>
    <w:rsid w:val="00F503AE"/>
    <w:rsid w:val="00F733EE"/>
    <w:rsid w:val="00FC0B1E"/>
    <w:rsid w:val="016045CD"/>
    <w:rsid w:val="0A325B26"/>
    <w:rsid w:val="0BCE1646"/>
    <w:rsid w:val="12D3139C"/>
    <w:rsid w:val="146940CF"/>
    <w:rsid w:val="15691448"/>
    <w:rsid w:val="274749AE"/>
    <w:rsid w:val="2EAB1BA3"/>
    <w:rsid w:val="399C2706"/>
    <w:rsid w:val="46BD5998"/>
    <w:rsid w:val="4BED787A"/>
    <w:rsid w:val="5FED27DE"/>
    <w:rsid w:val="72595C90"/>
    <w:rsid w:val="7B89137B"/>
    <w:rsid w:val="7C4D17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199B1-8509-4074-9E4A-53E0B9DE34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西云科技</Company>
  <Pages>2</Pages>
  <Words>765</Words>
  <Characters>864</Characters>
  <Lines>2</Lines>
  <Paragraphs>1</Paragraphs>
  <TotalTime>39</TotalTime>
  <ScaleCrop>false</ScaleCrop>
  <LinksUpToDate>false</LinksUpToDate>
  <CharactersWithSpaces>877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2020-04-20T03:40:00Z</dcterms:created>
  <dc:creator>Administrator</dc:creator>
  <cp:lastModifiedBy>Administrator</cp:lastModifiedBy>
  <cp:lastPrinted>2020-04-20T03:39:00Z</cp:lastPrinted>
  <dcterms:modified xsi:type="dcterms:W3CDTF">2023-06-09T01:45:36Z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719099570_btnclosed</vt:lpwstr>
  </property>
  <property fmtid="{D5CDD505-2E9C-101B-9397-08002B2CF9AE}" pid="3" name="KSOProductBuildVer">
    <vt:lpwstr>2052-11.1.0.14309</vt:lpwstr>
  </property>
  <property fmtid="{D5CDD505-2E9C-101B-9397-08002B2CF9AE}" pid="4" name="ICV">
    <vt:lpwstr>DFFEFD971FF34FFE9C0F1C96ED1FEFAC_13</vt:lpwstr>
  </property>
</Properties>
</file>