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方正小标宋_GBK" w:eastAsia="方正小标宋_GBK"/>
          <w:b/>
          <w:bCs/>
          <w:sz w:val="36"/>
          <w:szCs w:val="36"/>
        </w:rPr>
      </w:pPr>
      <w:r>
        <w:rPr>
          <w:rFonts w:hint="eastAsia" w:ascii="方正小标宋_GBK" w:hAnsi="宋体" w:eastAsia="方正小标宋_GBK"/>
          <w:b/>
          <w:bCs/>
          <w:sz w:val="36"/>
          <w:szCs w:val="36"/>
        </w:rPr>
        <w:t>20</w:t>
      </w:r>
      <w:r>
        <w:rPr>
          <w:rFonts w:hint="eastAsia" w:ascii="方正小标宋_GBK" w:hAnsi="宋体" w:eastAsia="方正小标宋_GBK"/>
          <w:b/>
          <w:bCs/>
          <w:sz w:val="36"/>
          <w:szCs w:val="36"/>
          <w:lang w:val="en-US" w:eastAsia="zh-CN"/>
        </w:rPr>
        <w:t>23</w:t>
      </w:r>
      <w:r>
        <w:rPr>
          <w:rFonts w:hint="eastAsia" w:ascii="方正小标宋_GBK" w:hAnsi="宋体" w:eastAsia="方正小标宋_GBK"/>
          <w:b/>
          <w:bCs/>
          <w:sz w:val="36"/>
          <w:szCs w:val="36"/>
        </w:rPr>
        <w:t>年度区级彩票公益金项目基本情况表</w:t>
      </w:r>
    </w:p>
    <w:tbl>
      <w:tblPr>
        <w:tblStyle w:val="4"/>
        <w:tblW w:w="9149" w:type="dxa"/>
        <w:tblInd w:w="-25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09"/>
        <w:gridCol w:w="1986"/>
        <w:gridCol w:w="1794"/>
        <w:gridCol w:w="1140"/>
        <w:gridCol w:w="1029"/>
        <w:gridCol w:w="6"/>
        <w:gridCol w:w="1985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0" w:hRule="atLeast"/>
        </w:trPr>
        <w:tc>
          <w:tcPr>
            <w:tcW w:w="12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  <w:t>项目实施单位</w:t>
            </w:r>
          </w:p>
        </w:tc>
        <w:tc>
          <w:tcPr>
            <w:tcW w:w="378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hint="eastAsia" w:ascii="方正仿宋_GBK" w:hAnsi="方正仿宋_GBK" w:eastAsia="方正仿宋_GBK" w:cs="方正仿宋_GBK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  <w:lang w:val="en-US" w:eastAsia="zh-CN"/>
              </w:rPr>
              <w:t>渝北区双凤桥街道办事处</w:t>
            </w:r>
          </w:p>
          <w:p>
            <w:pPr>
              <w:spacing w:line="77" w:lineRule="atLeast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</w:p>
        </w:tc>
        <w:tc>
          <w:tcPr>
            <w:tcW w:w="11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77" w:lineRule="atLeast"/>
              <w:jc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  <w:t>项目名称</w:t>
            </w:r>
          </w:p>
        </w:tc>
        <w:tc>
          <w:tcPr>
            <w:tcW w:w="3020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  <w:t>双凤桥街道社区养老服务站运营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0" w:hRule="atLeast"/>
        </w:trPr>
        <w:tc>
          <w:tcPr>
            <w:tcW w:w="12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  <w:t>项目单位责任人</w:t>
            </w:r>
          </w:p>
        </w:tc>
        <w:tc>
          <w:tcPr>
            <w:tcW w:w="378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hint="eastAsia" w:ascii="方正仿宋_GBK" w:hAnsi="方正仿宋_GBK" w:eastAsia="方正仿宋_GBK" w:cs="方正仿宋_GBK"/>
                <w:sz w:val="21"/>
                <w:szCs w:val="21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  <w:lang w:eastAsia="zh-CN"/>
              </w:rPr>
              <w:t>陈洁</w:t>
            </w:r>
          </w:p>
        </w:tc>
        <w:tc>
          <w:tcPr>
            <w:tcW w:w="11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  <w:t>联络人及联系方式</w:t>
            </w:r>
          </w:p>
        </w:tc>
        <w:tc>
          <w:tcPr>
            <w:tcW w:w="3020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1"/>
                <w:szCs w:val="21"/>
                <w:lang w:eastAsia="zh-CN"/>
              </w:rPr>
            </w:pPr>
            <w:r>
              <w:rPr>
                <w:rFonts w:hint="eastAsia" w:ascii="方正仿宋_GBK" w:eastAsia="方正仿宋_GBK"/>
                <w:sz w:val="21"/>
                <w:szCs w:val="21"/>
                <w:lang w:eastAsia="zh-CN"/>
              </w:rPr>
              <w:t>段孟铭</w:t>
            </w:r>
            <w:r>
              <w:rPr>
                <w:rFonts w:hint="eastAsia" w:ascii="方正仿宋_GBK" w:eastAsia="方正仿宋_GBK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方正仿宋_GBK" w:eastAsia="方正仿宋_GBK"/>
                <w:sz w:val="21"/>
                <w:szCs w:val="21"/>
              </w:rPr>
              <w:t>67837423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0" w:hRule="atLeast"/>
        </w:trPr>
        <w:tc>
          <w:tcPr>
            <w:tcW w:w="1209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  <w:t>项目资金（万元）</w:t>
            </w:r>
          </w:p>
        </w:tc>
        <w:tc>
          <w:tcPr>
            <w:tcW w:w="19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/>
              <w:spacing w:after="0" w:line="300" w:lineRule="exact"/>
              <w:contextualSpacing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  <w:t>资金来源</w:t>
            </w:r>
          </w:p>
        </w:tc>
        <w:tc>
          <w:tcPr>
            <w:tcW w:w="179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  <w:t>彩票公益金</w:t>
            </w:r>
          </w:p>
        </w:tc>
        <w:tc>
          <w:tcPr>
            <w:tcW w:w="2175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00" w:lineRule="exact"/>
              <w:jc w:val="left"/>
              <w:textAlignment w:val="auto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  <w:t>资金下达数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00" w:lineRule="exact"/>
              <w:jc w:val="left"/>
              <w:textAlignment w:val="auto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  <w:t>（万元）</w:t>
            </w:r>
          </w:p>
        </w:tc>
        <w:tc>
          <w:tcPr>
            <w:tcW w:w="198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hint="default" w:ascii="方正仿宋_GBK" w:hAnsi="方正仿宋_GBK" w:eastAsia="方正仿宋_GBK" w:cs="方正仿宋_GBK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  <w:lang w:val="en-US" w:eastAsia="zh-CN"/>
              </w:rPr>
              <w:t>8.9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9" w:hRule="atLeast"/>
        </w:trPr>
        <w:tc>
          <w:tcPr>
            <w:tcW w:w="1209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</w:p>
        </w:tc>
        <w:tc>
          <w:tcPr>
            <w:tcW w:w="19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/>
              <w:spacing w:after="0" w:line="300" w:lineRule="exact"/>
              <w:contextualSpacing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  <w:t>实际支出（万元）</w:t>
            </w:r>
          </w:p>
        </w:tc>
        <w:tc>
          <w:tcPr>
            <w:tcW w:w="179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hint="default" w:ascii="方正仿宋_GBK" w:hAnsi="方正仿宋_GBK" w:eastAsia="方正仿宋_GBK" w:cs="方正仿宋_GBK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  <w:lang w:val="en-US" w:eastAsia="zh-CN"/>
              </w:rPr>
              <w:t>8.9</w:t>
            </w:r>
          </w:p>
        </w:tc>
        <w:tc>
          <w:tcPr>
            <w:tcW w:w="216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  <w:t>其中：彩票公益金支出（万元）</w:t>
            </w:r>
          </w:p>
        </w:tc>
        <w:tc>
          <w:tcPr>
            <w:tcW w:w="199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hint="default" w:ascii="方正仿宋_GBK" w:hAnsi="方正仿宋_GBK" w:eastAsia="方正仿宋_GBK" w:cs="方正仿宋_GBK"/>
                <w:sz w:val="21"/>
                <w:szCs w:val="21"/>
                <w:lang w:val="en-US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  <w:lang w:val="en-US" w:eastAsia="zh-CN"/>
              </w:rPr>
              <w:t>8.9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9" w:hRule="atLeast"/>
        </w:trPr>
        <w:tc>
          <w:tcPr>
            <w:tcW w:w="1209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</w:p>
        </w:tc>
        <w:tc>
          <w:tcPr>
            <w:tcW w:w="19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/>
              <w:spacing w:after="0" w:line="300" w:lineRule="exact"/>
              <w:contextualSpacing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  <w:t>资金是否结余</w:t>
            </w:r>
          </w:p>
        </w:tc>
        <w:tc>
          <w:tcPr>
            <w:tcW w:w="179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  <w:lang w:eastAsia="zh-CN"/>
              </w:rPr>
              <w:t>否</w:t>
            </w:r>
          </w:p>
        </w:tc>
        <w:tc>
          <w:tcPr>
            <w:tcW w:w="216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left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  <w:t>结余处理</w:t>
            </w:r>
          </w:p>
        </w:tc>
        <w:tc>
          <w:tcPr>
            <w:tcW w:w="199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  <w:lang w:val="en-US" w:eastAsia="zh-CN"/>
              </w:rPr>
              <w:t>无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91" w:hRule="atLeast"/>
        </w:trPr>
        <w:tc>
          <w:tcPr>
            <w:tcW w:w="1209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>
            <w:pPr>
              <w:spacing w:line="560" w:lineRule="exact"/>
              <w:jc w:val="center"/>
              <w:rPr>
                <w:rFonts w:ascii="方正仿宋_GBK" w:eastAsia="方正仿宋_GBK"/>
                <w:sz w:val="21"/>
                <w:szCs w:val="21"/>
              </w:rPr>
            </w:pPr>
          </w:p>
          <w:p>
            <w:pPr>
              <w:spacing w:line="560" w:lineRule="exact"/>
              <w:jc w:val="center"/>
              <w:rPr>
                <w:rFonts w:ascii="方正仿宋_GBK" w:eastAsia="方正仿宋_GBK"/>
                <w:sz w:val="21"/>
                <w:szCs w:val="21"/>
              </w:rPr>
            </w:pPr>
            <w:r>
              <w:rPr>
                <w:rFonts w:hint="eastAsia" w:ascii="方正仿宋_GBK" w:eastAsia="方正仿宋_GBK"/>
                <w:sz w:val="21"/>
                <w:szCs w:val="21"/>
              </w:rPr>
              <w:t>项</w:t>
            </w:r>
          </w:p>
          <w:p>
            <w:pPr>
              <w:spacing w:line="560" w:lineRule="exact"/>
              <w:jc w:val="center"/>
              <w:rPr>
                <w:rFonts w:ascii="方正仿宋_GBK" w:eastAsia="方正仿宋_GBK"/>
                <w:sz w:val="21"/>
                <w:szCs w:val="21"/>
              </w:rPr>
            </w:pPr>
            <w:r>
              <w:rPr>
                <w:rFonts w:hint="eastAsia" w:ascii="方正仿宋_GBK" w:eastAsia="方正仿宋_GBK"/>
                <w:sz w:val="21"/>
                <w:szCs w:val="21"/>
              </w:rPr>
              <w:t>目</w:t>
            </w:r>
          </w:p>
          <w:p>
            <w:pPr>
              <w:spacing w:line="560" w:lineRule="exact"/>
              <w:jc w:val="center"/>
              <w:rPr>
                <w:rFonts w:ascii="方正仿宋_GBK" w:eastAsia="方正仿宋_GBK"/>
                <w:sz w:val="21"/>
                <w:szCs w:val="21"/>
              </w:rPr>
            </w:pPr>
            <w:r>
              <w:rPr>
                <w:rFonts w:hint="eastAsia" w:ascii="方正仿宋_GBK" w:eastAsia="方正仿宋_GBK"/>
                <w:sz w:val="21"/>
                <w:szCs w:val="21"/>
              </w:rPr>
              <w:t>内</w:t>
            </w:r>
          </w:p>
          <w:p>
            <w:pPr>
              <w:spacing w:line="560" w:lineRule="exact"/>
              <w:jc w:val="center"/>
              <w:rPr>
                <w:rFonts w:ascii="方正仿宋_GBK" w:eastAsia="方正仿宋_GBK"/>
                <w:sz w:val="21"/>
                <w:szCs w:val="21"/>
              </w:rPr>
            </w:pPr>
            <w:r>
              <w:rPr>
                <w:rFonts w:hint="eastAsia" w:ascii="方正仿宋_GBK" w:eastAsia="方正仿宋_GBK"/>
                <w:sz w:val="21"/>
                <w:szCs w:val="21"/>
              </w:rPr>
              <w:t>容</w:t>
            </w:r>
          </w:p>
        </w:tc>
        <w:tc>
          <w:tcPr>
            <w:tcW w:w="7940" w:type="dxa"/>
            <w:gridSpan w:val="6"/>
            <w:tcBorders>
              <w:top w:val="single" w:color="auto" w:sz="4" w:space="0"/>
              <w:left w:val="nil"/>
              <w:right w:val="single" w:color="auto" w:sz="4" w:space="0"/>
            </w:tcBorders>
          </w:tcPr>
          <w:p>
            <w:pPr>
              <w:spacing w:after="0" w:line="440" w:lineRule="exact"/>
              <w:rPr>
                <w:rFonts w:ascii="方正仿宋_GBK" w:hAnsi="仿宋" w:eastAsia="方正仿宋_GBK" w:cs="Helvetica"/>
                <w:sz w:val="21"/>
                <w:szCs w:val="21"/>
              </w:rPr>
            </w:pPr>
            <w:r>
              <w:rPr>
                <w:rFonts w:hint="eastAsia" w:ascii="方正仿宋_GBK" w:eastAsia="方正仿宋_GBK"/>
                <w:sz w:val="24"/>
                <w:szCs w:val="24"/>
              </w:rPr>
              <w:t>项目概况，周期，实施内容</w:t>
            </w:r>
            <w:r>
              <w:rPr>
                <w:rFonts w:hint="eastAsia" w:ascii="方正仿宋_GBK" w:eastAsia="方正仿宋_GBK"/>
                <w:sz w:val="24"/>
                <w:szCs w:val="24"/>
                <w:highlight w:val="none"/>
              </w:rPr>
              <w:t>（内容详细）</w:t>
            </w:r>
            <w:r>
              <w:rPr>
                <w:rFonts w:hint="eastAsia" w:ascii="方正仿宋_GBK" w:eastAsia="方正仿宋_GBK"/>
                <w:sz w:val="24"/>
                <w:szCs w:val="24"/>
              </w:rPr>
              <w:t>：</w:t>
            </w:r>
            <w:r>
              <w:rPr>
                <w:rFonts w:hint="eastAsia" w:ascii="方正仿宋_GBK" w:eastAsia="方正仿宋_GBK"/>
                <w:sz w:val="21"/>
                <w:szCs w:val="21"/>
              </w:rPr>
              <w:t>双凤桥街道环湖雅居、长翔路、宏锦路、长空路、凤鸣路、桃源、博才路</w:t>
            </w:r>
            <w:r>
              <w:rPr>
                <w:rFonts w:hint="eastAsia" w:ascii="方正仿宋_GBK" w:eastAsia="方正仿宋_GBK"/>
                <w:sz w:val="21"/>
                <w:szCs w:val="21"/>
                <w:lang w:eastAsia="zh-CN"/>
              </w:rPr>
              <w:t>、安康路、溜马山、民秀路、</w:t>
            </w:r>
            <w:r>
              <w:rPr>
                <w:rFonts w:hint="eastAsia" w:ascii="方正仿宋_GBK" w:eastAsia="方正仿宋_GBK"/>
                <w:sz w:val="21"/>
                <w:szCs w:val="21"/>
              </w:rPr>
              <w:t>朗月</w:t>
            </w:r>
            <w:r>
              <w:rPr>
                <w:rFonts w:hint="eastAsia" w:ascii="方正仿宋_GBK" w:eastAsia="方正仿宋_GBK"/>
                <w:sz w:val="21"/>
                <w:szCs w:val="21"/>
                <w:lang w:eastAsia="zh-CN"/>
              </w:rPr>
              <w:t>路社区养老服务站</w:t>
            </w:r>
            <w:r>
              <w:rPr>
                <w:rFonts w:hint="eastAsia" w:ascii="方正仿宋_GBK" w:eastAsia="方正仿宋_GBK"/>
                <w:sz w:val="21"/>
                <w:szCs w:val="21"/>
              </w:rPr>
              <w:t>以公建民营的方式开展运营。项目周期：202</w:t>
            </w:r>
            <w:r>
              <w:rPr>
                <w:rFonts w:hint="eastAsia" w:ascii="方正仿宋_GBK" w:eastAsia="方正仿宋_GBK"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 w:ascii="方正仿宋_GBK" w:eastAsia="方正仿宋_GBK"/>
                <w:sz w:val="21"/>
                <w:szCs w:val="21"/>
              </w:rPr>
              <w:t>年全年。实施内容：根据老年人需求，开展健康保健、体育健身、图书阅览、纠纷调解等服务。</w:t>
            </w:r>
          </w:p>
          <w:p>
            <w:pPr>
              <w:spacing w:after="0" w:line="440" w:lineRule="exact"/>
              <w:rPr>
                <w:rFonts w:ascii="方正仿宋_GBK" w:eastAsia="方正仿宋_GBK"/>
                <w:b/>
                <w:bCs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4" w:hRule="atLeast"/>
        </w:trPr>
        <w:tc>
          <w:tcPr>
            <w:tcW w:w="1209" w:type="dxa"/>
            <w:vMerge w:val="continue"/>
            <w:tcBorders>
              <w:left w:val="single" w:color="auto" w:sz="4" w:space="0"/>
              <w:right w:val="single" w:color="auto" w:sz="4" w:space="0"/>
            </w:tcBorders>
          </w:tcPr>
          <w:p>
            <w:pPr>
              <w:spacing w:line="560" w:lineRule="exact"/>
              <w:jc w:val="center"/>
              <w:rPr>
                <w:rFonts w:ascii="方正仿宋_GBK" w:eastAsia="方正仿宋_GBK"/>
                <w:sz w:val="21"/>
                <w:szCs w:val="21"/>
              </w:rPr>
            </w:pPr>
          </w:p>
        </w:tc>
        <w:tc>
          <w:tcPr>
            <w:tcW w:w="7940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440" w:lineRule="exact"/>
              <w:rPr>
                <w:rFonts w:hint="eastAsia" w:ascii="方正仿宋_GBK" w:eastAsia="方正仿宋_GBK"/>
                <w:sz w:val="24"/>
                <w:szCs w:val="24"/>
                <w:highlight w:val="yellow"/>
                <w:lang w:eastAsia="zh-CN"/>
              </w:rPr>
            </w:pPr>
            <w:r>
              <w:rPr>
                <w:rFonts w:hint="eastAsia" w:ascii="方正仿宋_GBK" w:eastAsia="方正仿宋_GBK"/>
                <w:sz w:val="24"/>
                <w:szCs w:val="24"/>
              </w:rPr>
              <w:t>项目完成情况：</w:t>
            </w:r>
            <w:r>
              <w:rPr>
                <w:rFonts w:hint="eastAsia" w:ascii="方正仿宋_GBK" w:eastAsia="方正仿宋_GBK"/>
                <w:sz w:val="21"/>
                <w:szCs w:val="21"/>
              </w:rPr>
              <w:t>为辖区内老年人</w:t>
            </w:r>
            <w:r>
              <w:rPr>
                <w:rFonts w:hint="eastAsia" w:ascii="方正仿宋_GBK" w:eastAsia="方正仿宋_GBK"/>
                <w:sz w:val="21"/>
                <w:szCs w:val="21"/>
                <w:lang w:eastAsia="zh-CN"/>
              </w:rPr>
              <w:t>开</w:t>
            </w:r>
            <w:r>
              <w:rPr>
                <w:rFonts w:hint="eastAsia" w:ascii="方正仿宋_GBK" w:eastAsia="方正仿宋_GBK"/>
                <w:sz w:val="21"/>
                <w:szCs w:val="21"/>
              </w:rPr>
              <w:t>展了健康保健、体育健身、图书阅览、纠纷调解等服务。服务人次约</w:t>
            </w:r>
            <w:r>
              <w:rPr>
                <w:rFonts w:hint="eastAsia" w:ascii="方正仿宋_GBK" w:eastAsia="方正仿宋_GBK"/>
                <w:sz w:val="21"/>
                <w:szCs w:val="21"/>
                <w:lang w:val="en-US" w:eastAsia="zh-CN"/>
              </w:rPr>
              <w:t>29723</w:t>
            </w:r>
            <w:r>
              <w:rPr>
                <w:rFonts w:hint="eastAsia" w:ascii="方正仿宋_GBK" w:eastAsia="方正仿宋_GBK"/>
                <w:sz w:val="21"/>
                <w:szCs w:val="21"/>
              </w:rPr>
              <w:t>余人次</w:t>
            </w: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  <w:lang w:eastAsia="zh-CN"/>
              </w:rPr>
              <w:t>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7" w:hRule="atLeast"/>
        </w:trPr>
        <w:tc>
          <w:tcPr>
            <w:tcW w:w="1209" w:type="dxa"/>
            <w:vMerge w:val="continue"/>
            <w:tcBorders>
              <w:left w:val="single" w:color="auto" w:sz="4" w:space="0"/>
              <w:right w:val="single" w:color="auto" w:sz="4" w:space="0"/>
            </w:tcBorders>
          </w:tcPr>
          <w:p>
            <w:pPr>
              <w:spacing w:line="560" w:lineRule="exact"/>
              <w:jc w:val="center"/>
              <w:rPr>
                <w:rFonts w:ascii="方正仿宋_GBK" w:eastAsia="方正仿宋_GBK"/>
                <w:sz w:val="21"/>
                <w:szCs w:val="21"/>
              </w:rPr>
            </w:pPr>
          </w:p>
        </w:tc>
        <w:tc>
          <w:tcPr>
            <w:tcW w:w="7940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440" w:lineRule="exact"/>
              <w:rPr>
                <w:rFonts w:hint="default" w:ascii="方正仿宋_GBK" w:eastAsia="方正仿宋_GBK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K" w:eastAsia="方正仿宋_GBK"/>
                <w:sz w:val="24"/>
                <w:szCs w:val="24"/>
              </w:rPr>
              <w:t>资金使用情况（详细说明）：</w:t>
            </w:r>
            <w:r>
              <w:rPr>
                <w:rFonts w:hint="eastAsia" w:ascii="方正仿宋_GBK" w:eastAsia="方正仿宋_GBK"/>
                <w:spacing w:val="10"/>
                <w:sz w:val="21"/>
                <w:szCs w:val="21"/>
                <w:lang w:val="en-US" w:eastAsia="zh-CN"/>
              </w:rPr>
              <w:t>双凤桥街道向5个社区养老服务站发放2022年养老服务站运营补贴尾款共计 8.9万元，其中长翔路社区养老服务站拨付0.8万元；环湖雅居社区养老服务站拨付2.4万元；博才路社区养老服务站拨付2.4万元；民秀路社区养老服务站拨付1.06万元；溜马山社区养老服务站拨付2.24万元，剩余6个社区养老服务站无运营补贴尾款。</w:t>
            </w:r>
          </w:p>
          <w:p>
            <w:pPr>
              <w:spacing w:after="0" w:line="440" w:lineRule="exact"/>
              <w:rPr>
                <w:rFonts w:ascii="方正仿宋_GBK" w:hAnsi="仿宋" w:eastAsia="方正仿宋_GBK" w:cs="Helvetica"/>
                <w:b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2" w:hRule="atLeast"/>
        </w:trPr>
        <w:tc>
          <w:tcPr>
            <w:tcW w:w="1209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560" w:lineRule="exact"/>
              <w:jc w:val="center"/>
              <w:rPr>
                <w:rFonts w:ascii="方正仿宋_GBK" w:eastAsia="方正仿宋_GBK"/>
                <w:sz w:val="21"/>
                <w:szCs w:val="21"/>
              </w:rPr>
            </w:pPr>
          </w:p>
        </w:tc>
        <w:tc>
          <w:tcPr>
            <w:tcW w:w="7940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440" w:lineRule="exact"/>
              <w:rPr>
                <w:rFonts w:ascii="方正仿宋_GBK" w:hAnsi="仿宋" w:eastAsia="方正仿宋_GBK" w:cs="Helvetica"/>
                <w:sz w:val="21"/>
                <w:szCs w:val="21"/>
              </w:rPr>
            </w:pPr>
            <w:r>
              <w:rPr>
                <w:rFonts w:hint="eastAsia" w:ascii="方正仿宋_GBK" w:eastAsia="方正仿宋_GBK"/>
                <w:sz w:val="24"/>
                <w:szCs w:val="24"/>
              </w:rPr>
              <w:t>实际效果：</w:t>
            </w:r>
            <w:r>
              <w:rPr>
                <w:rFonts w:hint="eastAsia" w:ascii="方正仿宋_GBK" w:eastAsia="方正仿宋_GBK"/>
                <w:sz w:val="21"/>
                <w:szCs w:val="21"/>
              </w:rPr>
              <w:t>融洽了邻里关系，倡导邻里和谐、互帮互助，“敬老、爱老、遵老、孝老”的志愿服务精神，树立文明道德新风尚。</w:t>
            </w: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  <w:t>增进了与老人们的情感，</w:t>
            </w:r>
            <w:r>
              <w:rPr>
                <w:rFonts w:hint="eastAsia" w:ascii="方正仿宋_GBK" w:hAnsi="方正仿宋_GBK" w:eastAsia="方正仿宋_GBK" w:cs="方正仿宋_GBK"/>
                <w:kern w:val="2"/>
                <w:sz w:val="21"/>
                <w:szCs w:val="21"/>
              </w:rPr>
              <w:t>促进了老年人家庭和睦，使老人感受到来自社区大家庭的关心和关爱</w:t>
            </w: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  <w:t>，切实增强了老年人的幸福感和获得感</w:t>
            </w:r>
            <w:r>
              <w:rPr>
                <w:rFonts w:hint="eastAsia" w:ascii="方正仿宋_GBK" w:hAnsi="方正仿宋_GBK" w:eastAsia="方正仿宋_GBK" w:cs="方正仿宋_GBK"/>
                <w:kern w:val="2"/>
                <w:sz w:val="21"/>
                <w:szCs w:val="21"/>
              </w:rPr>
              <w:t>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0" w:hRule="atLeast"/>
        </w:trPr>
        <w:tc>
          <w:tcPr>
            <w:tcW w:w="1209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>
            <w:pPr>
              <w:spacing w:line="560" w:lineRule="exact"/>
              <w:contextualSpacing/>
              <w:jc w:val="center"/>
              <w:rPr>
                <w:rFonts w:ascii="方正仿宋_GBK" w:eastAsia="方正仿宋_GBK"/>
                <w:sz w:val="21"/>
                <w:szCs w:val="21"/>
              </w:rPr>
            </w:pPr>
            <w:r>
              <w:rPr>
                <w:rFonts w:hint="eastAsia" w:ascii="方正仿宋_GBK" w:eastAsia="方正仿宋_GBK"/>
                <w:sz w:val="21"/>
                <w:szCs w:val="21"/>
              </w:rPr>
              <w:t>项</w:t>
            </w:r>
          </w:p>
          <w:p>
            <w:pPr>
              <w:spacing w:line="560" w:lineRule="exact"/>
              <w:contextualSpacing/>
              <w:jc w:val="center"/>
              <w:rPr>
                <w:rFonts w:ascii="方正仿宋_GBK" w:eastAsia="方正仿宋_GBK"/>
                <w:sz w:val="21"/>
                <w:szCs w:val="21"/>
              </w:rPr>
            </w:pPr>
            <w:r>
              <w:rPr>
                <w:rFonts w:hint="eastAsia" w:ascii="方正仿宋_GBK" w:eastAsia="方正仿宋_GBK"/>
                <w:sz w:val="21"/>
                <w:szCs w:val="21"/>
              </w:rPr>
              <w:t>目</w:t>
            </w:r>
          </w:p>
          <w:p>
            <w:pPr>
              <w:spacing w:line="560" w:lineRule="exact"/>
              <w:contextualSpacing/>
              <w:jc w:val="center"/>
              <w:rPr>
                <w:rFonts w:ascii="方正仿宋_GBK" w:eastAsia="方正仿宋_GBK"/>
                <w:sz w:val="21"/>
                <w:szCs w:val="21"/>
              </w:rPr>
            </w:pPr>
            <w:r>
              <w:rPr>
                <w:rFonts w:hint="eastAsia" w:ascii="方正仿宋_GBK" w:eastAsia="方正仿宋_GBK"/>
                <w:sz w:val="21"/>
                <w:szCs w:val="21"/>
              </w:rPr>
              <w:t>依</w:t>
            </w:r>
          </w:p>
          <w:p>
            <w:pPr>
              <w:spacing w:line="560" w:lineRule="exact"/>
              <w:contextualSpacing/>
              <w:jc w:val="center"/>
              <w:rPr>
                <w:rFonts w:ascii="方正仿宋_GBK" w:eastAsia="方正仿宋_GBK"/>
                <w:sz w:val="21"/>
                <w:szCs w:val="21"/>
              </w:rPr>
            </w:pPr>
            <w:r>
              <w:rPr>
                <w:rFonts w:hint="eastAsia" w:ascii="方正仿宋_GBK" w:eastAsia="方正仿宋_GBK"/>
                <w:sz w:val="21"/>
                <w:szCs w:val="21"/>
              </w:rPr>
              <w:t>据</w:t>
            </w:r>
          </w:p>
        </w:tc>
        <w:tc>
          <w:tcPr>
            <w:tcW w:w="7940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440" w:lineRule="exact"/>
              <w:rPr>
                <w:rFonts w:ascii="方正仿宋_GBK" w:eastAsia="方正仿宋_GBK"/>
                <w:sz w:val="24"/>
                <w:szCs w:val="24"/>
              </w:rPr>
            </w:pPr>
            <w:r>
              <w:rPr>
                <w:rFonts w:hint="eastAsia" w:ascii="方正仿宋_GBK" w:eastAsia="方正仿宋_GBK"/>
                <w:sz w:val="24"/>
                <w:szCs w:val="24"/>
              </w:rPr>
              <w:t>立项依据：</w:t>
            </w: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  <w:t>《重庆市渝北区</w:t>
            </w: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  <w:lang w:val="en-US" w:eastAsia="zh-CN"/>
              </w:rPr>
              <w:t>财政局关于清算社区养老服务设施2022年度运营补贴的通知</w:t>
            </w: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  <w:t>》（渝北</w:t>
            </w: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  <w:lang w:val="en-US" w:eastAsia="zh-CN"/>
              </w:rPr>
              <w:t>财社</w:t>
            </w: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  <w:t>（202</w:t>
            </w: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  <w:t>）1</w:t>
            </w: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  <w:lang w:val="en-US" w:eastAsia="zh-CN"/>
              </w:rPr>
              <w:t>41</w:t>
            </w: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  <w:t>号）、《渝北区养老服务中心、社区养老服务站运营管理考核办法》（渝北民〔2022〕99号）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9" w:hRule="atLeast"/>
        </w:trPr>
        <w:tc>
          <w:tcPr>
            <w:tcW w:w="1209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560" w:lineRule="exact"/>
              <w:jc w:val="center"/>
              <w:rPr>
                <w:rFonts w:ascii="方正仿宋_GBK" w:eastAsia="方正仿宋_GBK"/>
                <w:sz w:val="21"/>
                <w:szCs w:val="21"/>
              </w:rPr>
            </w:pPr>
          </w:p>
        </w:tc>
        <w:tc>
          <w:tcPr>
            <w:tcW w:w="7940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440" w:lineRule="exact"/>
              <w:rPr>
                <w:rFonts w:hint="eastAsia" w:ascii="方正仿宋_GBK" w:eastAsia="方正仿宋_GBK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方正仿宋_GBK" w:eastAsia="方正仿宋_GBK"/>
                <w:sz w:val="24"/>
                <w:szCs w:val="24"/>
              </w:rPr>
              <w:t>采购方式：</w:t>
            </w:r>
            <w:r>
              <w:rPr>
                <w:rFonts w:hint="eastAsia" w:ascii="方正仿宋_GBK" w:eastAsia="方正仿宋_GBK"/>
                <w:sz w:val="21"/>
                <w:szCs w:val="21"/>
                <w:lang w:eastAsia="zh-CN"/>
              </w:rPr>
              <w:t>公开招标</w:t>
            </w:r>
            <w:bookmarkStart w:id="0" w:name="_GoBack"/>
            <w:bookmarkEnd w:id="0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</w:trPr>
        <w:tc>
          <w:tcPr>
            <w:tcW w:w="1209" w:type="dxa"/>
            <w:vMerge w:val="restart"/>
          </w:tcPr>
          <w:p>
            <w:pPr>
              <w:spacing w:line="560" w:lineRule="exact"/>
              <w:contextualSpacing/>
              <w:jc w:val="center"/>
              <w:rPr>
                <w:rFonts w:ascii="方正仿宋_GBK" w:eastAsia="方正仿宋_GBK"/>
                <w:sz w:val="21"/>
                <w:szCs w:val="21"/>
              </w:rPr>
            </w:pPr>
            <w:r>
              <w:rPr>
                <w:rFonts w:hint="eastAsia" w:ascii="方正仿宋_GBK" w:eastAsia="方正仿宋_GBK"/>
                <w:sz w:val="21"/>
                <w:szCs w:val="21"/>
              </w:rPr>
              <w:t>绩效评价及其他</w:t>
            </w:r>
          </w:p>
        </w:tc>
        <w:tc>
          <w:tcPr>
            <w:tcW w:w="7940" w:type="dxa"/>
            <w:gridSpan w:val="6"/>
          </w:tcPr>
          <w:p>
            <w:pPr>
              <w:spacing w:line="220" w:lineRule="atLeast"/>
              <w:rPr>
                <w:sz w:val="21"/>
                <w:szCs w:val="21"/>
              </w:rPr>
            </w:pPr>
            <w:r>
              <w:rPr>
                <w:rFonts w:hint="eastAsia" w:ascii="方正仿宋_GBK" w:eastAsia="方正仿宋_GBK"/>
                <w:sz w:val="24"/>
                <w:szCs w:val="24"/>
              </w:rPr>
              <w:t>绩效评价</w:t>
            </w:r>
            <w:r>
              <w:rPr>
                <w:rFonts w:hint="eastAsia"/>
                <w:sz w:val="21"/>
                <w:szCs w:val="21"/>
              </w:rPr>
              <w:t>：</w:t>
            </w:r>
            <w:r>
              <w:rPr>
                <w:rFonts w:hint="eastAsia" w:ascii="方正仿宋_GBK" w:hAnsi="方正仿宋_GBK" w:eastAsia="方正仿宋_GBK" w:cs="方正仿宋_GBK"/>
                <w:kern w:val="2"/>
                <w:sz w:val="21"/>
                <w:szCs w:val="21"/>
              </w:rPr>
              <w:t>促进了老年人家庭和睦，使老人感受到来自社区大家庭的关心和关爱</w:t>
            </w: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  <w:t>，切实增强了老年人的幸福感和获得感</w:t>
            </w:r>
            <w:r>
              <w:rPr>
                <w:rFonts w:hint="eastAsia" w:ascii="方正仿宋_GBK" w:hAnsi="方正仿宋_GBK" w:eastAsia="方正仿宋_GBK" w:cs="方正仿宋_GBK"/>
                <w:kern w:val="2"/>
                <w:sz w:val="21"/>
                <w:szCs w:val="21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5" w:hRule="atLeast"/>
        </w:trPr>
        <w:tc>
          <w:tcPr>
            <w:tcW w:w="1209" w:type="dxa"/>
            <w:vMerge w:val="continue"/>
          </w:tcPr>
          <w:p>
            <w:pPr>
              <w:spacing w:line="560" w:lineRule="exact"/>
              <w:contextualSpacing/>
              <w:jc w:val="center"/>
              <w:rPr>
                <w:rFonts w:ascii="方正仿宋_GBK" w:eastAsia="方正仿宋_GBK"/>
                <w:sz w:val="21"/>
                <w:szCs w:val="21"/>
              </w:rPr>
            </w:pPr>
          </w:p>
        </w:tc>
        <w:tc>
          <w:tcPr>
            <w:tcW w:w="7940" w:type="dxa"/>
            <w:gridSpan w:val="6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 w:ascii="方正仿宋_GBK" w:eastAsia="方正仿宋_GBK"/>
                <w:sz w:val="24"/>
                <w:szCs w:val="24"/>
              </w:rPr>
              <w:t>审计结果：</w:t>
            </w: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  <w:t>未审计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</w:trPr>
        <w:tc>
          <w:tcPr>
            <w:tcW w:w="1209" w:type="dxa"/>
            <w:vMerge w:val="continue"/>
          </w:tcPr>
          <w:p>
            <w:pPr>
              <w:spacing w:line="560" w:lineRule="exact"/>
              <w:contextualSpacing/>
              <w:jc w:val="center"/>
              <w:rPr>
                <w:rFonts w:ascii="方正仿宋_GBK" w:eastAsia="方正仿宋_GBK"/>
                <w:sz w:val="21"/>
                <w:szCs w:val="21"/>
              </w:rPr>
            </w:pPr>
          </w:p>
        </w:tc>
        <w:tc>
          <w:tcPr>
            <w:tcW w:w="7940" w:type="dxa"/>
            <w:gridSpan w:val="6"/>
          </w:tcPr>
          <w:p>
            <w:pPr>
              <w:rPr>
                <w:rFonts w:ascii="方正仿宋_GBK" w:eastAsia="方正仿宋_GBK"/>
                <w:sz w:val="24"/>
                <w:szCs w:val="24"/>
              </w:rPr>
            </w:pPr>
            <w:r>
              <w:rPr>
                <w:rFonts w:hint="eastAsia" w:ascii="方正仿宋_GBK" w:eastAsia="方正仿宋_GBK"/>
                <w:sz w:val="24"/>
                <w:szCs w:val="24"/>
              </w:rPr>
              <w:t>是否接受投诉及其他：</w:t>
            </w:r>
            <w:r>
              <w:rPr>
                <w:rFonts w:hint="eastAsia" w:ascii="方正仿宋_GBK" w:eastAsia="方正仿宋_GBK"/>
                <w:sz w:val="24"/>
                <w:szCs w:val="24"/>
                <w:lang w:eastAsia="zh-CN"/>
              </w:rPr>
              <w:t>无</w:t>
            </w:r>
          </w:p>
        </w:tc>
      </w:tr>
    </w:tbl>
    <w:p>
      <w:pPr>
        <w:spacing w:line="220" w:lineRule="atLeast"/>
        <w:rPr>
          <w:rFonts w:hint="eastAsia" w:eastAsia="宋体"/>
          <w:sz w:val="30"/>
          <w:szCs w:val="28"/>
          <w:lang w:eastAsia="zh-CN"/>
        </w:rPr>
      </w:pPr>
    </w:p>
    <w:p>
      <w:pPr>
        <w:spacing w:line="220" w:lineRule="atLeast"/>
        <w:rPr>
          <w:rFonts w:hint="eastAsia" w:eastAsia="微软雅黑"/>
          <w:sz w:val="21"/>
          <w:szCs w:val="21"/>
          <w:lang w:eastAsia="zh-CN"/>
        </w:rPr>
      </w:pPr>
      <w:r>
        <w:rPr>
          <w:rFonts w:hint="eastAsia" w:eastAsia="宋体"/>
          <w:sz w:val="30"/>
          <w:szCs w:val="28"/>
          <w:lang w:eastAsia="zh-CN"/>
        </w:rPr>
        <w:drawing>
          <wp:inline distT="0" distB="0" distL="114300" distR="114300">
            <wp:extent cx="5885180" cy="3458210"/>
            <wp:effectExtent l="0" t="0" r="1270" b="8890"/>
            <wp:docPr id="1" name="图片 1" descr="7.6科普活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.6科普活动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85180" cy="345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微软雅黑"/>
          <w:sz w:val="21"/>
          <w:szCs w:val="21"/>
          <w:lang w:eastAsia="zh-CN"/>
        </w:rPr>
      </w:pPr>
      <w:r>
        <w:rPr>
          <w:rFonts w:hint="eastAsia" w:eastAsia="宋体"/>
          <w:sz w:val="30"/>
          <w:szCs w:val="28"/>
          <w:lang w:eastAsia="zh-CN"/>
        </w:rPr>
        <w:drawing>
          <wp:inline distT="0" distB="0" distL="114300" distR="114300">
            <wp:extent cx="5908675" cy="3324860"/>
            <wp:effectExtent l="0" t="0" r="15875" b="8890"/>
            <wp:docPr id="2" name="图片 2" descr="7.7渝北中医院义诊活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.7渝北中医院义诊活动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08675" cy="332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微软雅黑"/>
          <w:sz w:val="21"/>
          <w:szCs w:val="21"/>
          <w:lang w:eastAsia="zh-CN"/>
        </w:rPr>
        <w:br w:type="page"/>
      </w:r>
    </w:p>
    <w:p>
      <w:pPr>
        <w:spacing w:line="220" w:lineRule="atLeast"/>
        <w:jc w:val="center"/>
        <w:rPr>
          <w:rFonts w:hint="eastAsia" w:eastAsia="宋体"/>
          <w:sz w:val="30"/>
          <w:szCs w:val="28"/>
          <w:lang w:eastAsia="zh-CN"/>
        </w:rPr>
      </w:pPr>
      <w:r>
        <w:rPr>
          <w:rFonts w:hint="eastAsia" w:eastAsia="宋体"/>
          <w:sz w:val="30"/>
          <w:szCs w:val="28"/>
          <w:lang w:eastAsia="zh-CN"/>
        </w:rPr>
        <w:drawing>
          <wp:inline distT="0" distB="0" distL="114300" distR="114300">
            <wp:extent cx="5546090" cy="3119755"/>
            <wp:effectExtent l="0" t="0" r="16510" b="4445"/>
            <wp:docPr id="3" name="图片 3" descr="7.13应急知识培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.13应急知识培训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46090" cy="311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0" w:lineRule="atLeast"/>
        <w:jc w:val="center"/>
        <w:rPr>
          <w:rFonts w:hint="eastAsia" w:eastAsia="微软雅黑"/>
          <w:sz w:val="21"/>
          <w:szCs w:val="21"/>
          <w:lang w:eastAsia="zh-CN"/>
        </w:rPr>
      </w:pPr>
      <w:r>
        <w:rPr>
          <w:rFonts w:hint="eastAsia" w:eastAsia="宋体"/>
          <w:sz w:val="30"/>
          <w:szCs w:val="28"/>
          <w:lang w:eastAsia="zh-CN"/>
        </w:rPr>
        <w:drawing>
          <wp:inline distT="0" distB="0" distL="114300" distR="114300">
            <wp:extent cx="5569585" cy="4178300"/>
            <wp:effectExtent l="0" t="0" r="12065" b="12700"/>
            <wp:docPr id="4" name="图片 4" descr="7.14老年人健康知识讲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.14老年人健康知识讲座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69585" cy="417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0" w:lineRule="atLeast"/>
        <w:jc w:val="both"/>
        <w:rPr>
          <w:rFonts w:hint="eastAsia" w:eastAsia="微软雅黑"/>
          <w:sz w:val="21"/>
          <w:szCs w:val="21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511800" cy="4133850"/>
            <wp:effectExtent l="0" t="0" r="12700" b="0"/>
            <wp:docPr id="8" name="图片 8" descr="7.20口腔检查志愿服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7.20口腔检查志愿服务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11800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微软雅黑"/>
          <w:sz w:val="21"/>
          <w:szCs w:val="21"/>
          <w:lang w:eastAsia="zh-CN"/>
        </w:rPr>
      </w:pPr>
      <w:r>
        <w:rPr>
          <w:rFonts w:hint="eastAsia" w:eastAsia="宋体"/>
          <w:sz w:val="30"/>
          <w:szCs w:val="28"/>
          <w:lang w:eastAsia="zh-CN"/>
        </w:rPr>
        <w:drawing>
          <wp:inline distT="0" distB="0" distL="114300" distR="114300">
            <wp:extent cx="5511165" cy="4133850"/>
            <wp:effectExtent l="0" t="0" r="13335" b="0"/>
            <wp:docPr id="9" name="图片 9" descr="7.25老年人义剪活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7.25老年人义剪活动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11165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0" w:lineRule="atLeast"/>
        <w:jc w:val="center"/>
        <w:rPr>
          <w:rFonts w:hint="eastAsia" w:eastAsia="微软雅黑"/>
          <w:sz w:val="21"/>
          <w:szCs w:val="21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632450" cy="4224655"/>
            <wp:effectExtent l="0" t="0" r="6350" b="4445"/>
            <wp:docPr id="10" name="图片 10" descr="7.26老年人反诈宣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7.26老年人反诈宣传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32450" cy="422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134" w:right="1797" w:bottom="1134" w:left="1797" w:header="709" w:footer="709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Helvetica">
    <w:altName w:val="Arial"/>
    <w:panose1 w:val="020B0604020202020204"/>
    <w:charset w:val="00"/>
    <w:family w:val="swiss"/>
    <w:pitch w:val="default"/>
    <w:sig w:usb0="00000000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MzI5ZWVjYzBkMjZjYWU1ZjU3NTY1MmY4YTU0ODc0ODkifQ=="/>
  </w:docVars>
  <w:rsids>
    <w:rsidRoot w:val="00D31D50"/>
    <w:rsid w:val="000B4766"/>
    <w:rsid w:val="000D2099"/>
    <w:rsid w:val="000E6944"/>
    <w:rsid w:val="00104CC9"/>
    <w:rsid w:val="00170CF1"/>
    <w:rsid w:val="00174EF2"/>
    <w:rsid w:val="001A1BFE"/>
    <w:rsid w:val="001F2CE9"/>
    <w:rsid w:val="0020243E"/>
    <w:rsid w:val="00235838"/>
    <w:rsid w:val="00284031"/>
    <w:rsid w:val="002929DC"/>
    <w:rsid w:val="002A6601"/>
    <w:rsid w:val="002B21F8"/>
    <w:rsid w:val="00323B43"/>
    <w:rsid w:val="00337330"/>
    <w:rsid w:val="0037423A"/>
    <w:rsid w:val="003D0CCC"/>
    <w:rsid w:val="003D37D8"/>
    <w:rsid w:val="00426133"/>
    <w:rsid w:val="004358AB"/>
    <w:rsid w:val="00480793"/>
    <w:rsid w:val="00491348"/>
    <w:rsid w:val="004E3583"/>
    <w:rsid w:val="004F366D"/>
    <w:rsid w:val="00522EB7"/>
    <w:rsid w:val="005B3B4E"/>
    <w:rsid w:val="006368BE"/>
    <w:rsid w:val="00677C81"/>
    <w:rsid w:val="006C070B"/>
    <w:rsid w:val="006D1B28"/>
    <w:rsid w:val="0071290B"/>
    <w:rsid w:val="00776D58"/>
    <w:rsid w:val="007A6016"/>
    <w:rsid w:val="00831FBB"/>
    <w:rsid w:val="00835842"/>
    <w:rsid w:val="00863318"/>
    <w:rsid w:val="008A56C5"/>
    <w:rsid w:val="008B5B1D"/>
    <w:rsid w:val="008B7726"/>
    <w:rsid w:val="008E0D7E"/>
    <w:rsid w:val="009100FB"/>
    <w:rsid w:val="00934D32"/>
    <w:rsid w:val="00957DFA"/>
    <w:rsid w:val="00982EF7"/>
    <w:rsid w:val="009B3B74"/>
    <w:rsid w:val="009E3A3F"/>
    <w:rsid w:val="009F61FD"/>
    <w:rsid w:val="00A05EC2"/>
    <w:rsid w:val="00A14EB6"/>
    <w:rsid w:val="00A22847"/>
    <w:rsid w:val="00A4264F"/>
    <w:rsid w:val="00A44767"/>
    <w:rsid w:val="00A7343E"/>
    <w:rsid w:val="00A81274"/>
    <w:rsid w:val="00A923BC"/>
    <w:rsid w:val="00B1134A"/>
    <w:rsid w:val="00B13E87"/>
    <w:rsid w:val="00B16C00"/>
    <w:rsid w:val="00B25A20"/>
    <w:rsid w:val="00B87986"/>
    <w:rsid w:val="00B87FB5"/>
    <w:rsid w:val="00BB2351"/>
    <w:rsid w:val="00C35CBD"/>
    <w:rsid w:val="00C662B5"/>
    <w:rsid w:val="00D31D50"/>
    <w:rsid w:val="00D5707C"/>
    <w:rsid w:val="00D64F3E"/>
    <w:rsid w:val="00DD5E10"/>
    <w:rsid w:val="00DF04D3"/>
    <w:rsid w:val="00F3165C"/>
    <w:rsid w:val="00F503AE"/>
    <w:rsid w:val="00F733EE"/>
    <w:rsid w:val="00FC0B1E"/>
    <w:rsid w:val="01B95422"/>
    <w:rsid w:val="058F3129"/>
    <w:rsid w:val="0BCE1646"/>
    <w:rsid w:val="0C601C30"/>
    <w:rsid w:val="12D3139C"/>
    <w:rsid w:val="158F6D5F"/>
    <w:rsid w:val="1BC31F00"/>
    <w:rsid w:val="274749AE"/>
    <w:rsid w:val="274827FE"/>
    <w:rsid w:val="2C6B0E62"/>
    <w:rsid w:val="311819FE"/>
    <w:rsid w:val="33FF2461"/>
    <w:rsid w:val="35DA2256"/>
    <w:rsid w:val="373B4B09"/>
    <w:rsid w:val="37E42190"/>
    <w:rsid w:val="399C2706"/>
    <w:rsid w:val="3AD26D53"/>
    <w:rsid w:val="3B5866D3"/>
    <w:rsid w:val="3D0D2931"/>
    <w:rsid w:val="3E116017"/>
    <w:rsid w:val="3EDC1A31"/>
    <w:rsid w:val="401338A0"/>
    <w:rsid w:val="444D1D49"/>
    <w:rsid w:val="46DA7FD3"/>
    <w:rsid w:val="49444022"/>
    <w:rsid w:val="4A235E85"/>
    <w:rsid w:val="4A7E52BE"/>
    <w:rsid w:val="4C566AC2"/>
    <w:rsid w:val="4DA056C3"/>
    <w:rsid w:val="4E0655E0"/>
    <w:rsid w:val="4E3A4E06"/>
    <w:rsid w:val="519707E9"/>
    <w:rsid w:val="52F60580"/>
    <w:rsid w:val="56F12240"/>
    <w:rsid w:val="59D33502"/>
    <w:rsid w:val="5C63415A"/>
    <w:rsid w:val="5D695983"/>
    <w:rsid w:val="66C33EDD"/>
    <w:rsid w:val="686E3FED"/>
    <w:rsid w:val="690B22FB"/>
    <w:rsid w:val="69B0151A"/>
    <w:rsid w:val="72541E8D"/>
    <w:rsid w:val="78AD6395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semiHidden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3">
    <w:name w:val="header"/>
    <w:basedOn w:val="1"/>
    <w:link w:val="6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semiHidden/>
    <w:qFormat/>
    <w:uiPriority w:val="99"/>
    <w:rPr>
      <w:rFonts w:ascii="Tahoma" w:hAnsi="Tahoma"/>
      <w:sz w:val="18"/>
      <w:szCs w:val="18"/>
    </w:rPr>
  </w:style>
  <w:style w:type="character" w:customStyle="1" w:styleId="7">
    <w:name w:val="页脚 字符"/>
    <w:basedOn w:val="5"/>
    <w:link w:val="2"/>
    <w:semiHidden/>
    <w:qFormat/>
    <w:uiPriority w:val="99"/>
    <w:rPr>
      <w:rFonts w:ascii="Tahoma" w:hAnsi="Tahoma"/>
      <w:sz w:val="18"/>
      <w:szCs w:val="18"/>
    </w:rPr>
  </w:style>
  <w:style w:type="paragraph" w:styleId="8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D199B1-8509-4074-9E4A-53E0B9DE34A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西云科技</Company>
  <Pages>5</Pages>
  <Words>770</Words>
  <Characters>822</Characters>
  <Lines>2</Lines>
  <Paragraphs>1</Paragraphs>
  <TotalTime>8</TotalTime>
  <ScaleCrop>false</ScaleCrop>
  <LinksUpToDate>false</LinksUpToDate>
  <CharactersWithSpaces>825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2020-04-20T03:40:00Z</dcterms:created>
  <dc:creator>Administrator</dc:creator>
  <cp:lastModifiedBy>肖</cp:lastModifiedBy>
  <cp:lastPrinted>2020-04-20T03:39:00Z</cp:lastPrinted>
  <dcterms:modified xsi:type="dcterms:W3CDTF">2024-06-17T08:01:04Z</dcterms:modified>
  <cp:revision>81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SaveFontToCloudKey">
    <vt:lpwstr>719099570_btnclosed</vt:lpwstr>
  </property>
  <property fmtid="{D5CDD505-2E9C-101B-9397-08002B2CF9AE}" pid="3" name="KSOProductBuildVer">
    <vt:lpwstr>2052-12.1.0.16929</vt:lpwstr>
  </property>
  <property fmtid="{D5CDD505-2E9C-101B-9397-08002B2CF9AE}" pid="4" name="ICV">
    <vt:lpwstr>9DCF6FD5135146D1A6682F188856F179</vt:lpwstr>
  </property>
</Properties>
</file>