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spacing w:line="580" w:lineRule="exact"/>
        <w:jc w:val="center"/>
        <w:rPr>
          <w:rFonts w:hint="eastAsia" w:ascii="方正小标宋_GBK" w:eastAsia="方正小标宋_GBK"/>
          <w:sz w:val="44"/>
          <w:szCs w:val="44"/>
        </w:rPr>
      </w:pPr>
      <w:bookmarkStart w:id="0" w:name="_GoBack"/>
      <w:r>
        <w:rPr>
          <w:rFonts w:hint="eastAsia" w:ascii="方正小标宋_GBK" w:eastAsia="方正小标宋_GBK"/>
          <w:sz w:val="44"/>
          <w:szCs w:val="44"/>
        </w:rPr>
        <w:t>重庆市渝北区石船镇养老服务领域基层政务公开标准目录</w:t>
      </w:r>
      <w:bookmarkEnd w:id="0"/>
    </w:p>
    <w:tbl>
      <w:tblPr>
        <w:tblStyle w:val="5"/>
        <w:tblW w:w="143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6"/>
        <w:gridCol w:w="475"/>
        <w:gridCol w:w="538"/>
        <w:gridCol w:w="1387"/>
        <w:gridCol w:w="4980"/>
        <w:gridCol w:w="793"/>
        <w:gridCol w:w="771"/>
        <w:gridCol w:w="1982"/>
        <w:gridCol w:w="557"/>
        <w:gridCol w:w="463"/>
        <w:gridCol w:w="586"/>
        <w:gridCol w:w="614"/>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4" w:hRule="atLeast"/>
          <w:jc w:val="center"/>
        </w:trPr>
        <w:tc>
          <w:tcPr>
            <w:tcW w:w="356"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序号</w:t>
            </w:r>
          </w:p>
        </w:tc>
        <w:tc>
          <w:tcPr>
            <w:tcW w:w="1013" w:type="dxa"/>
            <w:gridSpan w:val="2"/>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公开事项</w:t>
            </w:r>
          </w:p>
        </w:tc>
        <w:tc>
          <w:tcPr>
            <w:tcW w:w="1387"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公开内容</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(要素)</w:t>
            </w:r>
          </w:p>
        </w:tc>
        <w:tc>
          <w:tcPr>
            <w:tcW w:w="4980"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公开依据</w:t>
            </w:r>
          </w:p>
        </w:tc>
        <w:tc>
          <w:tcPr>
            <w:tcW w:w="793"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时限</w:t>
            </w:r>
          </w:p>
        </w:tc>
        <w:tc>
          <w:tcPr>
            <w:tcW w:w="771"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公开主体</w:t>
            </w:r>
          </w:p>
        </w:tc>
        <w:tc>
          <w:tcPr>
            <w:tcW w:w="1982"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公开渠道和载体</w:t>
            </w:r>
          </w:p>
        </w:tc>
        <w:tc>
          <w:tcPr>
            <w:tcW w:w="1020" w:type="dxa"/>
            <w:gridSpan w:val="2"/>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公开对象</w:t>
            </w:r>
          </w:p>
        </w:tc>
        <w:tc>
          <w:tcPr>
            <w:tcW w:w="1200" w:type="dxa"/>
            <w:gridSpan w:val="2"/>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公开方式</w:t>
            </w:r>
          </w:p>
        </w:tc>
        <w:tc>
          <w:tcPr>
            <w:tcW w:w="881" w:type="dxa"/>
            <w:vMerge w:val="restart"/>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356" w:type="dxa"/>
            <w:vMerge w:val="continue"/>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p>
        </w:tc>
        <w:tc>
          <w:tcPr>
            <w:tcW w:w="475"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一级事项</w:t>
            </w:r>
          </w:p>
        </w:tc>
        <w:tc>
          <w:tcPr>
            <w:tcW w:w="538"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二级</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事项</w:t>
            </w:r>
          </w:p>
        </w:tc>
        <w:tc>
          <w:tcPr>
            <w:tcW w:w="1387" w:type="dxa"/>
            <w:vMerge w:val="continue"/>
            <w:vAlign w:val="center"/>
          </w:tcPr>
          <w:p>
            <w:pPr>
              <w:overflowPunct w:val="0"/>
              <w:snapToGrid w:val="0"/>
              <w:spacing w:line="230" w:lineRule="exact"/>
              <w:rPr>
                <w:rFonts w:hint="eastAsia" w:ascii="方正黑体_GBK" w:hAnsi="方正黑体_GBK" w:eastAsia="方正黑体_GBK" w:cs="方正黑体_GBK"/>
                <w:bCs/>
                <w:color w:val="000000"/>
                <w:kern w:val="0"/>
                <w:sz w:val="15"/>
                <w:szCs w:val="15"/>
              </w:rPr>
            </w:pPr>
          </w:p>
        </w:tc>
        <w:tc>
          <w:tcPr>
            <w:tcW w:w="4980" w:type="dxa"/>
            <w:vMerge w:val="continue"/>
            <w:vAlign w:val="center"/>
          </w:tcPr>
          <w:p>
            <w:pPr>
              <w:overflowPunct w:val="0"/>
              <w:snapToGrid w:val="0"/>
              <w:spacing w:line="230" w:lineRule="exact"/>
              <w:rPr>
                <w:rFonts w:hint="eastAsia" w:ascii="方正黑体_GBK" w:hAnsi="方正黑体_GBK" w:eastAsia="方正黑体_GBK" w:cs="方正黑体_GBK"/>
                <w:bCs/>
                <w:color w:val="000000"/>
                <w:kern w:val="0"/>
                <w:sz w:val="15"/>
                <w:szCs w:val="15"/>
              </w:rPr>
            </w:pPr>
          </w:p>
        </w:tc>
        <w:tc>
          <w:tcPr>
            <w:tcW w:w="793" w:type="dxa"/>
            <w:vMerge w:val="continue"/>
            <w:vAlign w:val="center"/>
          </w:tcPr>
          <w:p>
            <w:pPr>
              <w:overflowPunct w:val="0"/>
              <w:snapToGrid w:val="0"/>
              <w:spacing w:line="230" w:lineRule="exact"/>
              <w:rPr>
                <w:rFonts w:hint="eastAsia" w:ascii="方正黑体_GBK" w:hAnsi="方正黑体_GBK" w:eastAsia="方正黑体_GBK" w:cs="方正黑体_GBK"/>
                <w:bCs/>
                <w:color w:val="000000"/>
                <w:kern w:val="0"/>
                <w:sz w:val="15"/>
                <w:szCs w:val="15"/>
              </w:rPr>
            </w:pPr>
          </w:p>
        </w:tc>
        <w:tc>
          <w:tcPr>
            <w:tcW w:w="771" w:type="dxa"/>
            <w:vMerge w:val="continue"/>
            <w:vAlign w:val="center"/>
          </w:tcPr>
          <w:p>
            <w:pPr>
              <w:overflowPunct w:val="0"/>
              <w:snapToGrid w:val="0"/>
              <w:spacing w:line="230" w:lineRule="exact"/>
              <w:rPr>
                <w:rFonts w:hint="eastAsia" w:ascii="方正黑体_GBK" w:hAnsi="方正黑体_GBK" w:eastAsia="方正黑体_GBK" w:cs="方正黑体_GBK"/>
                <w:bCs/>
                <w:color w:val="000000"/>
                <w:kern w:val="0"/>
                <w:sz w:val="15"/>
                <w:szCs w:val="15"/>
              </w:rPr>
            </w:pPr>
          </w:p>
        </w:tc>
        <w:tc>
          <w:tcPr>
            <w:tcW w:w="1982" w:type="dxa"/>
            <w:vMerge w:val="continue"/>
            <w:vAlign w:val="center"/>
          </w:tcPr>
          <w:p>
            <w:pPr>
              <w:overflowPunct w:val="0"/>
              <w:snapToGrid w:val="0"/>
              <w:spacing w:line="230" w:lineRule="exact"/>
              <w:jc w:val="left"/>
              <w:rPr>
                <w:rFonts w:hint="eastAsia" w:ascii="方正黑体_GBK" w:hAnsi="方正黑体_GBK" w:eastAsia="方正黑体_GBK" w:cs="方正黑体_GBK"/>
                <w:bCs/>
                <w:color w:val="000000"/>
                <w:kern w:val="0"/>
                <w:sz w:val="15"/>
                <w:szCs w:val="15"/>
              </w:rPr>
            </w:pPr>
          </w:p>
        </w:tc>
        <w:tc>
          <w:tcPr>
            <w:tcW w:w="557"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spacing w:val="-5"/>
                <w:kern w:val="0"/>
                <w:sz w:val="15"/>
                <w:szCs w:val="15"/>
              </w:rPr>
              <w:t>全社会</w:t>
            </w:r>
          </w:p>
        </w:tc>
        <w:tc>
          <w:tcPr>
            <w:tcW w:w="463"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特定</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群体</w:t>
            </w:r>
          </w:p>
        </w:tc>
        <w:tc>
          <w:tcPr>
            <w:tcW w:w="586"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主动</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614" w:type="dxa"/>
            <w:vAlign w:val="center"/>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依申请</w:t>
            </w:r>
          </w:p>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881" w:type="dxa"/>
            <w:vMerge w:val="continue"/>
            <w:vAlign w:val="top"/>
          </w:tcPr>
          <w:p>
            <w:pPr>
              <w:overflowPunct w:val="0"/>
              <w:snapToGrid w:val="0"/>
              <w:spacing w:line="230" w:lineRule="exact"/>
              <w:jc w:val="center"/>
              <w:rPr>
                <w:rFonts w:hint="eastAsia" w:ascii="方正黑体_GBK" w:hAnsi="方正黑体_GBK" w:eastAsia="方正黑体_GBK" w:cs="方正黑体_GBK"/>
                <w:bCs/>
                <w:color w:val="000000"/>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356" w:type="dxa"/>
            <w:vAlign w:val="center"/>
          </w:tcPr>
          <w:p>
            <w:pPr>
              <w:overflowPunct w:val="0"/>
              <w:snapToGrid w:val="0"/>
              <w:spacing w:line="26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1</w:t>
            </w:r>
          </w:p>
        </w:tc>
        <w:tc>
          <w:tcPr>
            <w:tcW w:w="475" w:type="dxa"/>
            <w:vAlign w:val="center"/>
          </w:tcPr>
          <w:p>
            <w:pPr>
              <w:overflowPunct w:val="0"/>
              <w:snapToGrid w:val="0"/>
              <w:spacing w:line="26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业务办理</w:t>
            </w:r>
          </w:p>
        </w:tc>
        <w:tc>
          <w:tcPr>
            <w:tcW w:w="538" w:type="dxa"/>
            <w:vAlign w:val="center"/>
          </w:tcPr>
          <w:p>
            <w:pPr>
              <w:overflowPunct w:val="0"/>
              <w:snapToGrid w:val="0"/>
              <w:spacing w:line="26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老年人补贴</w:t>
            </w:r>
          </w:p>
        </w:tc>
        <w:tc>
          <w:tcPr>
            <w:tcW w:w="1387" w:type="dxa"/>
            <w:vAlign w:val="center"/>
          </w:tcPr>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●老年人补贴名称（高龄津贴、养老服务补贴等）</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●各项老年人补贴依据</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●各项老年人补贴对象</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●各项老年人补贴内容和标准</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●各项老年人补贴方式</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●补贴申请材料清单及格式</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●办理流程</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●办理部门</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●办理时限</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●办理时间、地点</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●咨询电话</w:t>
            </w:r>
          </w:p>
        </w:tc>
        <w:tc>
          <w:tcPr>
            <w:tcW w:w="4980" w:type="dxa"/>
            <w:vAlign w:val="center"/>
          </w:tcPr>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●《中华人民共和国老年人权益保障法》</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●《财政部民政部全国老龄办关于建立健全经济困难的高龄失能等老年人补贴制度的通知》</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●《重庆市老年人权益保障条例》</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●《重庆市渝北区老龄工作委员会办公室重庆市渝北区财政局关于印发〈渝北区高龄津贴发放实施办法〉的通知》</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●《重庆市渝北区民政局重庆市渝北残疾人联合会重庆市渝北老龄工作委员会办公室重庆市渝北区财政局</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关于印发〈重庆市渝北区经济困难的高龄失能老年人养老服务补贴实施办法〉、〈重庆市渝北区贫困残疾人生活补贴实施办法〉、〈重庆市渝北区重度残疾人护理补贴实施办法〉的通知》</w:t>
            </w:r>
          </w:p>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●信息公开规定</w:t>
            </w:r>
          </w:p>
        </w:tc>
        <w:tc>
          <w:tcPr>
            <w:tcW w:w="793" w:type="dxa"/>
            <w:vAlign w:val="center"/>
          </w:tcPr>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制定或获取补贴政策之日起10个工作日内</w:t>
            </w:r>
          </w:p>
        </w:tc>
        <w:tc>
          <w:tcPr>
            <w:tcW w:w="771" w:type="dxa"/>
            <w:vAlign w:val="center"/>
          </w:tcPr>
          <w:p>
            <w:pPr>
              <w:overflowPunct w:val="0"/>
              <w:snapToGrid w:val="0"/>
              <w:spacing w:line="26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1982" w:type="dxa"/>
            <w:vAlign w:val="center"/>
          </w:tcPr>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□政府公报</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sym w:font="Wingdings 2" w:char="F0A3"/>
            </w:r>
            <w:r>
              <w:rPr>
                <w:rFonts w:hint="eastAsia" w:ascii="方正仿宋_GBK" w:hAnsi="方正仿宋_GBK" w:eastAsia="方正仿宋_GBK" w:cs="方正仿宋_GBK"/>
                <w:color w:val="000000"/>
                <w:kern w:val="0"/>
                <w:sz w:val="15"/>
                <w:szCs w:val="15"/>
              </w:rPr>
              <w:t>两微一端</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□发布会/听证会</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□纸质媒体</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■政务服务中心</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□入户/现场</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w:t>
            </w:r>
          </w:p>
          <w:p>
            <w:pPr>
              <w:overflowPunct w:val="0"/>
              <w:snapToGrid w:val="0"/>
              <w:spacing w:line="26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□其他</w:t>
            </w:r>
          </w:p>
        </w:tc>
        <w:tc>
          <w:tcPr>
            <w:tcW w:w="557" w:type="dxa"/>
            <w:vAlign w:val="center"/>
          </w:tcPr>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63" w:type="dxa"/>
            <w:vAlign w:val="center"/>
          </w:tcPr>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86" w:type="dxa"/>
            <w:vAlign w:val="center"/>
          </w:tcPr>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14" w:type="dxa"/>
            <w:vAlign w:val="center"/>
          </w:tcPr>
          <w:p>
            <w:pPr>
              <w:overflowPunct w:val="0"/>
              <w:snapToGrid w:val="0"/>
              <w:spacing w:line="26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881" w:type="dxa"/>
            <w:vAlign w:val="center"/>
          </w:tcPr>
          <w:p>
            <w:pPr>
              <w:overflowPunct w:val="0"/>
              <w:snapToGrid w:val="0"/>
              <w:spacing w:line="26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石船镇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54" w:hRule="atLeast"/>
          <w:jc w:val="center"/>
        </w:trPr>
        <w:tc>
          <w:tcPr>
            <w:tcW w:w="356" w:type="dxa"/>
            <w:vAlign w:val="center"/>
          </w:tcPr>
          <w:p>
            <w:pPr>
              <w:overflowPunct w:val="0"/>
              <w:snapToGrid w:val="0"/>
              <w:spacing w:line="30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2</w:t>
            </w:r>
          </w:p>
        </w:tc>
        <w:tc>
          <w:tcPr>
            <w:tcW w:w="475" w:type="dxa"/>
            <w:vAlign w:val="center"/>
          </w:tcPr>
          <w:p>
            <w:pPr>
              <w:overflowPunct w:val="0"/>
              <w:snapToGrid w:val="0"/>
              <w:spacing w:line="30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行业管理</w:t>
            </w:r>
          </w:p>
        </w:tc>
        <w:tc>
          <w:tcPr>
            <w:tcW w:w="538" w:type="dxa"/>
            <w:vAlign w:val="center"/>
          </w:tcPr>
          <w:p>
            <w:pPr>
              <w:overflowPunct w:val="0"/>
              <w:snapToGrid w:val="0"/>
              <w:spacing w:line="30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对养老服务收费项目及标准进行监督管理</w:t>
            </w:r>
          </w:p>
        </w:tc>
        <w:tc>
          <w:tcPr>
            <w:tcW w:w="1387" w:type="dxa"/>
            <w:vAlign w:val="center"/>
          </w:tcPr>
          <w:p>
            <w:pPr>
              <w:overflowPunct w:val="0"/>
              <w:snapToGrid w:val="0"/>
              <w:spacing w:line="30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监督项目及标准</w:t>
            </w:r>
          </w:p>
        </w:tc>
        <w:tc>
          <w:tcPr>
            <w:tcW w:w="4980" w:type="dxa"/>
            <w:vAlign w:val="center"/>
          </w:tcPr>
          <w:p>
            <w:pPr>
              <w:overflowPunct w:val="0"/>
              <w:snapToGrid w:val="0"/>
              <w:spacing w:line="30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●《中华人民共和国老年人权益保障法》</w:t>
            </w:r>
          </w:p>
          <w:p>
            <w:pPr>
              <w:overflowPunct w:val="0"/>
              <w:snapToGrid w:val="0"/>
              <w:spacing w:line="30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●《重庆市老年人权益保障条例》</w:t>
            </w:r>
          </w:p>
          <w:p>
            <w:pPr>
              <w:overflowPunct w:val="0"/>
              <w:snapToGrid w:val="0"/>
              <w:spacing w:line="30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●《重庆市养老机构管理办法》</w:t>
            </w:r>
          </w:p>
          <w:p>
            <w:pPr>
              <w:overflowPunct w:val="0"/>
              <w:snapToGrid w:val="0"/>
              <w:spacing w:line="30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●信息公开规定</w:t>
            </w:r>
          </w:p>
        </w:tc>
        <w:tc>
          <w:tcPr>
            <w:tcW w:w="793" w:type="dxa"/>
            <w:vAlign w:val="center"/>
          </w:tcPr>
          <w:p>
            <w:pPr>
              <w:overflowPunct w:val="0"/>
              <w:snapToGrid w:val="0"/>
              <w:spacing w:line="30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检查结果做出之日起5个工作日内</w:t>
            </w:r>
          </w:p>
        </w:tc>
        <w:tc>
          <w:tcPr>
            <w:tcW w:w="771" w:type="dxa"/>
            <w:vAlign w:val="center"/>
          </w:tcPr>
          <w:p>
            <w:pPr>
              <w:overflowPunct w:val="0"/>
              <w:snapToGrid w:val="0"/>
              <w:spacing w:line="300" w:lineRule="exac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区民政局、镇人民政府（街道办事处）</w:t>
            </w:r>
          </w:p>
        </w:tc>
        <w:tc>
          <w:tcPr>
            <w:tcW w:w="1982" w:type="dxa"/>
            <w:vAlign w:val="center"/>
          </w:tcPr>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kern w:val="0"/>
                <w:sz w:val="15"/>
                <w:szCs w:val="15"/>
              </w:rPr>
              <w:t>■</w:t>
            </w:r>
            <w:r>
              <w:rPr>
                <w:rFonts w:hint="eastAsia" w:ascii="方正仿宋_GBK" w:hAnsi="方正仿宋_GBK" w:eastAsia="方正仿宋_GBK" w:cs="方正仿宋_GBK"/>
                <w:color w:val="000000"/>
                <w:kern w:val="0"/>
                <w:sz w:val="15"/>
                <w:szCs w:val="15"/>
              </w:rPr>
              <w:t>政府网站</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□政府公报</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□两微一端</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□发布会/听证会</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□广播电视</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□纸质媒体</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□公开查阅点</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■政务服务中心</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□便民服务站</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□入户/现场</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□社区/企事业单位/村公示栏（电子屏）</w:t>
            </w:r>
          </w:p>
          <w:p>
            <w:pPr>
              <w:overflowPunct w:val="0"/>
              <w:snapToGrid w:val="0"/>
              <w:spacing w:line="300" w:lineRule="exact"/>
              <w:jc w:val="left"/>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□精准推送</w:t>
            </w:r>
          </w:p>
          <w:p>
            <w:pPr>
              <w:overflowPunct w:val="0"/>
              <w:snapToGrid w:val="0"/>
              <w:spacing w:line="300" w:lineRule="exact"/>
              <w:jc w:val="left"/>
              <w:rPr>
                <w:rFonts w:hint="eastAsia" w:ascii="方正仿宋_GBK" w:hAnsi="方正仿宋_GBK" w:eastAsia="方正仿宋_GBK" w:cs="方正仿宋_GBK"/>
                <w:kern w:val="0"/>
                <w:sz w:val="15"/>
                <w:szCs w:val="15"/>
              </w:rPr>
            </w:pPr>
            <w:r>
              <w:rPr>
                <w:rFonts w:hint="eastAsia" w:ascii="方正仿宋_GBK" w:hAnsi="方正仿宋_GBK" w:eastAsia="方正仿宋_GBK" w:cs="方正仿宋_GBK"/>
                <w:color w:val="000000"/>
                <w:kern w:val="0"/>
                <w:sz w:val="15"/>
                <w:szCs w:val="15"/>
              </w:rPr>
              <w:t>□其他</w:t>
            </w:r>
          </w:p>
        </w:tc>
        <w:tc>
          <w:tcPr>
            <w:tcW w:w="557" w:type="dxa"/>
            <w:vAlign w:val="center"/>
          </w:tcPr>
          <w:p>
            <w:pPr>
              <w:overflowPunct w:val="0"/>
              <w:snapToGrid w:val="0"/>
              <w:spacing w:line="30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463" w:type="dxa"/>
            <w:vAlign w:val="center"/>
          </w:tcPr>
          <w:p>
            <w:pPr>
              <w:overflowPunct w:val="0"/>
              <w:snapToGrid w:val="0"/>
              <w:spacing w:line="30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586" w:type="dxa"/>
            <w:vAlign w:val="center"/>
          </w:tcPr>
          <w:p>
            <w:pPr>
              <w:overflowPunct w:val="0"/>
              <w:snapToGrid w:val="0"/>
              <w:spacing w:line="30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w:t>
            </w:r>
          </w:p>
        </w:tc>
        <w:tc>
          <w:tcPr>
            <w:tcW w:w="614" w:type="dxa"/>
            <w:vAlign w:val="center"/>
          </w:tcPr>
          <w:p>
            <w:pPr>
              <w:overflowPunct w:val="0"/>
              <w:snapToGrid w:val="0"/>
              <w:spacing w:line="30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　</w:t>
            </w:r>
          </w:p>
        </w:tc>
        <w:tc>
          <w:tcPr>
            <w:tcW w:w="881" w:type="dxa"/>
            <w:vAlign w:val="center"/>
          </w:tcPr>
          <w:p>
            <w:pPr>
              <w:overflowPunct w:val="0"/>
              <w:snapToGrid w:val="0"/>
              <w:spacing w:line="300" w:lineRule="exact"/>
              <w:jc w:val="center"/>
              <w:rPr>
                <w:rFonts w:hint="eastAsia" w:ascii="方正仿宋_GBK" w:hAnsi="方正仿宋_GBK" w:eastAsia="方正仿宋_GBK" w:cs="方正仿宋_GBK"/>
                <w:color w:val="000000"/>
                <w:kern w:val="0"/>
                <w:sz w:val="15"/>
                <w:szCs w:val="15"/>
              </w:rPr>
            </w:pPr>
            <w:r>
              <w:rPr>
                <w:rFonts w:hint="eastAsia" w:ascii="方正仿宋_GBK" w:hAnsi="方正仿宋_GBK" w:eastAsia="方正仿宋_GBK" w:cs="方正仿宋_GBK"/>
                <w:color w:val="000000"/>
                <w:kern w:val="0"/>
                <w:sz w:val="15"/>
                <w:szCs w:val="15"/>
              </w:rPr>
              <w:t>石船镇</w:t>
            </w:r>
          </w:p>
        </w:tc>
      </w:tr>
    </w:tbl>
    <w:p>
      <w:pPr>
        <w:overflowPunct w:val="0"/>
        <w:adjustRightInd w:val="0"/>
        <w:snapToGrid w:val="0"/>
        <w:rPr>
          <w:sz w:val="28"/>
          <w:szCs w:val="32"/>
        </w:rPr>
      </w:pPr>
    </w:p>
    <w:p>
      <w:pPr>
        <w:pStyle w:val="3"/>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pPr>
        <w:pStyle w:val="3"/>
        <w:rPr>
          <w:rFonts w:hint="eastAsia" w:ascii="Times New Roman" w:hAnsi="Times New Roman" w:eastAsia="方正仿宋_GBK"/>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E0D14"/>
    <w:rsid w:val="3F9E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2021-02-25T08:45:00Z</dcterms:created>
  <dc:creator>admin</dc:creator>
  <cp:lastModifiedBy>admin</cp:lastModifiedBy>
  <dcterms:modified xsi:type="dcterms:W3CDTF">2021-02-25T08:45:49Z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