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75"/>
        </w:tabs>
        <w:spacing w:line="580" w:lineRule="exact"/>
        <w:ind w:left="-92" w:leftChars="-44" w:right="-111" w:rightChars="-53"/>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580" w:lineRule="exact"/>
        <w:jc w:val="center"/>
        <w:rPr>
          <w:rFonts w:hint="eastAsia" w:ascii="方正小标宋_GBK" w:eastAsia="方正小标宋_GBK"/>
          <w:sz w:val="44"/>
          <w:szCs w:val="44"/>
        </w:rPr>
      </w:pPr>
      <w:bookmarkStart w:id="1" w:name="_GoBack"/>
      <w:r>
        <w:rPr>
          <w:rFonts w:hint="eastAsia" w:ascii="方正小标宋_GBK" w:eastAsia="方正小标宋_GBK"/>
          <w:sz w:val="44"/>
          <w:szCs w:val="44"/>
        </w:rPr>
        <w:t>重庆市渝北区石船镇社会救助领域基层政务公开标准目录</w:t>
      </w:r>
    </w:p>
    <w:bookmarkEnd w:id="1"/>
    <w:tbl>
      <w:tblPr>
        <w:tblStyle w:val="7"/>
        <w:tblW w:w="14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1"/>
        <w:gridCol w:w="482"/>
        <w:gridCol w:w="543"/>
        <w:gridCol w:w="3280"/>
        <w:gridCol w:w="912"/>
        <w:gridCol w:w="963"/>
        <w:gridCol w:w="966"/>
        <w:gridCol w:w="3164"/>
        <w:gridCol w:w="670"/>
        <w:gridCol w:w="608"/>
        <w:gridCol w:w="567"/>
        <w:gridCol w:w="64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序号</w:t>
            </w:r>
          </w:p>
        </w:tc>
        <w:tc>
          <w:tcPr>
            <w:tcW w:w="1025" w:type="dxa"/>
            <w:gridSpan w:val="2"/>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公开事项</w:t>
            </w:r>
          </w:p>
        </w:tc>
        <w:tc>
          <w:tcPr>
            <w:tcW w:w="3280"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公开内容</w:t>
            </w:r>
          </w:p>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(要素)</w:t>
            </w:r>
          </w:p>
        </w:tc>
        <w:tc>
          <w:tcPr>
            <w:tcW w:w="912"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公开依据</w:t>
            </w:r>
          </w:p>
        </w:tc>
        <w:tc>
          <w:tcPr>
            <w:tcW w:w="963"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公开时限</w:t>
            </w:r>
          </w:p>
        </w:tc>
        <w:tc>
          <w:tcPr>
            <w:tcW w:w="966"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公开主体</w:t>
            </w:r>
          </w:p>
        </w:tc>
        <w:tc>
          <w:tcPr>
            <w:tcW w:w="3164"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公开渠道和载体</w:t>
            </w:r>
          </w:p>
        </w:tc>
        <w:tc>
          <w:tcPr>
            <w:tcW w:w="1278" w:type="dxa"/>
            <w:gridSpan w:val="2"/>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公开对象</w:t>
            </w:r>
          </w:p>
        </w:tc>
        <w:tc>
          <w:tcPr>
            <w:tcW w:w="1207" w:type="dxa"/>
            <w:gridSpan w:val="2"/>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公开方式</w:t>
            </w:r>
          </w:p>
        </w:tc>
        <w:tc>
          <w:tcPr>
            <w:tcW w:w="1065"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8"/>
                <w:szCs w:val="18"/>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p>
        </w:tc>
        <w:tc>
          <w:tcPr>
            <w:tcW w:w="482"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一级事项</w:t>
            </w:r>
          </w:p>
        </w:tc>
        <w:tc>
          <w:tcPr>
            <w:tcW w:w="543"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二级事项</w:t>
            </w:r>
          </w:p>
        </w:tc>
        <w:tc>
          <w:tcPr>
            <w:tcW w:w="3280"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p>
        </w:tc>
        <w:tc>
          <w:tcPr>
            <w:tcW w:w="912"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p>
        </w:tc>
        <w:tc>
          <w:tcPr>
            <w:tcW w:w="963"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p>
        </w:tc>
        <w:tc>
          <w:tcPr>
            <w:tcW w:w="966"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p>
        </w:tc>
        <w:tc>
          <w:tcPr>
            <w:tcW w:w="3164"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p>
        </w:tc>
        <w:tc>
          <w:tcPr>
            <w:tcW w:w="670"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全社会</w:t>
            </w:r>
          </w:p>
        </w:tc>
        <w:tc>
          <w:tcPr>
            <w:tcW w:w="608"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特定</w:t>
            </w:r>
          </w:p>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群体</w:t>
            </w:r>
          </w:p>
        </w:tc>
        <w:tc>
          <w:tcPr>
            <w:tcW w:w="567"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主动</w:t>
            </w:r>
          </w:p>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公开</w:t>
            </w:r>
          </w:p>
        </w:tc>
        <w:tc>
          <w:tcPr>
            <w:tcW w:w="640"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8"/>
                <w:szCs w:val="18"/>
              </w:rPr>
            </w:pPr>
            <w:r>
              <w:rPr>
                <w:rFonts w:hint="eastAsia" w:ascii="方正黑体_GBK" w:hAnsi="方正黑体_GBK" w:eastAsia="方正黑体_GBK" w:cs="方正黑体_GBK"/>
                <w:bCs/>
                <w:color w:val="000000"/>
                <w:kern w:val="0"/>
                <w:sz w:val="18"/>
                <w:szCs w:val="18"/>
              </w:rPr>
              <w:t>依申请公开</w:t>
            </w:r>
          </w:p>
        </w:tc>
        <w:tc>
          <w:tcPr>
            <w:tcW w:w="1065" w:type="dxa"/>
            <w:vMerge w:val="restart"/>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97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p>
        </w:tc>
        <w:tc>
          <w:tcPr>
            <w:tcW w:w="482" w:type="dxa"/>
            <w:vMerge w:val="restart"/>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综合</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业务</w:t>
            </w: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政策</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法规</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文件</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●《社会救助暂行办法》（国务院令第649号）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●《重庆市人民政府关于贯彻落实国务院社会救助暂行办法的实施意见》（渝府发〔2014〕55号）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●《重庆市渝北区人民政府关于贯彻落实〈社会救助暂行办法〉的通知》（渝北府发〔2015〕32号）</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spacing w:val="-7"/>
                <w:kern w:val="0"/>
                <w:sz w:val="15"/>
                <w:szCs w:val="15"/>
              </w:rPr>
            </w:pPr>
            <w:r>
              <w:rPr>
                <w:rFonts w:hint="eastAsia" w:ascii="方正仿宋_GBK" w:hAnsi="方正仿宋_GBK" w:eastAsia="方正仿宋_GBK" w:cs="方正仿宋_GBK"/>
                <w:color w:val="000000"/>
                <w:spacing w:val="-7"/>
                <w:kern w:val="0"/>
                <w:sz w:val="15"/>
                <w:szCs w:val="15"/>
              </w:rPr>
              <w:t>信息公开规定</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continue"/>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310"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w:t>
            </w:r>
          </w:p>
        </w:tc>
        <w:tc>
          <w:tcPr>
            <w:tcW w:w="482" w:type="dxa"/>
            <w:vMerge w:val="continue"/>
            <w:vAlign w:val="center"/>
          </w:tcPr>
          <w:p>
            <w:pPr>
              <w:overflowPunct w:val="0"/>
              <w:snapToGrid w:val="0"/>
              <w:spacing w:line="220" w:lineRule="exact"/>
              <w:jc w:val="left"/>
              <w:rPr>
                <w:rFonts w:hint="eastAsia" w:ascii="方正仿宋_GBK" w:hAnsi="方正仿宋_GBK" w:eastAsia="方正仿宋_GBK" w:cs="方正仿宋_GBK"/>
                <w:color w:val="000000"/>
                <w:kern w:val="0"/>
                <w:sz w:val="15"/>
                <w:szCs w:val="15"/>
              </w:rPr>
            </w:pP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监督</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检查</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●社会救助信访通讯地址</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●社会救助投诉举报电话</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spacing w:val="-7"/>
                <w:kern w:val="0"/>
                <w:sz w:val="15"/>
                <w:szCs w:val="15"/>
              </w:rPr>
            </w:pPr>
            <w:r>
              <w:rPr>
                <w:rFonts w:hint="eastAsia" w:ascii="方正仿宋_GBK" w:hAnsi="方正仿宋_GBK" w:eastAsia="方正仿宋_GBK" w:cs="方正仿宋_GBK"/>
                <w:color w:val="000000"/>
                <w:spacing w:val="-7"/>
                <w:kern w:val="0"/>
                <w:sz w:val="15"/>
                <w:szCs w:val="15"/>
              </w:rPr>
              <w:t>相关政策规定</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continue"/>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w:t>
            </w:r>
          </w:p>
        </w:tc>
        <w:tc>
          <w:tcPr>
            <w:tcW w:w="482"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最低</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生活</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保障</w:t>
            </w: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政策</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法规</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文件</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●《国务院关于进一步加强和改进最低生活保障工作的意见》（国发〔2012〕45号）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●《最低生活保障审核审批办法（试行）》（民发〔2012〕220号）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●《重庆市城乡居民最低生活保障条例》（重庆市人民代表大会常务委员会公告〔2016〕第13号）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●《重庆市人民政府办公厅关于印发重庆市最低生活保障条件认定办法（修订）的通知》（渝府办发〔2017〕33号）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●《重庆市民政局关于印发〈重庆市最低生活保障申请审批规程〉和〈重庆市最低生活保障动态管理规范〉的通知》（渝民发〔2016〕80号）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●《重庆市渝北区人民政府办公室关于印发重庆市渝北区最低生活保障条件认定办法的通知》（渝北府办发〔2016〕27号）</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spacing w:val="-7"/>
                <w:kern w:val="0"/>
                <w:sz w:val="15"/>
                <w:szCs w:val="15"/>
              </w:rPr>
            </w:pPr>
            <w:r>
              <w:rPr>
                <w:rFonts w:hint="eastAsia" w:ascii="方正仿宋_GBK" w:hAnsi="方正仿宋_GBK" w:eastAsia="方正仿宋_GBK" w:cs="方正仿宋_GBK"/>
                <w:color w:val="000000"/>
                <w:spacing w:val="-7"/>
                <w:kern w:val="0"/>
                <w:sz w:val="15"/>
                <w:szCs w:val="15"/>
              </w:rPr>
              <w:t>信息公开规定</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continue"/>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w:t>
            </w:r>
          </w:p>
        </w:tc>
        <w:tc>
          <w:tcPr>
            <w:tcW w:w="482" w:type="dxa"/>
            <w:vMerge w:val="restart"/>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最低</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生活</w:t>
            </w:r>
          </w:p>
          <w:p>
            <w:pPr>
              <w:overflowPunct w:val="0"/>
              <w:snapToGrid w:val="0"/>
              <w:spacing w:line="22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保障</w:t>
            </w: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办事指南</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●办理事项</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●办理条件</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●最低生活保障标准</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●申请材料</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●办理流程</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●办理时间、地点</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●联系方式</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《国务院关于进一步加强和改进最低生活保障工作的意见》</w:t>
            </w:r>
            <w:r>
              <w:rPr>
                <w:rFonts w:hint="eastAsia" w:ascii="方正仿宋_GBK" w:hAnsi="方正仿宋_GBK" w:eastAsia="方正仿宋_GBK" w:cs="方正仿宋_GBK"/>
                <w:color w:val="000000"/>
                <w:spacing w:val="-11"/>
                <w:kern w:val="0"/>
                <w:sz w:val="15"/>
                <w:szCs w:val="15"/>
              </w:rPr>
              <w:t>（国发〔2012〕45号）</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restart"/>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w:t>
            </w:r>
          </w:p>
        </w:tc>
        <w:tc>
          <w:tcPr>
            <w:tcW w:w="482" w:type="dxa"/>
            <w:vMerge w:val="continue"/>
            <w:vAlign w:val="center"/>
          </w:tcPr>
          <w:p>
            <w:pPr>
              <w:overflowPunct w:val="0"/>
              <w:snapToGrid w:val="0"/>
              <w:spacing w:line="220" w:lineRule="exact"/>
              <w:jc w:val="left"/>
              <w:rPr>
                <w:rFonts w:hint="eastAsia" w:ascii="方正仿宋_GBK" w:hAnsi="方正仿宋_GBK" w:eastAsia="方正仿宋_GBK" w:cs="方正仿宋_GBK"/>
                <w:color w:val="000000"/>
                <w:kern w:val="0"/>
                <w:sz w:val="15"/>
                <w:szCs w:val="15"/>
              </w:rPr>
            </w:pP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审批信息</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●低保对象名单及相关信息</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《国务院关于进一步加强和改进最低生活保障工作的意见》</w:t>
            </w:r>
            <w:r>
              <w:rPr>
                <w:rFonts w:hint="eastAsia" w:ascii="方正仿宋_GBK" w:hAnsi="方正仿宋_GBK" w:eastAsia="方正仿宋_GBK" w:cs="方正仿宋_GBK"/>
                <w:color w:val="000000"/>
                <w:spacing w:val="-11"/>
                <w:kern w:val="0"/>
                <w:sz w:val="15"/>
                <w:szCs w:val="15"/>
              </w:rPr>
              <w:t>（国发〔2012〕45号）</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continue"/>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w:t>
            </w:r>
          </w:p>
        </w:tc>
        <w:tc>
          <w:tcPr>
            <w:tcW w:w="482" w:type="dxa"/>
            <w:vMerge w:val="restart"/>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特困</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人员</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救助供养</w:t>
            </w: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政策</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法规</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文件</w:t>
            </w:r>
          </w:p>
        </w:tc>
        <w:tc>
          <w:tcPr>
            <w:tcW w:w="3280" w:type="dxa"/>
            <w:vAlign w:val="center"/>
          </w:tcPr>
          <w:p>
            <w:pPr>
              <w:overflowPunct w:val="0"/>
              <w:snapToGrid w:val="0"/>
              <w:spacing w:line="22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●《国务院关于进一步健全特困人员救助供养制度的意见》（国发〔2016〕14号）</w:t>
            </w:r>
          </w:p>
          <w:p>
            <w:pPr>
              <w:overflowPunct w:val="0"/>
              <w:snapToGrid w:val="0"/>
              <w:spacing w:line="22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●民政部关于印发《特困人员认定办法》的通知（民发〔2016〕178号）</w:t>
            </w:r>
          </w:p>
          <w:p>
            <w:pPr>
              <w:overflowPunct w:val="0"/>
              <w:snapToGrid w:val="0"/>
              <w:spacing w:line="22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●民政部关于贯彻落实《国务院关于进一步健全特困人员救助供养制度的意见》的通知（民发〔2016〕115号）</w:t>
            </w:r>
          </w:p>
          <w:p>
            <w:pPr>
              <w:overflowPunct w:val="0"/>
              <w:snapToGrid w:val="0"/>
              <w:spacing w:line="22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●《重庆市人民政府关于进一步健全特困人员救助供养制度的实施意见》（渝府发〔2016〕47号）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●《重庆市民政局关于做好特困人员认定审批工作的通知》（渝民〔2017〕88号）</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信息公开规定</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continue"/>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w:t>
            </w:r>
          </w:p>
        </w:tc>
        <w:tc>
          <w:tcPr>
            <w:tcW w:w="482" w:type="dxa"/>
            <w:vMerge w:val="continue"/>
            <w:vAlign w:val="center"/>
          </w:tcPr>
          <w:p>
            <w:pPr>
              <w:overflowPunct w:val="0"/>
              <w:snapToGrid w:val="0"/>
              <w:spacing w:line="220" w:lineRule="exact"/>
              <w:jc w:val="left"/>
              <w:rPr>
                <w:rFonts w:hint="eastAsia" w:ascii="方正仿宋_GBK" w:hAnsi="方正仿宋_GBK" w:eastAsia="方正仿宋_GBK" w:cs="方正仿宋_GBK"/>
                <w:color w:val="000000"/>
                <w:kern w:val="0"/>
                <w:sz w:val="15"/>
                <w:szCs w:val="15"/>
              </w:rPr>
            </w:pP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办事指南</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●办理事项</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●办理条件</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●救助供养标准</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●申请材料</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●办理流程</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●办理时间、地点</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●联系方式</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《国务院关于进一步健全特困人员救助供养制度的意见》（国发〔2016〕14号）</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continue"/>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w:t>
            </w:r>
          </w:p>
        </w:tc>
        <w:tc>
          <w:tcPr>
            <w:tcW w:w="482" w:type="dxa"/>
            <w:vMerge w:val="continue"/>
            <w:vAlign w:val="center"/>
          </w:tcPr>
          <w:p>
            <w:pPr>
              <w:overflowPunct w:val="0"/>
              <w:snapToGrid w:val="0"/>
              <w:spacing w:line="220" w:lineRule="exact"/>
              <w:jc w:val="left"/>
              <w:rPr>
                <w:rFonts w:hint="eastAsia" w:ascii="方正仿宋_GBK" w:hAnsi="方正仿宋_GBK" w:eastAsia="方正仿宋_GBK" w:cs="方正仿宋_GBK"/>
                <w:color w:val="000000"/>
                <w:kern w:val="0"/>
                <w:sz w:val="15"/>
                <w:szCs w:val="15"/>
              </w:rPr>
            </w:pP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审批信息</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●特困人员名单及相关信息</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《国务院关于进一步健全特困人员救助供养制度的意见》（国发〔2016〕14号）</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制定或审批结束之日起10个工作日内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xml:space="preserve">□广播电视    □纸质媒体  </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restart"/>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w:t>
            </w:r>
          </w:p>
        </w:tc>
        <w:tc>
          <w:tcPr>
            <w:tcW w:w="482"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临时</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w:t>
            </w: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政策</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法规</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文件</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●《国务院关于全面建立临时救助制度的通知》（国发〔2014〕47号）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●《民政部财政部关于进一步加强和改进临时救助工作的意见》（民发〔2018〕23号）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●《重庆市人民政府关于进一步健全临时救助制度的通知》（渝府发〔2015〕16号）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●《重庆市民政局关于印发〈重庆市临时救助申请审批规程〉的通知》（渝民发〔2015〕50号）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●《重庆市民政局关于进一步完善临时救助工作的指导意见》（渝民发〔2017〕60号）</w:t>
            </w:r>
          </w:p>
          <w:p>
            <w:pPr>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重庆市渝北区民政局关于落实〈市民政局进一步完善临时救助工作的指导意见〉的通知》（渝北民〔2018〕4号）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●《关于转发〈重庆市民政局、重庆市财务局、重庆市扶贫开发办公室关于在脱贫攻坚兜底保障中切实做好临时救助工作的通知〉的通知》（渝北民〔2020〕41号）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●《重庆市渝北区民政局、重庆市渝北区财政局关于进一步落实突发意外事件和其他特殊困难临时救助工作的通知》（渝北民〔2016〕191号</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）●《重庆市渝北区民政局关于印发&lt;重庆市渝北区临时救助申请审批规程&gt;的通知》渝北民〔2015〕314号</w:t>
            </w:r>
            <w:bookmarkStart w:id="0" w:name="qianfa"/>
            <w:bookmarkEnd w:id="0"/>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信息公开规定</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continue"/>
            <w:vAlign w:val="center"/>
          </w:tcPr>
          <w:p>
            <w:pPr>
              <w:overflowPunct w:val="0"/>
              <w:snapToGrid w:val="0"/>
              <w:spacing w:line="220" w:lineRule="exact"/>
              <w:jc w:val="center"/>
              <w:rPr>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w:t>
            </w:r>
          </w:p>
        </w:tc>
        <w:tc>
          <w:tcPr>
            <w:tcW w:w="482" w:type="dxa"/>
            <w:vMerge w:val="restart"/>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临时</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w:t>
            </w: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办事指南</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●办理事项</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●办理条件</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●救助标准</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●申请材料</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●办理流程</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●办理时间、地点</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●联系方式</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《国务院关于全面建立临时救助制度的通知》（国发〔2014〕47号）</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xml:space="preserve">□广播电视    □纸质媒体  </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Merge w:val="continue"/>
            <w:vAlign w:val="center"/>
          </w:tcPr>
          <w:p>
            <w:pPr>
              <w:overflowPunct w:val="0"/>
              <w:snapToGrid w:val="0"/>
              <w:spacing w:line="220" w:lineRule="exact"/>
              <w:jc w:val="center"/>
              <w:rPr>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11</w:t>
            </w:r>
          </w:p>
        </w:tc>
        <w:tc>
          <w:tcPr>
            <w:tcW w:w="482" w:type="dxa"/>
            <w:vMerge w:val="continue"/>
            <w:vAlign w:val="center"/>
          </w:tcPr>
          <w:p>
            <w:pPr>
              <w:overflowPunct w:val="0"/>
              <w:snapToGrid w:val="0"/>
              <w:spacing w:line="220" w:lineRule="exact"/>
              <w:jc w:val="left"/>
              <w:rPr>
                <w:rFonts w:hint="eastAsia" w:ascii="方正仿宋_GBK" w:hAnsi="方正仿宋_GBK" w:eastAsia="方正仿宋_GBK" w:cs="方正仿宋_GBK"/>
                <w:color w:val="000000"/>
                <w:kern w:val="0"/>
                <w:sz w:val="15"/>
                <w:szCs w:val="15"/>
              </w:rPr>
            </w:pPr>
          </w:p>
        </w:tc>
        <w:tc>
          <w:tcPr>
            <w:tcW w:w="543"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审核</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审批</w:t>
            </w:r>
          </w:p>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w:t>
            </w:r>
          </w:p>
        </w:tc>
        <w:tc>
          <w:tcPr>
            <w:tcW w:w="3280"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●临时救助对象名单</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●救助金额</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●救助事由</w:t>
            </w:r>
          </w:p>
        </w:tc>
        <w:tc>
          <w:tcPr>
            <w:tcW w:w="912"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《国务院关于全面建立临时救助制度的通知》（国发〔2014〕47号）</w:t>
            </w:r>
          </w:p>
        </w:tc>
        <w:tc>
          <w:tcPr>
            <w:tcW w:w="963"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xml:space="preserve">□广播电视    □纸质媒体  </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2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vAlign w:val="center"/>
          </w:tcPr>
          <w:p>
            <w:pPr>
              <w:overflowPunct w:val="0"/>
              <w:snapToGrid w:val="0"/>
              <w:spacing w:line="22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vAlign w:val="center"/>
          </w:tcPr>
          <w:p>
            <w:pPr>
              <w:overflowPunct w:val="0"/>
              <w:snapToGrid w:val="0"/>
              <w:spacing w:line="22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vAlign w:val="center"/>
          </w:tcPr>
          <w:p>
            <w:pPr>
              <w:overflowPunct w:val="0"/>
              <w:snapToGrid w:val="0"/>
              <w:spacing w:line="22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1065" w:type="dxa"/>
            <w:vAlign w:val="center"/>
          </w:tcPr>
          <w:p>
            <w:pPr>
              <w:overflowPunct w:val="0"/>
              <w:snapToGrid w:val="0"/>
              <w:spacing w:line="220" w:lineRule="exact"/>
              <w:jc w:val="center"/>
              <w:rPr>
                <w:color w:val="000000"/>
                <w:kern w:val="0"/>
                <w:sz w:val="15"/>
                <w:szCs w:val="15"/>
              </w:rPr>
            </w:pPr>
            <w:r>
              <w:rPr>
                <w:rFonts w:hint="eastAsia" w:ascii="方正仿宋_GBK" w:hAnsi="方正仿宋_GBK" w:eastAsia="方正仿宋_GBK" w:cs="方正仿宋_GBK"/>
                <w:color w:val="000000"/>
                <w:kern w:val="0"/>
                <w:sz w:val="15"/>
                <w:szCs w:val="15"/>
              </w:rPr>
              <w:t>石船镇</w:t>
            </w:r>
          </w:p>
        </w:tc>
      </w:tr>
    </w:tbl>
    <w:p>
      <w:pPr>
        <w:tabs>
          <w:tab w:val="left" w:pos="13487"/>
        </w:tabs>
        <w:overflowPunct w:val="0"/>
        <w:adjustRightInd w:val="0"/>
        <w:snapToGrid w:val="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B58A4"/>
    <w:rsid w:val="051B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2021-02-25T08:43:00Z</dcterms:created>
  <dc:creator>admin</dc:creator>
  <cp:lastModifiedBy>admin</cp:lastModifiedBy>
  <dcterms:modified xsi:type="dcterms:W3CDTF">2021-02-25T08:44:59Z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