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jc w:val="center"/>
        <w:rPr>
          <w:rFonts w:eastAsia="方正黑体_GBK"/>
          <w:szCs w:val="32"/>
        </w:rPr>
      </w:pPr>
    </w:p>
    <w:p>
      <w:pPr>
        <w:snapToGrid w:val="0"/>
        <w:spacing w:line="600" w:lineRule="atLeast"/>
        <w:jc w:val="center"/>
        <w:rPr>
          <w:b/>
        </w:rPr>
      </w:pPr>
    </w:p>
    <w:p>
      <w:pPr>
        <w:snapToGrid w:val="0"/>
        <w:spacing w:line="600" w:lineRule="atLeast"/>
        <w:jc w:val="center"/>
        <w:rPr>
          <w:b/>
        </w:rPr>
      </w:pPr>
    </w:p>
    <w:p>
      <w:pPr>
        <w:snapToGrid w:val="0"/>
        <w:spacing w:line="500" w:lineRule="exact"/>
        <w:jc w:val="center"/>
        <w:rPr>
          <w:b/>
        </w:rPr>
      </w:pPr>
    </w:p>
    <w:p>
      <w:pPr>
        <w:snapToGrid w:val="0"/>
        <w:spacing w:line="500" w:lineRule="exact"/>
        <w:jc w:val="center"/>
        <w:rPr>
          <w:b/>
        </w:rPr>
      </w:pPr>
    </w:p>
    <w:p>
      <w:pPr>
        <w:snapToGrid w:val="0"/>
        <w:spacing w:line="440" w:lineRule="exact"/>
        <w:rPr>
          <w:b/>
        </w:rPr>
      </w:pPr>
    </w:p>
    <w:p>
      <w:pPr>
        <w:spacing w:line="300" w:lineRule="exact"/>
        <w:jc w:val="center"/>
      </w:pPr>
    </w:p>
    <w:p>
      <w:pPr>
        <w:spacing w:line="100" w:lineRule="exact"/>
        <w:jc w:val="center"/>
      </w:pPr>
    </w:p>
    <w:p>
      <w:pPr>
        <w:spacing w:line="100" w:lineRule="exact"/>
        <w:jc w:val="center"/>
      </w:pPr>
    </w:p>
    <w:p>
      <w:pPr>
        <w:spacing w:line="100" w:lineRule="exact"/>
        <w:jc w:val="center"/>
      </w:pPr>
    </w:p>
    <w:p>
      <w:pPr>
        <w:snapToGrid w:val="0"/>
        <w:spacing w:line="400" w:lineRule="exact"/>
        <w:ind w:left="316" w:leftChars="100" w:right="316" w:rightChars="100"/>
        <w:jc w:val="center"/>
        <w:rPr>
          <w:rFonts w:eastAsia="方正楷体_GBK"/>
          <w:szCs w:val="32"/>
        </w:rPr>
      </w:pPr>
      <w:r>
        <w:rPr>
          <w:szCs w:val="32"/>
        </w:rPr>
        <w:t>茨竹府</w:t>
      </w:r>
      <w:r>
        <w:rPr>
          <w:rFonts w:hint="eastAsia"/>
          <w:szCs w:val="32"/>
        </w:rPr>
        <w:t>发</w:t>
      </w:r>
      <w:r>
        <w:rPr>
          <w:szCs w:val="32"/>
        </w:rPr>
        <w:t>〔2024〕5</w:t>
      </w:r>
      <w:r>
        <w:rPr>
          <w:rFonts w:hint="eastAsia"/>
          <w:szCs w:val="32"/>
        </w:rPr>
        <w:t>6</w:t>
      </w:r>
      <w:r>
        <w:rPr>
          <w:szCs w:val="32"/>
        </w:rPr>
        <w:t>号</w:t>
      </w:r>
    </w:p>
    <w:p>
      <w:pPr>
        <w:snapToGrid w:val="0"/>
        <w:spacing w:line="400" w:lineRule="exact"/>
        <w:ind w:right="-104" w:rightChars="-33"/>
        <w:rPr>
          <w:rFonts w:eastAsia="方正楷体_GBK"/>
          <w:szCs w:val="32"/>
        </w:rPr>
      </w:pPr>
    </w:p>
    <w:p>
      <w:pPr>
        <w:spacing w:line="600" w:lineRule="exact"/>
        <w:jc w:val="center"/>
        <w:rPr>
          <w:rFonts w:eastAsia="方正小标宋_GBK"/>
          <w:sz w:val="44"/>
          <w:szCs w:val="44"/>
        </w:rPr>
      </w:pPr>
      <w:r>
        <w:rPr>
          <w:rFonts w:eastAsia="方正小标宋_GBK"/>
          <w:sz w:val="44"/>
          <w:szCs w:val="44"/>
        </w:rPr>
        <w:t>重庆市渝北区茨竹镇人民政府</w:t>
      </w:r>
    </w:p>
    <w:p>
      <w:pPr>
        <w:widowControl/>
        <w:spacing w:line="600" w:lineRule="exact"/>
        <w:jc w:val="center"/>
        <w:rPr>
          <w:sz w:val="44"/>
          <w:szCs w:val="44"/>
        </w:rPr>
      </w:pPr>
      <w:r>
        <w:rPr>
          <w:rFonts w:hint="eastAsia" w:eastAsia="方正小标宋_GBK"/>
          <w:sz w:val="44"/>
          <w:szCs w:val="44"/>
        </w:rPr>
        <w:t>关于印发全镇秋冬季安全生产和自然灾害隐患大排查行动方案的通知</w:t>
      </w:r>
    </w:p>
    <w:p>
      <w:pPr>
        <w:pStyle w:val="21"/>
        <w:widowControl w:val="0"/>
        <w:overflowPunct w:val="0"/>
        <w:spacing w:line="560" w:lineRule="exact"/>
        <w:rPr>
          <w:rFonts w:ascii="Times New Roman" w:hAnsi="Times New Roman" w:eastAsia="方正仿宋_GBK" w:cs="方正仿宋_GBK"/>
          <w:sz w:val="32"/>
          <w:szCs w:val="32"/>
        </w:rPr>
      </w:pPr>
    </w:p>
    <w:p>
      <w:pPr>
        <w:spacing w:line="560" w:lineRule="exact"/>
        <w:rPr>
          <w:rFonts w:ascii="方正仿宋_GBK" w:hAnsi="方正仿宋_GBK" w:cs="方正仿宋_GBK"/>
          <w:color w:val="000000"/>
          <w:szCs w:val="32"/>
        </w:rPr>
      </w:pPr>
      <w:r>
        <w:rPr>
          <w:rFonts w:hint="eastAsia"/>
          <w:szCs w:val="32"/>
        </w:rPr>
        <w:t>各村（居）民委员会，镇属各部门，各驻镇单位</w:t>
      </w:r>
      <w:r>
        <w:rPr>
          <w:rFonts w:hint="eastAsia" w:ascii="方正仿宋_GBK" w:hAnsi="方正仿宋_GBK" w:cs="方正仿宋_GBK"/>
          <w:color w:val="000000"/>
          <w:szCs w:val="32"/>
        </w:rPr>
        <w:t>：</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经镇政府同意，决定在全镇开展秋冬季安全生产和自然灾害隐患大排查行动，现将方案印发给你们，请认真贯彻落实。</w:t>
      </w:r>
    </w:p>
    <w:p>
      <w:pPr>
        <w:overflowPunct w:val="0"/>
        <w:spacing w:line="560" w:lineRule="exact"/>
        <w:ind w:firstLine="632" w:firstLineChars="200"/>
        <w:rPr>
          <w:rFonts w:cs="方正仿宋_GBK"/>
          <w:szCs w:val="32"/>
        </w:rPr>
      </w:pPr>
    </w:p>
    <w:p>
      <w:pPr>
        <w:overflowPunct w:val="0"/>
        <w:spacing w:line="560" w:lineRule="exact"/>
        <w:ind w:firstLine="632" w:firstLineChars="200"/>
        <w:rPr>
          <w:rFonts w:cs="方正仿宋_GBK"/>
          <w:szCs w:val="32"/>
        </w:rPr>
      </w:pPr>
    </w:p>
    <w:p>
      <w:pPr>
        <w:overflowPunct w:val="0"/>
        <w:spacing w:line="560" w:lineRule="exact"/>
        <w:ind w:firstLine="4108" w:firstLineChars="1300"/>
        <w:rPr>
          <w:rFonts w:cs="方正仿宋_GBK"/>
          <w:szCs w:val="32"/>
        </w:rPr>
      </w:pPr>
      <w:r>
        <w:rPr>
          <w:rFonts w:hint="eastAsia" w:cs="方正仿宋_GBK"/>
          <w:szCs w:val="32"/>
        </w:rPr>
        <w:t>重庆市渝北区茨竹镇人民政府</w:t>
      </w:r>
    </w:p>
    <w:p>
      <w:pPr>
        <w:overflowPunct w:val="0"/>
        <w:spacing w:line="560" w:lineRule="exact"/>
        <w:ind w:firstLine="4898" w:firstLineChars="1550"/>
        <w:rPr>
          <w:rFonts w:cs="方正仿宋_GBK"/>
          <w:szCs w:val="32"/>
        </w:rPr>
      </w:pPr>
      <w:r>
        <w:rPr>
          <w:rFonts w:hint="eastAsia" w:cs="方正仿宋_GBK"/>
          <w:szCs w:val="32"/>
        </w:rPr>
        <w:t>2024年11月1</w:t>
      </w:r>
      <w:r>
        <w:rPr>
          <w:rFonts w:cs="方正仿宋_GBK"/>
          <w:szCs w:val="32"/>
        </w:rPr>
        <w:t>3</w:t>
      </w:r>
      <w:r>
        <w:rPr>
          <w:rFonts w:hint="eastAsia" w:cs="方正仿宋_GBK"/>
          <w:szCs w:val="32"/>
        </w:rPr>
        <w:t>日</w:t>
      </w:r>
    </w:p>
    <w:p>
      <w:pPr>
        <w:overflowPunct w:val="0"/>
        <w:spacing w:line="560" w:lineRule="exact"/>
        <w:rPr>
          <w:rFonts w:hint="eastAsia" w:cs="方正仿宋_GBK"/>
          <w:szCs w:val="32"/>
        </w:rPr>
      </w:pPr>
      <w:r>
        <w:rPr>
          <w:rFonts w:hint="eastAsia" w:cs="方正仿宋_GBK"/>
          <w:szCs w:val="32"/>
        </w:rPr>
        <w:t>（此件公开发布</w:t>
      </w:r>
      <w:r>
        <w:rPr>
          <w:rFonts w:cs="方正仿宋_GBK"/>
          <w:szCs w:val="32"/>
        </w:rPr>
        <w:t>）</w:t>
      </w:r>
    </w:p>
    <w:p>
      <w:pPr>
        <w:overflowPunct w:val="0"/>
        <w:spacing w:line="560" w:lineRule="exact"/>
        <w:rPr>
          <w:rFonts w:cs="方正仿宋_GBK"/>
          <w:szCs w:val="32"/>
        </w:rPr>
      </w:pPr>
    </w:p>
    <w:p>
      <w:pPr>
        <w:overflowPunct w:val="0"/>
        <w:spacing w:line="560" w:lineRule="exact"/>
        <w:rPr>
          <w:rFonts w:cs="方正仿宋_GBK"/>
          <w:szCs w:val="32"/>
        </w:rPr>
      </w:pPr>
    </w:p>
    <w:p>
      <w:pPr>
        <w:spacing w:line="560" w:lineRule="exact"/>
        <w:jc w:val="center"/>
        <w:rPr>
          <w:rFonts w:eastAsia="方正小标宋_GBK"/>
          <w:color w:val="000000"/>
          <w:sz w:val="44"/>
          <w:szCs w:val="44"/>
        </w:rPr>
      </w:pPr>
      <w:r>
        <w:rPr>
          <w:rFonts w:hint="eastAsia" w:eastAsia="方正小标宋_GBK"/>
          <w:color w:val="000000"/>
          <w:sz w:val="44"/>
          <w:szCs w:val="44"/>
        </w:rPr>
        <w:t>茨竹镇秋冬季安全生产和自然灾害隐患</w:t>
      </w:r>
    </w:p>
    <w:p>
      <w:pPr>
        <w:spacing w:line="560" w:lineRule="exact"/>
        <w:jc w:val="center"/>
        <w:rPr>
          <w:rFonts w:ascii="方正黑体_GBK" w:hAnsi="方正黑体_GBK" w:eastAsia="方正黑体_GBK" w:cs="方正黑体_GBK"/>
          <w:color w:val="000000"/>
          <w:szCs w:val="32"/>
        </w:rPr>
      </w:pPr>
      <w:r>
        <w:rPr>
          <w:rFonts w:hint="eastAsia" w:eastAsia="方正小标宋_GBK"/>
          <w:color w:val="000000"/>
          <w:sz w:val="44"/>
          <w:szCs w:val="44"/>
        </w:rPr>
        <w:t>大排查行动方案</w:t>
      </w:r>
    </w:p>
    <w:p>
      <w:pPr>
        <w:spacing w:line="560" w:lineRule="exact"/>
        <w:ind w:firstLine="632" w:firstLineChars="200"/>
        <w:rPr>
          <w:rFonts w:ascii="方正黑体_GBK" w:hAnsi="方正黑体_GBK" w:eastAsia="方正黑体_GBK" w:cs="方正黑体_GBK"/>
          <w:color w:val="000000"/>
          <w:szCs w:val="32"/>
        </w:rPr>
      </w:pPr>
    </w:p>
    <w:p>
      <w:pPr>
        <w:spacing w:line="56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一、主要目标</w:t>
      </w:r>
    </w:p>
    <w:p>
      <w:pPr>
        <w:spacing w:line="560" w:lineRule="exact"/>
        <w:ind w:firstLine="632" w:firstLineChars="200"/>
        <w:rPr>
          <w:rFonts w:ascii="方正黑体_GBK" w:hAnsi="方正黑体_GBK" w:eastAsia="方正黑体_GBK" w:cs="方正黑体_GBK"/>
          <w:color w:val="000000"/>
          <w:szCs w:val="32"/>
        </w:rPr>
      </w:pPr>
      <w:r>
        <w:rPr>
          <w:rFonts w:hint="eastAsia" w:ascii="方正仿宋_GBK" w:hAnsi="方正仿宋_GBK" w:cs="方正仿宋_GBK"/>
          <w:color w:val="000000"/>
          <w:szCs w:val="32"/>
        </w:rPr>
        <w:t>通过开展大排查行动，进一步树牢安全意识，夯实安全基础，推动各部门、各村居和驻镇单位工作责任落实，督促生产经营单位规范化管理，提醒辖区居民做好自然灾害防范，提高本质安全水平，严防安全事故和意外事件发生。</w:t>
      </w:r>
    </w:p>
    <w:p>
      <w:pPr>
        <w:spacing w:line="560" w:lineRule="exact"/>
        <w:ind w:firstLine="632" w:firstLineChars="200"/>
        <w:rPr>
          <w:rFonts w:ascii="方正楷体_GBK" w:hAnsi="方正楷体_GBK" w:eastAsia="方正楷体_GBK" w:cs="方正楷体_GBK"/>
          <w:color w:val="000000"/>
          <w:szCs w:val="32"/>
        </w:rPr>
      </w:pPr>
      <w:r>
        <w:rPr>
          <w:rFonts w:hint="eastAsia" w:ascii="方正黑体_GBK" w:hAnsi="方正黑体_GBK" w:eastAsia="方正黑体_GBK" w:cs="方正黑体_GBK"/>
          <w:color w:val="000000"/>
          <w:szCs w:val="32"/>
        </w:rPr>
        <w:t>二、排查整治重点</w:t>
      </w:r>
    </w:p>
    <w:p>
      <w:pPr>
        <w:spacing w:line="560" w:lineRule="exact"/>
        <w:ind w:firstLine="632" w:firstLineChars="200"/>
        <w:rPr>
          <w:rFonts w:ascii="方正楷体_GBK" w:hAnsi="方正楷体_GBK" w:eastAsia="方正楷体_GBK" w:cs="方正楷体_GBK"/>
          <w:color w:val="000000"/>
          <w:szCs w:val="32"/>
        </w:rPr>
      </w:pPr>
      <w:r>
        <w:rPr>
          <w:rFonts w:hint="eastAsia" w:ascii="方正仿宋_GBK" w:hAnsi="方正仿宋_GBK" w:cs="方正仿宋_GBK"/>
          <w:color w:val="000000"/>
          <w:szCs w:val="32"/>
        </w:rPr>
        <w:t>各部门、各村居和驻镇单位</w:t>
      </w:r>
      <w:r>
        <w:rPr>
          <w:rFonts w:hint="eastAsia" w:ascii="方正仿宋_GBK" w:hAnsi="方正仿宋_GBK" w:cs="方正仿宋_GBK"/>
          <w:color w:val="000000"/>
          <w:kern w:val="32"/>
          <w:szCs w:val="32"/>
        </w:rPr>
        <w:t>在排查中要以“工作责任、隐患排查、问题整改、执法处罚、宣传教育”五个到位为导向，突出安全生产方面的建设工地、有限空间、燃气油气、电动自行车、“拆窗破网”、建筑消防、再生资源回收、道路交通运输等重点领域，以及自然灾害方面的危岩滑坡、道路损毁、危旧房、山坪塘、高切坡、漫水桥、森林防火和防汛等重点区域，</w:t>
      </w:r>
      <w:r>
        <w:rPr>
          <w:rFonts w:hint="eastAsia" w:ascii="方正仿宋_GBK" w:hAnsi="方正仿宋_GBK" w:cs="方正仿宋_GBK"/>
          <w:color w:val="000000"/>
          <w:szCs w:val="32"/>
        </w:rPr>
        <w:t>聚焦多业态混合生产经营场所、人员密集场所、“三合一”场所、经营性自建房和场镇周边及川渝交界的小工地、小作坊、小作业、渣土场等区域，关注委外、动火动焊、检维修、登高作业</w:t>
      </w:r>
      <w:bookmarkStart w:id="0" w:name="_GoBack"/>
      <w:bookmarkEnd w:id="0"/>
      <w:r>
        <w:rPr>
          <w:rFonts w:hint="eastAsia" w:ascii="方正仿宋_GBK" w:hAnsi="方正仿宋_GBK" w:cs="方正仿宋_GBK"/>
          <w:color w:val="000000"/>
          <w:szCs w:val="32"/>
        </w:rPr>
        <w:t>以及一氧化碳中毒等事故易发环节，深入扎实开展各项工作。</w:t>
      </w:r>
    </w:p>
    <w:p>
      <w:pPr>
        <w:numPr>
          <w:ilvl w:val="0"/>
          <w:numId w:val="1"/>
        </w:numPr>
        <w:spacing w:line="560" w:lineRule="exact"/>
        <w:ind w:firstLine="632" w:firstLineChars="200"/>
        <w:jc w:val="left"/>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责任落实到位情况。</w:t>
      </w:r>
      <w:r>
        <w:rPr>
          <w:rFonts w:hint="eastAsia" w:ascii="方正仿宋_GBK" w:hAnsi="方正仿宋_GBK" w:cs="方正仿宋_GBK"/>
          <w:b/>
          <w:bCs/>
          <w:color w:val="000000"/>
          <w:szCs w:val="32"/>
        </w:rPr>
        <w:t>各村居：</w:t>
      </w:r>
      <w:r>
        <w:rPr>
          <w:rFonts w:hint="eastAsia" w:ascii="方正仿宋_GBK" w:hAnsi="方正仿宋_GBK" w:cs="方正仿宋_GBK"/>
          <w:color w:val="000000"/>
          <w:szCs w:val="32"/>
        </w:rPr>
        <w:t>是否切实抓好辖区内生产经营单位的安全生产监管工作，特别对九小场所、在建工地、道路安全等开展排查整治；是否切实抓好辖区内自然灾害隐患的排查整治，特别是危岩滑坡、高切坡、道路损毁、危旧房等开展排查整治；是否结合实际制定安全生产责任清单，细化明确辖区村居干部安全生产职责；是否分析研判风险，研究解决重难点问题；是否做到年度有方案、每季有演练、每月有研判、每周有检查、每日有宣传；是否精心制定本辖区大排查方案，及时动员部署，开展教育培训，有力推动工作落实。</w:t>
      </w:r>
      <w:r>
        <w:rPr>
          <w:rFonts w:hint="eastAsia" w:ascii="方正仿宋_GBK" w:hAnsi="方正仿宋_GBK" w:cs="方正仿宋_GBK"/>
          <w:b/>
          <w:bCs/>
          <w:color w:val="000000"/>
          <w:szCs w:val="32"/>
        </w:rPr>
        <w:t>镇属部门：</w:t>
      </w:r>
      <w:r>
        <w:rPr>
          <w:rFonts w:hint="eastAsia" w:ascii="方正仿宋_GBK" w:hAnsi="方正仿宋_GBK" w:cs="方正仿宋_GBK"/>
          <w:color w:val="000000"/>
          <w:szCs w:val="32"/>
        </w:rPr>
        <w:t>是否按职责加强行业监管，严格开展执法监督检查和“打非治违”；是否定期对本行业领域开展风险研判，及时研究解决突出问题；是否加强本行业安全教育；是否制定本部门大排查计划；是否制定本行业企业安全生产重点任务提示清单。</w:t>
      </w:r>
      <w:r>
        <w:rPr>
          <w:rFonts w:hint="eastAsia" w:ascii="方正仿宋_GBK" w:hAnsi="方正仿宋_GBK" w:cs="方正仿宋_GBK"/>
          <w:b/>
          <w:bCs/>
          <w:color w:val="000000"/>
          <w:szCs w:val="32"/>
        </w:rPr>
        <w:t>生产经营单位：</w:t>
      </w:r>
      <w:r>
        <w:rPr>
          <w:rFonts w:hint="eastAsia" w:ascii="方正仿宋_GBK" w:hAnsi="方正仿宋_GBK" w:cs="方正仿宋_GBK"/>
          <w:color w:val="000000"/>
          <w:szCs w:val="32"/>
        </w:rPr>
        <w:t>是否落实安全生产重点任务提示清单明确的各项工作任务，落实主要负责人、安全分管负责人、安全管理人员和一线从业人员责任，实现常态化规范管理。</w:t>
      </w:r>
    </w:p>
    <w:p>
      <w:pPr>
        <w:spacing w:line="560" w:lineRule="exact"/>
        <w:ind w:firstLine="632"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（二）隐患排查到位情况。</w:t>
      </w:r>
      <w:r>
        <w:rPr>
          <w:rFonts w:hint="eastAsia" w:ascii="方正仿宋_GBK" w:hAnsi="方正仿宋_GBK" w:cs="方正仿宋_GBK"/>
          <w:b/>
          <w:bCs/>
          <w:color w:val="000000"/>
          <w:szCs w:val="32"/>
        </w:rPr>
        <w:t>各村居：</w:t>
      </w:r>
      <w:r>
        <w:rPr>
          <w:rFonts w:hint="eastAsia" w:ascii="方正仿宋_GBK" w:hAnsi="方正仿宋_GBK" w:cs="方正仿宋_GBK"/>
          <w:color w:val="000000"/>
          <w:szCs w:val="32"/>
        </w:rPr>
        <w:t>是否对辖区内生产经营单位和自然灾害隐患点开展“拉网式”大排查，摸清所有监管对象和灾害隐患底数；是否认真排查隐患，建立隐患台账，并报送至对应镇属部门。</w:t>
      </w:r>
      <w:r>
        <w:rPr>
          <w:rFonts w:hint="eastAsia" w:ascii="方正仿宋_GBK" w:hAnsi="方正仿宋_GBK" w:cs="方正仿宋_GBK"/>
          <w:b/>
          <w:bCs/>
          <w:color w:val="000000"/>
          <w:szCs w:val="32"/>
        </w:rPr>
        <w:t>镇属部门：</w:t>
      </w:r>
      <w:r>
        <w:rPr>
          <w:rFonts w:hint="eastAsia" w:ascii="方正仿宋_GBK" w:hAnsi="方正仿宋_GBK" w:cs="方正仿宋_GBK"/>
          <w:color w:val="000000"/>
          <w:szCs w:val="32"/>
        </w:rPr>
        <w:t>是否建立本行业安全生产监管对象及自然灾害隐患点台账，并根据风险大小按红、橙、黄、蓝四色进行管理，动态更新报送平安法治办公室；是否建立本行业安全生产及自然灾害隐患排查整治台账，并根据隐患大小按红、橙、黄、蓝四色进行管理，动态更新报送平安法治办公室；是否对本部门监管的生产经营单位和自然灾害隐患开展全面大排查；是否对村居开展抽查指导。</w:t>
      </w:r>
      <w:r>
        <w:rPr>
          <w:rFonts w:hint="eastAsia" w:ascii="方正仿宋_GBK" w:hAnsi="方正仿宋_GBK" w:cs="方正仿宋_GBK"/>
          <w:b/>
          <w:bCs/>
          <w:color w:val="000000"/>
          <w:szCs w:val="32"/>
        </w:rPr>
        <w:t>生产经营单位：</w:t>
      </w:r>
      <w:r>
        <w:rPr>
          <w:rFonts w:hint="eastAsia" w:ascii="方正仿宋_GBK" w:hAnsi="方正仿宋_GBK" w:cs="方正仿宋_GBK"/>
          <w:color w:val="000000"/>
          <w:szCs w:val="32"/>
        </w:rPr>
        <w:t>是否按要求常态化开展风险辨识管控和“日周月”排查，建立隐患台账，及时报告重大事故隐患。</w:t>
      </w:r>
    </w:p>
    <w:p>
      <w:pPr>
        <w:spacing w:line="560" w:lineRule="exact"/>
        <w:ind w:firstLine="632"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（三）问题整改到位情况。</w:t>
      </w:r>
      <w:r>
        <w:rPr>
          <w:rFonts w:hint="eastAsia" w:ascii="方正仿宋_GBK" w:hAnsi="方正仿宋_GBK" w:cs="方正仿宋_GBK"/>
          <w:b/>
          <w:bCs/>
          <w:color w:val="000000"/>
          <w:szCs w:val="32"/>
        </w:rPr>
        <w:t>各村居：</w:t>
      </w:r>
      <w:r>
        <w:rPr>
          <w:rFonts w:hint="eastAsia" w:ascii="方正仿宋_GBK" w:hAnsi="方正仿宋_GBK" w:cs="方正仿宋_GBK"/>
          <w:color w:val="000000"/>
          <w:szCs w:val="32"/>
        </w:rPr>
        <w:t>是否督促生产经营单位或居民及时整改隐患，逐一闭环销号；是否对本级能整治的安全隐患及时整治，不能及时整治的采取临时措施。</w:t>
      </w:r>
      <w:r>
        <w:rPr>
          <w:rFonts w:hint="eastAsia" w:ascii="方正仿宋_GBK" w:hAnsi="方正仿宋_GBK" w:cs="方正仿宋_GBK"/>
          <w:b/>
          <w:bCs/>
          <w:color w:val="000000"/>
          <w:szCs w:val="32"/>
        </w:rPr>
        <w:t>镇属部门：</w:t>
      </w:r>
      <w:r>
        <w:rPr>
          <w:rFonts w:hint="eastAsia" w:ascii="方正仿宋_GBK" w:hAnsi="方正仿宋_GBK" w:cs="方正仿宋_GBK"/>
          <w:color w:val="000000"/>
          <w:szCs w:val="32"/>
        </w:rPr>
        <w:t>是否督促生产经营单位及时整改隐患，逐一闭环销号；是否梳理本行业领域、本区域存在的突出问题隐患，根据整改难易程度报平安法治办纳入领导挂牌督办；是否对已完成整改的隐患开展“回头看”。</w:t>
      </w:r>
      <w:r>
        <w:rPr>
          <w:rFonts w:hint="eastAsia" w:ascii="方正仿宋_GBK" w:hAnsi="方正仿宋_GBK" w:cs="方正仿宋_GBK"/>
          <w:b/>
          <w:bCs/>
          <w:color w:val="000000"/>
          <w:szCs w:val="32"/>
        </w:rPr>
        <w:t>生产经营单位：</w:t>
      </w:r>
      <w:r>
        <w:rPr>
          <w:rFonts w:hint="eastAsia" w:ascii="方正仿宋_GBK" w:hAnsi="方正仿宋_GBK" w:cs="方正仿宋_GBK"/>
          <w:color w:val="000000"/>
          <w:szCs w:val="32"/>
        </w:rPr>
        <w:t>是否对排查出的隐患按“五落实”要求进行整改，对不能立即整改的隐患落实管控措施，并按期销号。</w:t>
      </w:r>
    </w:p>
    <w:p>
      <w:pPr>
        <w:spacing w:line="560" w:lineRule="exact"/>
        <w:ind w:firstLine="632" w:firstLineChars="200"/>
        <w:rPr>
          <w:rFonts w:ascii="方正仿宋_GBK" w:hAnsi="方正仿宋_GBK" w:cs="方正仿宋_GBK"/>
          <w:color w:val="000000"/>
          <w:szCs w:val="32"/>
        </w:rPr>
      </w:pPr>
      <w:r>
        <w:rPr>
          <w:rFonts w:hint="eastAsia" w:ascii="方正楷体_GBK" w:hAnsi="方正楷体_GBK" w:eastAsia="方正楷体_GBK" w:cs="方正楷体_GBK"/>
          <w:color w:val="000000"/>
          <w:szCs w:val="32"/>
        </w:rPr>
        <w:t>（四）执法处罚到位情况。</w:t>
      </w:r>
      <w:r>
        <w:rPr>
          <w:rFonts w:hint="eastAsia" w:ascii="方正仿宋_GBK" w:hAnsi="方正仿宋_GBK" w:cs="方正仿宋_GBK"/>
          <w:b/>
          <w:bCs/>
          <w:color w:val="000000"/>
          <w:szCs w:val="32"/>
        </w:rPr>
        <w:t>镇属部门：</w:t>
      </w:r>
      <w:r>
        <w:rPr>
          <w:rFonts w:hint="eastAsia" w:ascii="方正仿宋_GBK" w:hAnsi="方正仿宋_GBK" w:cs="方正仿宋_GBK"/>
          <w:color w:val="000000"/>
          <w:szCs w:val="32"/>
        </w:rPr>
        <w:t>是否制定年度监督检查计划并认真执行；是否对忽视安全生产等突出问题，综合运用罚款、责令停止作业、停产停业等手段，依法依规实施处罚，持续提升执法检查强度、问题查找强度、经济处罚强度。</w:t>
      </w:r>
    </w:p>
    <w:p>
      <w:pPr>
        <w:spacing w:line="560" w:lineRule="exact"/>
        <w:ind w:firstLine="632" w:firstLineChars="200"/>
        <w:rPr>
          <w:rFonts w:ascii="方正仿宋_GBK" w:hAnsi="方正仿宋_GBK" w:eastAsia="方正黑体_GBK" w:cs="方正仿宋_GBK"/>
          <w:color w:val="000000"/>
          <w:szCs w:val="32"/>
        </w:rPr>
      </w:pPr>
      <w:r>
        <w:rPr>
          <w:rFonts w:hint="eastAsia" w:ascii="方正楷体_GBK" w:hAnsi="方正楷体_GBK" w:eastAsia="方正楷体_GBK" w:cs="方正楷体_GBK"/>
          <w:color w:val="000000"/>
          <w:szCs w:val="32"/>
        </w:rPr>
        <w:t>（五）宣传教育到位情况。</w:t>
      </w:r>
      <w:r>
        <w:rPr>
          <w:rFonts w:hint="eastAsia" w:ascii="方正仿宋_GBK" w:hAnsi="方正仿宋_GBK" w:cs="方正仿宋_GBK"/>
          <w:b/>
          <w:bCs/>
          <w:color w:val="000000"/>
          <w:szCs w:val="32"/>
        </w:rPr>
        <w:t>各村居：</w:t>
      </w:r>
      <w:r>
        <w:rPr>
          <w:rFonts w:hint="eastAsia" w:ascii="方正仿宋_GBK" w:hAnsi="方正仿宋_GBK" w:cs="方正仿宋_GBK"/>
          <w:color w:val="000000"/>
          <w:szCs w:val="32"/>
        </w:rPr>
        <w:t>是否开展防火、防汛、防地灾等演练，每日入户开展安全宣传；是否综合运用积分制、村规民约等方式，对忽视安全的居民开展安全教育。</w:t>
      </w:r>
      <w:r>
        <w:rPr>
          <w:rFonts w:hint="eastAsia" w:ascii="方正仿宋_GBK" w:hAnsi="方正仿宋_GBK" w:cs="方正仿宋_GBK"/>
          <w:b/>
          <w:bCs/>
          <w:color w:val="000000"/>
          <w:szCs w:val="32"/>
        </w:rPr>
        <w:t>镇属部门：</w:t>
      </w:r>
      <w:r>
        <w:rPr>
          <w:rFonts w:hint="eastAsia" w:ascii="方正仿宋_GBK" w:hAnsi="方正仿宋_GBK" w:cs="方正仿宋_GBK"/>
          <w:color w:val="000000"/>
          <w:szCs w:val="32"/>
        </w:rPr>
        <w:t>是否制定年度宣传教育计划，分季分时段突出重点开展宣传；是否利用新媒体、传统媒介等方式，开展宣传。</w:t>
      </w:r>
      <w:r>
        <w:rPr>
          <w:rFonts w:hint="eastAsia" w:ascii="方正仿宋_GBK" w:hAnsi="方正仿宋_GBK" w:cs="方正仿宋_GBK"/>
          <w:b/>
          <w:bCs/>
          <w:color w:val="000000"/>
          <w:szCs w:val="32"/>
        </w:rPr>
        <w:t>生产经营单位：</w:t>
      </w:r>
      <w:r>
        <w:rPr>
          <w:rFonts w:hint="eastAsia" w:ascii="方正仿宋_GBK" w:hAnsi="方正仿宋_GBK" w:cs="方正仿宋_GBK"/>
          <w:color w:val="000000"/>
          <w:szCs w:val="32"/>
        </w:rPr>
        <w:t>是否定期对全体职工开展安全培训，组织演练；是否对新进员工开展系统安全培训。</w:t>
      </w:r>
    </w:p>
    <w:p>
      <w:pPr>
        <w:spacing w:line="560" w:lineRule="exact"/>
        <w:ind w:firstLine="632" w:firstLineChars="200"/>
        <w:rPr>
          <w:rFonts w:eastAsia="方正黑体_GBK"/>
        </w:rPr>
      </w:pPr>
      <w:r>
        <w:rPr>
          <w:rFonts w:hint="eastAsia" w:eastAsia="方正黑体_GBK"/>
        </w:rPr>
        <w:t>三</w:t>
      </w:r>
      <w:r>
        <w:rPr>
          <w:rFonts w:eastAsia="方正黑体_GBK"/>
        </w:rPr>
        <w:t>、</w:t>
      </w:r>
      <w:r>
        <w:rPr>
          <w:rFonts w:hint="eastAsia" w:eastAsia="方正黑体_GBK"/>
        </w:rPr>
        <w:t>开展时间步骤</w:t>
      </w:r>
    </w:p>
    <w:p>
      <w:pPr>
        <w:spacing w:line="560" w:lineRule="exact"/>
        <w:ind w:firstLine="632" w:firstLineChars="200"/>
        <w:rPr>
          <w:rFonts w:eastAsia="方正楷体_GBK"/>
        </w:rPr>
      </w:pPr>
      <w:r>
        <w:rPr>
          <w:rFonts w:hint="eastAsia" w:ascii="方正仿宋_GBK" w:hAnsi="方正仿宋_GBK" w:cs="方正仿宋_GBK"/>
        </w:rPr>
        <w:t>大排查行动时间自本通知印发之日开始，至2025年2月底结束。</w:t>
      </w:r>
    </w:p>
    <w:p>
      <w:pPr>
        <w:spacing w:line="560" w:lineRule="exact"/>
        <w:ind w:firstLine="632" w:firstLineChars="200"/>
        <w:rPr>
          <w:rFonts w:eastAsia="方正楷体_GBK"/>
        </w:rPr>
      </w:pPr>
      <w:r>
        <w:rPr>
          <w:rFonts w:hint="eastAsia" w:eastAsia="方正楷体_GBK"/>
        </w:rPr>
        <w:t>（一）</w:t>
      </w:r>
      <w:r>
        <w:rPr>
          <w:rFonts w:eastAsia="方正楷体_GBK"/>
        </w:rPr>
        <w:t>自查自改阶段（</w:t>
      </w:r>
      <w:r>
        <w:rPr>
          <w:rFonts w:hint="eastAsia" w:eastAsia="方正楷体_GBK"/>
        </w:rPr>
        <w:t>即日起—2024年11</w:t>
      </w:r>
      <w:r>
        <w:rPr>
          <w:rFonts w:eastAsia="方正楷体_GBK"/>
        </w:rPr>
        <w:t>月</w:t>
      </w:r>
      <w:r>
        <w:rPr>
          <w:rFonts w:hint="eastAsia" w:eastAsia="方正楷体_GBK"/>
        </w:rPr>
        <w:t>30日</w:t>
      </w:r>
      <w:r>
        <w:rPr>
          <w:rFonts w:eastAsia="方正楷体_GBK"/>
        </w:rPr>
        <w:t>）。</w:t>
      </w:r>
    </w:p>
    <w:p>
      <w:pPr>
        <w:spacing w:line="560" w:lineRule="exact"/>
        <w:ind w:firstLine="632" w:firstLineChars="200"/>
        <w:rPr>
          <w:rFonts w:ascii="方正仿宋_GBK" w:hAnsi="方正仿宋_GBK" w:cs="方正仿宋_GBK"/>
          <w:color w:val="000000"/>
          <w:kern w:val="0"/>
          <w:szCs w:val="32"/>
          <w:shd w:val="clear" w:color="auto" w:fill="FFFFFF"/>
        </w:rPr>
      </w:pPr>
      <w:r>
        <w:rPr>
          <w:rFonts w:hint="eastAsia" w:ascii="方正仿宋_GBK" w:hAnsi="方正仿宋_GBK" w:cs="方正仿宋_GBK"/>
          <w:color w:val="000000"/>
          <w:kern w:val="0"/>
          <w:szCs w:val="32"/>
          <w:shd w:val="clear" w:color="auto" w:fill="FFFFFF"/>
        </w:rPr>
        <w:t>各部门和各村居要对照督导检查重点事项清单（附件1、2）自查五个到位落实情况。各部门和各村居要指导生产经营单位按照安全生产重点任务提示清单（附件3）要求开展自查自改，及时研究解决突出重大问题，推动隐患整改闭环。</w:t>
      </w:r>
    </w:p>
    <w:p>
      <w:pPr>
        <w:spacing w:line="560" w:lineRule="exact"/>
        <w:ind w:firstLine="588" w:firstLineChars="200"/>
        <w:rPr>
          <w:rFonts w:ascii="方正仿宋_GBK" w:hAnsi="方正仿宋_GBK" w:cs="方正仿宋_GBK"/>
          <w:b/>
          <w:bCs/>
          <w:color w:val="000000"/>
          <w:spacing w:val="-11"/>
          <w:kern w:val="0"/>
          <w:szCs w:val="32"/>
          <w:shd w:val="clear" w:color="auto" w:fill="FFFFFF"/>
        </w:rPr>
      </w:pPr>
      <w:r>
        <w:rPr>
          <w:rFonts w:eastAsia="方正楷体_GBK"/>
          <w:spacing w:val="-11"/>
        </w:rPr>
        <w:t>（二）</w:t>
      </w:r>
      <w:r>
        <w:rPr>
          <w:rFonts w:hint="eastAsia" w:eastAsia="方正楷体_GBK"/>
          <w:spacing w:val="-11"/>
        </w:rPr>
        <w:t>督促检查</w:t>
      </w:r>
      <w:r>
        <w:rPr>
          <w:rFonts w:eastAsia="方正楷体_GBK"/>
          <w:spacing w:val="-11"/>
        </w:rPr>
        <w:t>阶段（202</w:t>
      </w:r>
      <w:r>
        <w:rPr>
          <w:rFonts w:hint="eastAsia" w:eastAsia="方正楷体_GBK"/>
          <w:spacing w:val="-11"/>
        </w:rPr>
        <w:t>4</w:t>
      </w:r>
      <w:r>
        <w:rPr>
          <w:rFonts w:eastAsia="方正楷体_GBK"/>
          <w:spacing w:val="-11"/>
        </w:rPr>
        <w:t>年</w:t>
      </w:r>
      <w:r>
        <w:rPr>
          <w:rFonts w:hint="eastAsia" w:eastAsia="方正楷体_GBK"/>
          <w:spacing w:val="-11"/>
        </w:rPr>
        <w:t>12月1日—2025年1</w:t>
      </w:r>
      <w:r>
        <w:rPr>
          <w:rFonts w:eastAsia="方正楷体_GBK"/>
          <w:spacing w:val="-11"/>
        </w:rPr>
        <w:t>月</w:t>
      </w:r>
      <w:r>
        <w:rPr>
          <w:rFonts w:hint="eastAsia" w:eastAsia="方正楷体_GBK"/>
          <w:spacing w:val="-11"/>
        </w:rPr>
        <w:t>31日</w:t>
      </w:r>
      <w:r>
        <w:rPr>
          <w:rFonts w:eastAsia="方正楷体_GBK"/>
          <w:spacing w:val="-11"/>
        </w:rPr>
        <w:t>）</w:t>
      </w:r>
      <w:r>
        <w:rPr>
          <w:spacing w:val="-11"/>
        </w:rPr>
        <w:t>。</w:t>
      </w:r>
    </w:p>
    <w:p>
      <w:pPr>
        <w:spacing w:line="560" w:lineRule="exact"/>
        <w:ind w:firstLine="632" w:firstLineChars="200"/>
        <w:rPr>
          <w:rFonts w:ascii="方正仿宋_GBK" w:hAnsi="方正仿宋_GBK" w:cs="方正仿宋_GBK"/>
          <w:color w:val="000000"/>
          <w:szCs w:val="32"/>
        </w:rPr>
      </w:pPr>
      <w:r>
        <w:rPr>
          <w:rFonts w:hint="eastAsia"/>
          <w:szCs w:val="32"/>
        </w:rPr>
        <w:t>各分管领导，要带队对分管领域村居（社区）和生产经营单位进行督促检查，推动工作落实落地。既要查面上工作推进，更要深入</w:t>
      </w:r>
      <w:r>
        <w:rPr>
          <w:rFonts w:hint="eastAsia" w:ascii="方正仿宋_GBK" w:hAnsi="方正仿宋_GBK" w:cs="方正仿宋_GBK"/>
          <w:color w:val="000000"/>
          <w:szCs w:val="32"/>
        </w:rPr>
        <w:t>生产经营单位一线，通过“看查问”（看日常安全管理、查现场安全隐患、问一线员工操作）等方式，检验各部门、各村居排查整治工作成效。</w:t>
      </w:r>
    </w:p>
    <w:p>
      <w:pPr>
        <w:spacing w:line="560" w:lineRule="exact"/>
        <w:ind w:firstLine="632" w:firstLineChars="200"/>
        <w:rPr>
          <w:rFonts w:eastAsia="方正楷体_GBK"/>
        </w:rPr>
      </w:pPr>
      <w:r>
        <w:rPr>
          <w:rFonts w:eastAsia="方正楷体_GBK"/>
        </w:rPr>
        <w:t>（</w:t>
      </w:r>
      <w:r>
        <w:rPr>
          <w:rFonts w:hint="eastAsia" w:eastAsia="方正楷体_GBK"/>
        </w:rPr>
        <w:t>三</w:t>
      </w:r>
      <w:r>
        <w:rPr>
          <w:rFonts w:eastAsia="方正楷体_GBK"/>
        </w:rPr>
        <w:t>）</w:t>
      </w:r>
      <w:r>
        <w:rPr>
          <w:rFonts w:hint="eastAsia" w:eastAsia="方正楷体_GBK"/>
        </w:rPr>
        <w:t>巩固</w:t>
      </w:r>
      <w:r>
        <w:rPr>
          <w:rFonts w:eastAsia="方正楷体_GBK"/>
        </w:rPr>
        <w:t>提升阶段（202</w:t>
      </w:r>
      <w:r>
        <w:rPr>
          <w:rFonts w:hint="eastAsia" w:eastAsia="方正楷体_GBK"/>
        </w:rPr>
        <w:t>5</w:t>
      </w:r>
      <w:r>
        <w:rPr>
          <w:rFonts w:eastAsia="方正楷体_GBK"/>
        </w:rPr>
        <w:t>年</w:t>
      </w:r>
      <w:r>
        <w:rPr>
          <w:rFonts w:hint="eastAsia" w:eastAsia="方正楷体_GBK"/>
        </w:rPr>
        <w:t>2</w:t>
      </w:r>
      <w:r>
        <w:rPr>
          <w:rFonts w:eastAsia="方正楷体_GBK"/>
        </w:rPr>
        <w:t>月</w:t>
      </w:r>
      <w:r>
        <w:rPr>
          <w:rFonts w:hint="eastAsia" w:eastAsia="方正楷体_GBK"/>
        </w:rPr>
        <w:t>1日—2月28日</w:t>
      </w:r>
      <w:r>
        <w:rPr>
          <w:rFonts w:eastAsia="方正楷体_GBK"/>
        </w:rPr>
        <w:t>）。</w:t>
      </w:r>
    </w:p>
    <w:p>
      <w:pPr>
        <w:spacing w:line="560" w:lineRule="exact"/>
        <w:ind w:firstLine="632" w:firstLineChars="200"/>
        <w:rPr>
          <w:rFonts w:ascii="方正黑体_GBK" w:hAnsi="方正黑体_GBK" w:eastAsia="方正黑体_GBK" w:cs="方正黑体_GBK"/>
          <w:color w:val="000000"/>
          <w:szCs w:val="32"/>
        </w:rPr>
      </w:pPr>
      <w:r>
        <w:rPr>
          <w:rFonts w:hint="eastAsia" w:ascii="方正仿宋_GBK" w:hAnsi="方正仿宋_GBK" w:cs="方正仿宋_GBK"/>
          <w:color w:val="000000"/>
          <w:kern w:val="0"/>
          <w:szCs w:val="32"/>
          <w:shd w:val="clear" w:color="auto" w:fill="FFFFFF"/>
        </w:rPr>
        <w:t>各部门和村居及时进行总结</w:t>
      </w:r>
      <w:r>
        <w:rPr>
          <w:rFonts w:ascii="方正仿宋_GBK" w:hAnsi="方正仿宋_GBK" w:cs="方正仿宋_GBK"/>
          <w:color w:val="000000"/>
          <w:kern w:val="0"/>
          <w:szCs w:val="32"/>
          <w:shd w:val="clear" w:color="auto" w:fill="FFFFFF"/>
        </w:rPr>
        <w:t>，</w:t>
      </w:r>
      <w:r>
        <w:rPr>
          <w:rFonts w:hint="eastAsia" w:ascii="方正仿宋_GBK" w:hAnsi="方正仿宋_GBK" w:cs="方正仿宋_GBK"/>
          <w:color w:val="000000"/>
          <w:kern w:val="0"/>
          <w:szCs w:val="32"/>
          <w:shd w:val="clear" w:color="auto" w:fill="FFFFFF"/>
        </w:rPr>
        <w:t>及时提炼推广经验做法，健全</w:t>
      </w:r>
      <w:r>
        <w:rPr>
          <w:rFonts w:ascii="方正仿宋_GBK" w:hAnsi="方正仿宋_GBK" w:cs="方正仿宋_GBK"/>
          <w:color w:val="000000"/>
          <w:kern w:val="0"/>
          <w:szCs w:val="32"/>
          <w:shd w:val="clear" w:color="auto" w:fill="FFFFFF"/>
        </w:rPr>
        <w:t>长效机制</w:t>
      </w:r>
      <w:r>
        <w:rPr>
          <w:rFonts w:hint="eastAsia" w:ascii="方正仿宋_GBK" w:hAnsi="方正仿宋_GBK" w:cs="方正仿宋_GBK"/>
          <w:color w:val="000000"/>
          <w:kern w:val="0"/>
          <w:szCs w:val="32"/>
          <w:shd w:val="clear" w:color="auto" w:fill="FFFFFF"/>
        </w:rPr>
        <w:t>，巩固专项行动成果</w:t>
      </w:r>
      <w:r>
        <w:rPr>
          <w:rFonts w:ascii="方正仿宋_GBK" w:hAnsi="方正仿宋_GBK" w:cs="方正仿宋_GBK"/>
          <w:color w:val="000000"/>
          <w:kern w:val="0"/>
          <w:szCs w:val="32"/>
          <w:shd w:val="clear" w:color="auto" w:fill="FFFFFF"/>
        </w:rPr>
        <w:t>。</w:t>
      </w:r>
    </w:p>
    <w:p>
      <w:pPr>
        <w:spacing w:line="56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四、工作要求</w:t>
      </w:r>
    </w:p>
    <w:p>
      <w:pPr>
        <w:pStyle w:val="23"/>
        <w:spacing w:line="560" w:lineRule="exact"/>
        <w:ind w:firstLine="632" w:firstLineChars="200"/>
        <w:rPr>
          <w:rFonts w:ascii="方正仿宋_GBK" w:hAnsi="方正仿宋_GBK" w:eastAsia="方正仿宋_GBK" w:cs="方正仿宋_GBK"/>
          <w:kern w:val="32"/>
          <w:sz w:val="32"/>
          <w:szCs w:val="32"/>
        </w:rPr>
      </w:pPr>
      <w:r>
        <w:rPr>
          <w:rFonts w:hint="eastAsia" w:ascii="Times New Roman" w:hAnsi="Times New Roman" w:eastAsia="方正楷体_GBK"/>
          <w:kern w:val="32"/>
          <w:sz w:val="32"/>
          <w:szCs w:val="32"/>
        </w:rPr>
        <w:t>（一）强化组织领导。</w:t>
      </w:r>
      <w:r>
        <w:rPr>
          <w:rFonts w:hint="eastAsia" w:ascii="方正仿宋_GBK" w:hAnsi="方正仿宋_GBK" w:eastAsia="方正仿宋_GBK" w:cs="方正仿宋_GBK"/>
          <w:kern w:val="32"/>
          <w:sz w:val="32"/>
          <w:szCs w:val="32"/>
        </w:rPr>
        <w:t>各部门和各村居要高度重视，严格落实“一岗双责”和属地责任，科学安排人员，形成工作合力，有力推动专项行动落地见效。</w:t>
      </w:r>
    </w:p>
    <w:p>
      <w:pPr>
        <w:spacing w:line="560" w:lineRule="exact"/>
        <w:ind w:firstLine="632" w:firstLineChars="200"/>
        <w:rPr>
          <w:rFonts w:ascii="方正仿宋_GBK" w:hAnsi="方正仿宋_GBK" w:cs="方正仿宋_GBK"/>
          <w:color w:val="000000"/>
          <w:kern w:val="32"/>
          <w:szCs w:val="32"/>
        </w:rPr>
      </w:pPr>
      <w:r>
        <w:rPr>
          <w:rFonts w:eastAsia="方正楷体_GBK"/>
          <w:color w:val="000000"/>
          <w:szCs w:val="32"/>
        </w:rPr>
        <w:t>（二）强化统筹推进。</w:t>
      </w:r>
      <w:r>
        <w:rPr>
          <w:rFonts w:hint="eastAsia" w:ascii="方正仿宋_GBK" w:hAnsi="方正仿宋_GBK" w:cs="方正仿宋_GBK"/>
          <w:color w:val="000000"/>
          <w:szCs w:val="32"/>
        </w:rPr>
        <w:t>镇平安法治办加强统筹，科学安排检查计划，避免出现重复检查。</w:t>
      </w:r>
      <w:r>
        <w:rPr>
          <w:rFonts w:hint="eastAsia" w:ascii="方正仿宋_GBK" w:hAnsi="方正仿宋_GBK" w:cs="方正仿宋_GBK"/>
          <w:color w:val="000000"/>
          <w:kern w:val="32"/>
          <w:szCs w:val="32"/>
        </w:rPr>
        <w:t>各检查组要对照目标任务，突出重点和关键，逐项打表推进，确保取得实效。</w:t>
      </w:r>
    </w:p>
    <w:p>
      <w:pPr>
        <w:spacing w:line="560" w:lineRule="exact"/>
        <w:ind w:firstLine="632" w:firstLineChars="200"/>
        <w:rPr>
          <w:rFonts w:ascii="方正仿宋_GBK" w:hAnsi="方正仿宋_GBK" w:cs="方正仿宋_GBK"/>
          <w:color w:val="000000"/>
          <w:szCs w:val="32"/>
          <w:u w:val="single"/>
        </w:rPr>
      </w:pPr>
      <w:r>
        <w:rPr>
          <w:rFonts w:hint="eastAsia" w:ascii="方正楷体_GBK" w:hAnsi="方正楷体_GBK" w:eastAsia="方正楷体_GBK"/>
          <w:color w:val="000000"/>
          <w:kern w:val="0"/>
          <w:szCs w:val="32"/>
        </w:rPr>
        <w:t>（三）强化信息报送。</w:t>
      </w:r>
      <w:r>
        <w:rPr>
          <w:rFonts w:hint="eastAsia" w:ascii="方正仿宋_GBK" w:hAnsi="方正仿宋_GBK" w:cs="方正仿宋_GBK"/>
          <w:color w:val="000000"/>
          <w:kern w:val="0"/>
          <w:szCs w:val="32"/>
        </w:rPr>
        <w:t>请各部门每月15日和月底分别报送附件4。（联系人：陈林锐，联系电话：17784729061）</w:t>
      </w:r>
    </w:p>
    <w:p>
      <w:pPr>
        <w:pStyle w:val="23"/>
        <w:spacing w:line="520" w:lineRule="exact"/>
        <w:ind w:firstLine="640"/>
        <w:rPr>
          <w:rFonts w:ascii="方正仿宋_GBK" w:hAnsi="方正仿宋_GBK" w:eastAsia="方正仿宋_GBK" w:cs="方正仿宋_GBK"/>
          <w:sz w:val="32"/>
          <w:szCs w:val="32"/>
        </w:rPr>
      </w:pPr>
    </w:p>
    <w:p>
      <w:pPr>
        <w:pStyle w:val="23"/>
        <w:spacing w:line="52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rPr>
        <w:t xml:space="preserve"> </w:t>
      </w:r>
      <w:r>
        <w:rPr>
          <w:rFonts w:hint="eastAsia" w:ascii="方正仿宋_GBK" w:hAnsi="方正仿宋_GBK" w:eastAsia="方正仿宋_GBK" w:cs="方正仿宋_GBK"/>
          <w:sz w:val="32"/>
          <w:szCs w:val="32"/>
        </w:rPr>
        <w:t>督导检查镇属部门重点事项清单</w:t>
      </w:r>
    </w:p>
    <w:p>
      <w:pPr>
        <w:pStyle w:val="23"/>
        <w:spacing w:line="520" w:lineRule="exact"/>
        <w:ind w:left="1580" w:left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rPr>
        <w:t xml:space="preserve"> </w:t>
      </w:r>
      <w:r>
        <w:rPr>
          <w:rFonts w:hint="eastAsia" w:ascii="方正仿宋_GBK" w:hAnsi="方正仿宋_GBK" w:eastAsia="方正仿宋_GBK" w:cs="方正仿宋_GBK"/>
          <w:sz w:val="32"/>
          <w:szCs w:val="32"/>
        </w:rPr>
        <w:t>督导检查村居重点事项清单</w:t>
      </w:r>
    </w:p>
    <w:p>
      <w:pPr>
        <w:pStyle w:val="23"/>
        <w:spacing w:line="520" w:lineRule="exact"/>
        <w:ind w:left="1580" w:left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rPr>
        <w:t xml:space="preserve"> </w:t>
      </w:r>
      <w:r>
        <w:rPr>
          <w:rFonts w:hint="eastAsia" w:ascii="方正仿宋_GBK" w:hAnsi="方正仿宋_GBK" w:eastAsia="方正仿宋_GBK" w:cs="方正仿宋_GBK"/>
          <w:sz w:val="32"/>
          <w:szCs w:val="32"/>
        </w:rPr>
        <w:t>生产经营单位安全生产重点任务提示清单</w:t>
      </w:r>
    </w:p>
    <w:p>
      <w:pPr>
        <w:pStyle w:val="23"/>
        <w:spacing w:line="520" w:lineRule="exact"/>
        <w:ind w:left="1896" w:leftChars="500" w:hanging="316" w:hanging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rPr>
        <w:t xml:space="preserve"> </w:t>
      </w:r>
      <w:r>
        <w:rPr>
          <w:rFonts w:hint="eastAsia" w:ascii="方正仿宋_GBK" w:hAnsi="方正仿宋_GBK" w:eastAsia="方正仿宋_GBK" w:cs="方正仿宋_GBK"/>
          <w:sz w:val="32"/>
          <w:szCs w:val="32"/>
        </w:rPr>
        <w:t>茨竹镇秋冬季安全生产和自然灾害隐患排查整治情况统计表</w:t>
      </w: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rPr>
          <w:rFonts w:cs="方正仿宋_GBK"/>
          <w:szCs w:val="32"/>
        </w:rPr>
        <w:sectPr>
          <w:footerReference r:id="rId3" w:type="default"/>
          <w:footerReference r:id="rId4" w:type="even"/>
          <w:pgSz w:w="11906" w:h="16838"/>
          <w:pgMar w:top="2098" w:right="1531" w:bottom="1985" w:left="1531" w:header="851" w:footer="1304" w:gutter="0"/>
          <w:cols w:space="720" w:num="1"/>
          <w:docGrid w:type="linesAndChars" w:linePitch="579" w:charSpace="-849"/>
        </w:sectPr>
      </w:pPr>
    </w:p>
    <w:tbl>
      <w:tblPr>
        <w:tblStyle w:val="10"/>
        <w:tblW w:w="5000" w:type="pct"/>
        <w:tblInd w:w="0" w:type="dxa"/>
        <w:tblLayout w:type="fixed"/>
        <w:tblCellMar>
          <w:top w:w="0" w:type="dxa"/>
          <w:left w:w="108" w:type="dxa"/>
          <w:bottom w:w="0" w:type="dxa"/>
          <w:right w:w="108" w:type="dxa"/>
        </w:tblCellMar>
      </w:tblPr>
      <w:tblGrid>
        <w:gridCol w:w="1385"/>
        <w:gridCol w:w="4316"/>
        <w:gridCol w:w="2591"/>
        <w:gridCol w:w="768"/>
      </w:tblGrid>
      <w:tr>
        <w:tblPrEx>
          <w:tblCellMar>
            <w:top w:w="0" w:type="dxa"/>
            <w:left w:w="108" w:type="dxa"/>
            <w:bottom w:w="0" w:type="dxa"/>
            <w:right w:w="108" w:type="dxa"/>
          </w:tblCellMar>
        </w:tblPrEx>
        <w:trPr>
          <w:trHeight w:val="462" w:hRule="atLeast"/>
        </w:trPr>
        <w:tc>
          <w:tcPr>
            <w:tcW w:w="5000" w:type="pct"/>
            <w:gridSpan w:val="4"/>
            <w:tcBorders>
              <w:top w:val="nil"/>
              <w:left w:val="nil"/>
              <w:bottom w:val="nil"/>
              <w:right w:val="nil"/>
            </w:tcBorders>
            <w:shd w:val="clear" w:color="auto" w:fill="auto"/>
            <w:noWrap/>
            <w:vAlign w:val="center"/>
          </w:tcPr>
          <w:p>
            <w:pPr>
              <w:widowControl/>
              <w:jc w:val="left"/>
              <w:rPr>
                <w:rFonts w:ascii="方正黑体_GBK" w:hAnsi="宋体" w:eastAsia="方正黑体_GBK" w:cs="宋体"/>
                <w:color w:val="000000"/>
                <w:kern w:val="0"/>
                <w:szCs w:val="32"/>
              </w:rPr>
            </w:pPr>
            <w:r>
              <w:rPr>
                <w:rFonts w:hint="eastAsia" w:ascii="方正黑体_GBK" w:hAnsi="宋体" w:eastAsia="方正黑体_GBK" w:cs="宋体"/>
                <w:color w:val="000000"/>
                <w:kern w:val="0"/>
                <w:szCs w:val="32"/>
              </w:rPr>
              <w:t>附件1</w:t>
            </w:r>
          </w:p>
        </w:tc>
      </w:tr>
      <w:tr>
        <w:tblPrEx>
          <w:tblCellMar>
            <w:top w:w="0" w:type="dxa"/>
            <w:left w:w="108" w:type="dxa"/>
            <w:bottom w:w="0" w:type="dxa"/>
            <w:right w:w="108" w:type="dxa"/>
          </w:tblCellMar>
        </w:tblPrEx>
        <w:trPr>
          <w:trHeight w:val="522" w:hRule="atLeast"/>
        </w:trPr>
        <w:tc>
          <w:tcPr>
            <w:tcW w:w="5000" w:type="pct"/>
            <w:gridSpan w:val="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督导检查镇属部门重点事项清单</w:t>
            </w:r>
          </w:p>
        </w:tc>
      </w:tr>
      <w:tr>
        <w:tblPrEx>
          <w:tblCellMar>
            <w:top w:w="0" w:type="dxa"/>
            <w:left w:w="108" w:type="dxa"/>
            <w:bottom w:w="0" w:type="dxa"/>
            <w:right w:w="108" w:type="dxa"/>
          </w:tblCellMar>
        </w:tblPrEx>
        <w:trPr>
          <w:trHeight w:val="540" w:hRule="atLeast"/>
        </w:trPr>
        <w:tc>
          <w:tcPr>
            <w:tcW w:w="7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检查事项</w:t>
            </w:r>
          </w:p>
        </w:tc>
        <w:tc>
          <w:tcPr>
            <w:tcW w:w="23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具体内容</w:t>
            </w:r>
          </w:p>
        </w:tc>
        <w:tc>
          <w:tcPr>
            <w:tcW w:w="14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镇属部门落实情况</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备注</w:t>
            </w:r>
          </w:p>
        </w:tc>
      </w:tr>
      <w:tr>
        <w:tblPrEx>
          <w:tblCellMar>
            <w:top w:w="0" w:type="dxa"/>
            <w:left w:w="108" w:type="dxa"/>
            <w:bottom w:w="0" w:type="dxa"/>
            <w:right w:w="108" w:type="dxa"/>
          </w:tblCellMar>
        </w:tblPrEx>
        <w:trPr>
          <w:trHeight w:val="1219" w:hRule="atLeast"/>
        </w:trPr>
        <w:tc>
          <w:tcPr>
            <w:tcW w:w="76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一、工作责任</w:t>
            </w: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1.制定本行业企业安全生产重点任务提示清单。按职责加强行业监管，严格开展执法监督检查和“打非治违”</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960"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2.定期对本行业领域开展风险研判，及时研究解决突出问题。统筹推动本行业领域重点专项行动。</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062"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3.加强本行业安全教育和业务指导，实现各村居、生产经营单位和一线从业人员安全教育全覆盖。</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720"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4.制定制定本部门大排查计划。</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125" w:hRule="atLeast"/>
        </w:trPr>
        <w:tc>
          <w:tcPr>
            <w:tcW w:w="76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二、隐患排查</w:t>
            </w: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1.建立本行业安全生产监管对象及自然灾害隐患点台账，并根据风险大小按红、橙、黄、蓝四色进行管理，动态更新报送平安法治办公室。</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050"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2.建立本行业安全生产及自然灾害隐患排查整治台账，并根据隐患大小按红、橙、黄、蓝四色进行管理，动态更新报送平安法治办公室。</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020"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3.督促指导生产经营单位按要求常态化开展风险辨识管控和“日周月”排查，建立隐患台账，及时报告重大事故隐患。</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620" w:hRule="atLeast"/>
        </w:trPr>
        <w:tc>
          <w:tcPr>
            <w:tcW w:w="76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三、问题整改</w:t>
            </w: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1.督促生产经营单位对排查出的隐患按“五落实”要求进行整改，对不能立即整改的隐患落实管控措施，并按期销号。对已完成整改的隐患开展“回头看”。</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558"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2.梳理本行业领域、本区域存在的突出问题隐患，根据整改难易程度报平安法治办纳入领导挂牌督办。</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260" w:hRule="atLeast"/>
        </w:trPr>
        <w:tc>
          <w:tcPr>
            <w:tcW w:w="7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四、执法处罚</w:t>
            </w:r>
          </w:p>
        </w:tc>
        <w:tc>
          <w:tcPr>
            <w:tcW w:w="238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1.制定年度监督检查计划，严格按计划开展执法检查，严格开展“打非治违”。</w:t>
            </w:r>
          </w:p>
        </w:tc>
        <w:tc>
          <w:tcPr>
            <w:tcW w:w="14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219"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2.将企业主要负责人履职、全员安全生产责任制、风险研判管控和“日周月”隐患排查制度落实等情况作为执法检查的重要内容。</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039"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3.对忽视安全生产等突出问题，综合运用罚款、责令停止作业、停产停业等手段，依法依规实施处罚。</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822" w:hRule="atLeast"/>
        </w:trPr>
        <w:tc>
          <w:tcPr>
            <w:tcW w:w="764"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4.持续提升执法检查强度、问题查找强度、经济处罚强度。</w:t>
            </w:r>
          </w:p>
        </w:tc>
        <w:tc>
          <w:tcPr>
            <w:tcW w:w="1430"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630" w:hRule="atLeast"/>
        </w:trPr>
        <w:tc>
          <w:tcPr>
            <w:tcW w:w="76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五、宣传教育</w:t>
            </w: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1.制定年度宣传教育计划，分季分时段突出重点开展宣传。</w:t>
            </w:r>
          </w:p>
        </w:tc>
        <w:tc>
          <w:tcPr>
            <w:tcW w:w="14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5" w:hRule="atLeast"/>
        </w:trPr>
        <w:tc>
          <w:tcPr>
            <w:tcW w:w="764" w:type="pct"/>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2.利用新媒体、传统媒介等方式，开展宣传。</w:t>
            </w:r>
          </w:p>
        </w:tc>
        <w:tc>
          <w:tcPr>
            <w:tcW w:w="14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260" w:hRule="atLeast"/>
        </w:trPr>
        <w:tc>
          <w:tcPr>
            <w:tcW w:w="764" w:type="pct"/>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color w:val="000000"/>
                <w:kern w:val="0"/>
                <w:sz w:val="24"/>
                <w:szCs w:val="24"/>
              </w:rPr>
            </w:pPr>
          </w:p>
        </w:tc>
        <w:tc>
          <w:tcPr>
            <w:tcW w:w="2382"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3.督促村居开展防火、防汛、防地灾等演练，每日入户开展安全宣传；督促生产经营单位定期对全体职工开展安全培训，组织演练，对新进员工开展系统安全培训。</w:t>
            </w:r>
          </w:p>
        </w:tc>
        <w:tc>
          <w:tcPr>
            <w:tcW w:w="14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overflowPunct w:val="0"/>
        <w:spacing w:line="560" w:lineRule="exact"/>
        <w:rPr>
          <w:rFonts w:cs="方正仿宋_GBK"/>
          <w:szCs w:val="32"/>
        </w:rPr>
      </w:pPr>
    </w:p>
    <w:p>
      <w:pPr>
        <w:overflowPunct w:val="0"/>
        <w:spacing w:line="560" w:lineRule="exact"/>
        <w:ind w:firstLine="5056" w:firstLineChars="1600"/>
        <w:rPr>
          <w:rFonts w:cs="方正仿宋_GBK"/>
          <w:szCs w:val="32"/>
        </w:rPr>
        <w:sectPr>
          <w:pgSz w:w="11906" w:h="16838"/>
          <w:pgMar w:top="2098" w:right="1474" w:bottom="1985" w:left="1588" w:header="851" w:footer="1304" w:gutter="0"/>
          <w:cols w:space="720" w:num="1"/>
          <w:docGrid w:type="linesAndChars" w:linePitch="579" w:charSpace="-849"/>
        </w:sectPr>
      </w:pPr>
    </w:p>
    <w:tbl>
      <w:tblPr>
        <w:tblStyle w:val="10"/>
        <w:tblW w:w="5145" w:type="pct"/>
        <w:jc w:val="center"/>
        <w:tblLayout w:type="fixed"/>
        <w:tblCellMar>
          <w:top w:w="0" w:type="dxa"/>
          <w:left w:w="108" w:type="dxa"/>
          <w:bottom w:w="0" w:type="dxa"/>
          <w:right w:w="108" w:type="dxa"/>
        </w:tblCellMar>
      </w:tblPr>
      <w:tblGrid>
        <w:gridCol w:w="1385"/>
        <w:gridCol w:w="4962"/>
        <w:gridCol w:w="1949"/>
        <w:gridCol w:w="1027"/>
      </w:tblGrid>
      <w:tr>
        <w:tblPrEx>
          <w:tblCellMar>
            <w:top w:w="0" w:type="dxa"/>
            <w:left w:w="108" w:type="dxa"/>
            <w:bottom w:w="0" w:type="dxa"/>
            <w:right w:w="108" w:type="dxa"/>
          </w:tblCellMar>
        </w:tblPrEx>
        <w:trPr>
          <w:trHeight w:val="439" w:hRule="atLeast"/>
          <w:jc w:val="center"/>
        </w:trPr>
        <w:tc>
          <w:tcPr>
            <w:tcW w:w="5000" w:type="pct"/>
            <w:gridSpan w:val="4"/>
            <w:tcBorders>
              <w:top w:val="nil"/>
              <w:left w:val="nil"/>
              <w:bottom w:val="nil"/>
              <w:right w:val="nil"/>
            </w:tcBorders>
            <w:shd w:val="clear" w:color="auto" w:fill="auto"/>
            <w:noWrap/>
            <w:vAlign w:val="center"/>
          </w:tcPr>
          <w:p>
            <w:pPr>
              <w:widowControl/>
              <w:jc w:val="left"/>
              <w:rPr>
                <w:rFonts w:ascii="方正黑体_GBK" w:hAnsi="宋体" w:eastAsia="方正黑体_GBK" w:cs="宋体"/>
                <w:color w:val="000000"/>
                <w:kern w:val="0"/>
                <w:szCs w:val="32"/>
              </w:rPr>
            </w:pPr>
            <w:r>
              <w:rPr>
                <w:rFonts w:hint="eastAsia" w:ascii="方正黑体_GBK" w:hAnsi="宋体" w:eastAsia="方正黑体_GBK" w:cs="宋体"/>
                <w:color w:val="000000"/>
                <w:kern w:val="0"/>
                <w:szCs w:val="32"/>
              </w:rPr>
              <w:t>附件2</w:t>
            </w:r>
          </w:p>
        </w:tc>
      </w:tr>
      <w:tr>
        <w:tblPrEx>
          <w:tblCellMar>
            <w:top w:w="0" w:type="dxa"/>
            <w:left w:w="108" w:type="dxa"/>
            <w:bottom w:w="0" w:type="dxa"/>
            <w:right w:w="108" w:type="dxa"/>
          </w:tblCellMar>
        </w:tblPrEx>
        <w:trPr>
          <w:trHeight w:val="540" w:hRule="atLeast"/>
          <w:jc w:val="center"/>
        </w:trPr>
        <w:tc>
          <w:tcPr>
            <w:tcW w:w="5000" w:type="pct"/>
            <w:gridSpan w:val="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督导检查村居重点事项清单</w:t>
            </w:r>
          </w:p>
        </w:tc>
      </w:tr>
      <w:tr>
        <w:tblPrEx>
          <w:tblCellMar>
            <w:top w:w="0" w:type="dxa"/>
            <w:left w:w="108" w:type="dxa"/>
            <w:bottom w:w="0" w:type="dxa"/>
            <w:right w:w="108" w:type="dxa"/>
          </w:tblCellMar>
        </w:tblPrEx>
        <w:trPr>
          <w:trHeight w:val="499" w:hRule="atLeast"/>
          <w:jc w:val="center"/>
        </w:trPr>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检查事项</w:t>
            </w:r>
          </w:p>
        </w:tc>
        <w:tc>
          <w:tcPr>
            <w:tcW w:w="26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具体内容</w:t>
            </w:r>
          </w:p>
        </w:tc>
        <w:tc>
          <w:tcPr>
            <w:tcW w:w="10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村居落实情况</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备注</w:t>
            </w:r>
          </w:p>
        </w:tc>
      </w:tr>
      <w:tr>
        <w:tblPrEx>
          <w:tblCellMar>
            <w:top w:w="0" w:type="dxa"/>
            <w:left w:w="108" w:type="dxa"/>
            <w:bottom w:w="0" w:type="dxa"/>
            <w:right w:w="108" w:type="dxa"/>
          </w:tblCellMar>
        </w:tblPrEx>
        <w:trPr>
          <w:trHeight w:val="762" w:hRule="atLeast"/>
          <w:jc w:val="center"/>
        </w:trPr>
        <w:tc>
          <w:tcPr>
            <w:tcW w:w="743"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一、工作责任</w:t>
            </w: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1.抓好辖区内生产经营单位的安全生产监管工作，特别对九小场所、在建工地、道路安全等开展排查整治。</w:t>
            </w:r>
          </w:p>
        </w:tc>
        <w:tc>
          <w:tcPr>
            <w:tcW w:w="1045" w:type="pct"/>
            <w:tcBorders>
              <w:top w:val="nil"/>
              <w:left w:val="nil"/>
              <w:bottom w:val="single" w:color="auto" w:sz="4" w:space="0"/>
              <w:right w:val="single" w:color="auto" w:sz="4" w:space="0"/>
            </w:tcBorders>
            <w:shd w:val="clear" w:color="auto" w:fill="auto"/>
            <w:noWrap/>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w:t>
            </w:r>
          </w:p>
        </w:tc>
      </w:tr>
      <w:tr>
        <w:tblPrEx>
          <w:tblCellMar>
            <w:top w:w="0" w:type="dxa"/>
            <w:left w:w="108" w:type="dxa"/>
            <w:bottom w:w="0" w:type="dxa"/>
            <w:right w:w="108" w:type="dxa"/>
          </w:tblCellMar>
        </w:tblPrEx>
        <w:trPr>
          <w:trHeight w:val="859" w:hRule="atLeast"/>
          <w:jc w:val="center"/>
        </w:trPr>
        <w:tc>
          <w:tcPr>
            <w:tcW w:w="743" w:type="pct"/>
            <w:vMerge w:val="continue"/>
            <w:tcBorders>
              <w:top w:val="nil"/>
              <w:left w:val="single" w:color="auto" w:sz="4" w:space="0"/>
              <w:bottom w:val="nil"/>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2.抓好辖区内自然灾害隐患的排查整治，特别是危岩滑坡、高切坡、道路损毁、危旧房等开展排查整治。</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219" w:hRule="atLeast"/>
          <w:jc w:val="center"/>
        </w:trPr>
        <w:tc>
          <w:tcPr>
            <w:tcW w:w="743" w:type="pct"/>
            <w:vMerge w:val="continue"/>
            <w:tcBorders>
              <w:top w:val="nil"/>
              <w:left w:val="single" w:color="auto" w:sz="4" w:space="0"/>
              <w:bottom w:val="nil"/>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3.结合实际制定安全生产责任清单，细化明确辖区村居干部安全生产职责。</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882" w:hRule="atLeast"/>
          <w:jc w:val="center"/>
        </w:trPr>
        <w:tc>
          <w:tcPr>
            <w:tcW w:w="743" w:type="pct"/>
            <w:vMerge w:val="continue"/>
            <w:tcBorders>
              <w:top w:val="nil"/>
              <w:left w:val="single" w:color="auto" w:sz="4" w:space="0"/>
              <w:bottom w:val="nil"/>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4.做到年度有方案、每季有演练、每月有研判、每周有检查、每日有宣传。梳理并研究解决安全重点难点问题。</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780" w:hRule="atLeast"/>
          <w:jc w:val="center"/>
        </w:trPr>
        <w:tc>
          <w:tcPr>
            <w:tcW w:w="743" w:type="pct"/>
            <w:vMerge w:val="continue"/>
            <w:tcBorders>
              <w:top w:val="nil"/>
              <w:left w:val="single" w:color="auto" w:sz="4" w:space="0"/>
              <w:bottom w:val="nil"/>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5.精心制定本辖区大排查方案，及时动员部署，开展教育培训，有力推动工作落实。</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182" w:hRule="atLeast"/>
          <w:jc w:val="center"/>
        </w:trPr>
        <w:tc>
          <w:tcPr>
            <w:tcW w:w="743" w:type="pct"/>
            <w:vMerge w:val="continue"/>
            <w:tcBorders>
              <w:top w:val="nil"/>
              <w:left w:val="single" w:color="auto" w:sz="4" w:space="0"/>
              <w:bottom w:val="nil"/>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6.督促生产经营单位落实安全生产重点任务提示清单明确的各项工作任务，落实主要负责人、安全分管负责人、安全管理人员和一线从业人员责任，实现常态化规范管理。</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099" w:hRule="atLeast"/>
          <w:jc w:val="center"/>
        </w:trPr>
        <w:tc>
          <w:tcPr>
            <w:tcW w:w="7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二、隐患排查</w:t>
            </w: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1.对辖区内生产经营单位和自然灾害隐患点开展“拉网式”大排查，摸清所有监管对象和灾害隐患底数。</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822" w:hRule="atLeast"/>
          <w:jc w:val="center"/>
        </w:trPr>
        <w:tc>
          <w:tcPr>
            <w:tcW w:w="7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2.及时发现并处置隐患，建立隐患台账，并报送至对应镇属部门。</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919" w:hRule="atLeast"/>
          <w:jc w:val="center"/>
        </w:trPr>
        <w:tc>
          <w:tcPr>
            <w:tcW w:w="7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3.督促指导生产经营单位按要求常态化开展风险辨识管控和“日周月”排查，建立隐患台账，及时报告重大事故隐患。</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182" w:hRule="atLeast"/>
          <w:jc w:val="center"/>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三、问题整改</w:t>
            </w: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督促生产经营单位对排查出的隐患按“五落实”要求进行整改，对不能立即整改的隐患落实管控措施，并按期销号。对已完成整改的隐患开展“回头看”。</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110" w:hRule="atLeast"/>
          <w:jc w:val="center"/>
        </w:trPr>
        <w:tc>
          <w:tcPr>
            <w:tcW w:w="7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四、宣传教育</w:t>
            </w:r>
          </w:p>
        </w:tc>
        <w:tc>
          <w:tcPr>
            <w:tcW w:w="26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1.开展防火、防汛、防地灾等演练，每日入户开展安全宣传，督促生产经营单位开展安全培训，组织演练，对新进员工开展系统安全培训等情况。</w:t>
            </w:r>
          </w:p>
        </w:tc>
        <w:tc>
          <w:tcPr>
            <w:tcW w:w="10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080" w:hRule="atLeast"/>
          <w:jc w:val="center"/>
        </w:trPr>
        <w:tc>
          <w:tcPr>
            <w:tcW w:w="743"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color w:val="000000"/>
                <w:kern w:val="0"/>
                <w:sz w:val="24"/>
                <w:szCs w:val="24"/>
              </w:rPr>
            </w:pPr>
          </w:p>
        </w:tc>
        <w:tc>
          <w:tcPr>
            <w:tcW w:w="2661"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2.综合运用积分制、村规民约等方式，对忽视安全的居民开展安全教育等情况。</w:t>
            </w:r>
          </w:p>
        </w:tc>
        <w:tc>
          <w:tcPr>
            <w:tcW w:w="1045"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bl>
    <w:p>
      <w:pPr>
        <w:overflowPunct w:val="0"/>
        <w:spacing w:line="560" w:lineRule="exact"/>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sectPr>
          <w:pgSz w:w="11906" w:h="16838"/>
          <w:pgMar w:top="2098" w:right="1474" w:bottom="1985" w:left="1588" w:header="851" w:footer="1304" w:gutter="0"/>
          <w:cols w:space="720" w:num="1"/>
          <w:docGrid w:type="linesAndChars" w:linePitch="579" w:charSpace="-849"/>
        </w:sectPr>
      </w:pPr>
    </w:p>
    <w:tbl>
      <w:tblPr>
        <w:tblStyle w:val="10"/>
        <w:tblW w:w="5789" w:type="pct"/>
        <w:tblInd w:w="-743" w:type="dxa"/>
        <w:tblLayout w:type="autofit"/>
        <w:tblCellMar>
          <w:top w:w="0" w:type="dxa"/>
          <w:left w:w="108" w:type="dxa"/>
          <w:bottom w:w="0" w:type="dxa"/>
          <w:right w:w="108" w:type="dxa"/>
        </w:tblCellMar>
      </w:tblPr>
      <w:tblGrid>
        <w:gridCol w:w="834"/>
        <w:gridCol w:w="1322"/>
        <w:gridCol w:w="5073"/>
        <w:gridCol w:w="2411"/>
        <w:gridCol w:w="850"/>
      </w:tblGrid>
      <w:tr>
        <w:tblPrEx>
          <w:tblCellMar>
            <w:top w:w="0" w:type="dxa"/>
            <w:left w:w="108" w:type="dxa"/>
            <w:bottom w:w="0" w:type="dxa"/>
            <w:right w:w="108" w:type="dxa"/>
          </w:tblCellMar>
        </w:tblPrEx>
        <w:trPr>
          <w:trHeight w:val="582" w:hRule="atLeast"/>
        </w:trPr>
        <w:tc>
          <w:tcPr>
            <w:tcW w:w="1028" w:type="pct"/>
            <w:gridSpan w:val="2"/>
            <w:tcBorders>
              <w:top w:val="nil"/>
              <w:left w:val="nil"/>
              <w:bottom w:val="nil"/>
              <w:right w:val="nil"/>
            </w:tcBorders>
            <w:shd w:val="clear" w:color="auto" w:fill="auto"/>
            <w:noWrap/>
            <w:vAlign w:val="center"/>
          </w:tcPr>
          <w:p>
            <w:pPr>
              <w:widowControl/>
              <w:jc w:val="left"/>
              <w:rPr>
                <w:rFonts w:ascii="方正黑体_GBK" w:hAnsi="宋体" w:eastAsia="方正黑体_GBK" w:cs="宋体"/>
                <w:color w:val="000000"/>
                <w:kern w:val="0"/>
                <w:szCs w:val="32"/>
              </w:rPr>
            </w:pPr>
            <w:r>
              <w:rPr>
                <w:rFonts w:hint="eastAsia" w:ascii="方正黑体_GBK" w:hAnsi="宋体" w:eastAsia="方正黑体_GBK" w:cs="宋体"/>
                <w:color w:val="000000"/>
                <w:kern w:val="0"/>
                <w:szCs w:val="32"/>
              </w:rPr>
              <w:t>附件3</w:t>
            </w:r>
          </w:p>
        </w:tc>
        <w:tc>
          <w:tcPr>
            <w:tcW w:w="2418" w:type="pct"/>
            <w:tcBorders>
              <w:top w:val="nil"/>
              <w:left w:val="nil"/>
              <w:bottom w:val="nil"/>
              <w:right w:val="nil"/>
            </w:tcBorders>
            <w:shd w:val="clear" w:color="auto" w:fill="auto"/>
            <w:noWrap/>
            <w:vAlign w:val="center"/>
          </w:tcPr>
          <w:p>
            <w:pPr>
              <w:widowControl/>
              <w:jc w:val="left"/>
              <w:rPr>
                <w:rFonts w:ascii="方正黑体_GBK" w:hAnsi="宋体" w:eastAsia="方正黑体_GBK" w:cs="宋体"/>
                <w:color w:val="000000"/>
                <w:kern w:val="0"/>
                <w:szCs w:val="32"/>
              </w:rPr>
            </w:pPr>
          </w:p>
        </w:tc>
        <w:tc>
          <w:tcPr>
            <w:tcW w:w="1149" w:type="pct"/>
            <w:tcBorders>
              <w:top w:val="nil"/>
              <w:left w:val="nil"/>
              <w:bottom w:val="nil"/>
              <w:right w:val="nil"/>
            </w:tcBorders>
            <w:shd w:val="clear" w:color="auto" w:fill="auto"/>
            <w:noWrap/>
            <w:vAlign w:val="center"/>
          </w:tcPr>
          <w:p>
            <w:pPr>
              <w:widowControl/>
              <w:jc w:val="left"/>
              <w:rPr>
                <w:rFonts w:eastAsia="Times New Roman"/>
                <w:kern w:val="0"/>
                <w:sz w:val="20"/>
              </w:rPr>
            </w:pPr>
          </w:p>
        </w:tc>
        <w:tc>
          <w:tcPr>
            <w:tcW w:w="405" w:type="pct"/>
            <w:tcBorders>
              <w:top w:val="nil"/>
              <w:left w:val="nil"/>
              <w:bottom w:val="nil"/>
              <w:right w:val="nil"/>
            </w:tcBorders>
            <w:shd w:val="clear" w:color="auto" w:fill="auto"/>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619"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生产经营单位安全生产重点任务提示清单</w:t>
            </w:r>
          </w:p>
        </w:tc>
      </w:tr>
      <w:tr>
        <w:tblPrEx>
          <w:tblCellMar>
            <w:top w:w="0" w:type="dxa"/>
            <w:left w:w="108" w:type="dxa"/>
            <w:bottom w:w="0" w:type="dxa"/>
            <w:right w:w="108" w:type="dxa"/>
          </w:tblCellMar>
        </w:tblPrEx>
        <w:trPr>
          <w:trHeight w:val="679" w:hRule="atLeast"/>
        </w:trPr>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序号</w:t>
            </w:r>
          </w:p>
        </w:tc>
        <w:tc>
          <w:tcPr>
            <w:tcW w:w="6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主要内容</w:t>
            </w:r>
          </w:p>
        </w:tc>
        <w:tc>
          <w:tcPr>
            <w:tcW w:w="24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日常管理重点任务清单及要求</w:t>
            </w:r>
          </w:p>
        </w:tc>
        <w:tc>
          <w:tcPr>
            <w:tcW w:w="11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检查要点及方式</w:t>
            </w:r>
          </w:p>
        </w:tc>
        <w:tc>
          <w:tcPr>
            <w:tcW w:w="4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备注</w:t>
            </w:r>
          </w:p>
        </w:tc>
      </w:tr>
      <w:tr>
        <w:tblPrEx>
          <w:tblCellMar>
            <w:top w:w="0" w:type="dxa"/>
            <w:left w:w="108" w:type="dxa"/>
            <w:bottom w:w="0" w:type="dxa"/>
            <w:right w:w="108" w:type="dxa"/>
          </w:tblCellMar>
        </w:tblPrEx>
        <w:trPr>
          <w:trHeight w:val="1380"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1</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落实安全管理人员</w:t>
            </w:r>
          </w:p>
        </w:tc>
        <w:tc>
          <w:tcPr>
            <w:tcW w:w="2418"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1.业主自己或明确1名专兼职安全管理人员。</w:t>
            </w:r>
          </w:p>
        </w:tc>
        <w:tc>
          <w:tcPr>
            <w:tcW w:w="1149"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问业主或安全管理人员</w:t>
            </w:r>
          </w:p>
        </w:tc>
        <w:tc>
          <w:tcPr>
            <w:tcW w:w="405"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860"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2</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开展风险评辨识</w:t>
            </w:r>
          </w:p>
        </w:tc>
        <w:tc>
          <w:tcPr>
            <w:tcW w:w="2418"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2.对经营场所进行安全风险辨识和研判，对重大或较大的风险点位和设备进行登记，建立风险台账，并设置明显的安全警示标志，并重点加以管控。</w:t>
            </w:r>
          </w:p>
        </w:tc>
        <w:tc>
          <w:tcPr>
            <w:tcW w:w="1149"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查风险辨识台账等是否登记 ，看警示标志</w:t>
            </w:r>
          </w:p>
        </w:tc>
        <w:tc>
          <w:tcPr>
            <w:tcW w:w="405"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800"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3</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落实岗位责任</w:t>
            </w:r>
          </w:p>
        </w:tc>
        <w:tc>
          <w:tcPr>
            <w:tcW w:w="2418"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3.在高风险岗位的醒目位置，张贴风险告知卡、岗位操作卡、应急处置卡，一线员工知风险、懂操作、会应急。</w:t>
            </w:r>
          </w:p>
        </w:tc>
        <w:tc>
          <w:tcPr>
            <w:tcW w:w="1149"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看风险卡、操作卡、处置卡、隐患登记卡是否管用并张贴，问作业人员是否掌握</w:t>
            </w:r>
          </w:p>
        </w:tc>
        <w:tc>
          <w:tcPr>
            <w:tcW w:w="405"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699"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4</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安全培训和教育</w:t>
            </w:r>
          </w:p>
        </w:tc>
        <w:tc>
          <w:tcPr>
            <w:tcW w:w="2418"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4.新进员工经安全培训合格后方可上岗，每月开展作业人员的安全教育。</w:t>
            </w:r>
          </w:p>
        </w:tc>
        <w:tc>
          <w:tcPr>
            <w:tcW w:w="1149"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查培训主要内容，问从业人员是否掌握</w:t>
            </w:r>
          </w:p>
        </w:tc>
        <w:tc>
          <w:tcPr>
            <w:tcW w:w="405"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782"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安全隐患排查</w:t>
            </w:r>
          </w:p>
        </w:tc>
        <w:tc>
          <w:tcPr>
            <w:tcW w:w="2418"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5.安全管理人员要督促各岗位作业人员每天排查安全隐患，发现隐患和异常立即报告，并建立隐患台账，及时整改和管控。</w:t>
            </w:r>
          </w:p>
        </w:tc>
        <w:tc>
          <w:tcPr>
            <w:tcW w:w="1149"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看隐患台账，问作业人员是怎么做的，现场检查安全隐患</w:t>
            </w:r>
          </w:p>
        </w:tc>
        <w:tc>
          <w:tcPr>
            <w:tcW w:w="405"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440"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6</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应急处置</w:t>
            </w:r>
          </w:p>
        </w:tc>
        <w:tc>
          <w:tcPr>
            <w:tcW w:w="2418"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6.编制安全事故应急救援</w:t>
            </w:r>
            <w:r>
              <w:rPr>
                <w:rFonts w:hint="eastAsia" w:ascii="方正仿宋_GBK" w:hAnsi="宋体" w:cs="宋体"/>
                <w:kern w:val="0"/>
                <w:sz w:val="24"/>
                <w:szCs w:val="24"/>
              </w:rPr>
              <w:t>预案</w:t>
            </w:r>
            <w:r>
              <w:rPr>
                <w:rFonts w:hint="eastAsia" w:ascii="方正仿宋_GBK" w:hAnsi="宋体" w:cs="宋体"/>
                <w:color w:val="000000"/>
                <w:kern w:val="0"/>
                <w:sz w:val="24"/>
                <w:szCs w:val="24"/>
              </w:rPr>
              <w:t>，告知各岗位员工，每年定期开展演练。</w:t>
            </w:r>
          </w:p>
        </w:tc>
        <w:tc>
          <w:tcPr>
            <w:tcW w:w="1149" w:type="pct"/>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查措施，问员工是否演练</w:t>
            </w:r>
          </w:p>
        </w:tc>
        <w:tc>
          <w:tcPr>
            <w:tcW w:w="405"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r>
        <w:tblPrEx>
          <w:tblCellMar>
            <w:top w:w="0" w:type="dxa"/>
            <w:left w:w="108" w:type="dxa"/>
            <w:bottom w:w="0" w:type="dxa"/>
            <w:right w:w="108" w:type="dxa"/>
          </w:tblCellMar>
        </w:tblPrEx>
        <w:trPr>
          <w:trHeight w:val="1879" w:hRule="atLeast"/>
        </w:trPr>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7</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委外和特种作业</w:t>
            </w:r>
          </w:p>
        </w:tc>
        <w:tc>
          <w:tcPr>
            <w:tcW w:w="24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7.从事电工、登高、动火动焊、有限空间等作业人员，必须取得相应特种作业操作证并按要求规范作业；动火动焊、有限空间作业实行作业票审批。</w:t>
            </w:r>
          </w:p>
        </w:tc>
        <w:tc>
          <w:tcPr>
            <w:tcW w:w="11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看现场、查证件、问作业要点</w:t>
            </w:r>
          </w:p>
        </w:tc>
        <w:tc>
          <w:tcPr>
            <w:tcW w:w="40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r>
    </w:tbl>
    <w:p>
      <w:pPr>
        <w:overflowPunct w:val="0"/>
        <w:spacing w:line="560" w:lineRule="exact"/>
        <w:rPr>
          <w:rFonts w:cs="方正仿宋_GBK"/>
          <w:szCs w:val="32"/>
        </w:rPr>
      </w:pPr>
    </w:p>
    <w:p>
      <w:pPr>
        <w:overflowPunct w:val="0"/>
        <w:spacing w:line="560" w:lineRule="exact"/>
        <w:rPr>
          <w:rFonts w:cs="方正仿宋_GBK"/>
          <w:szCs w:val="32"/>
        </w:rPr>
        <w:sectPr>
          <w:pgSz w:w="11906" w:h="16838"/>
          <w:pgMar w:top="2098" w:right="1474" w:bottom="1985" w:left="1588" w:header="851" w:footer="1304" w:gutter="0"/>
          <w:cols w:space="720" w:num="1"/>
          <w:docGrid w:type="linesAndChars" w:linePitch="579" w:charSpace="-849"/>
        </w:sectPr>
      </w:pPr>
    </w:p>
    <w:tbl>
      <w:tblPr>
        <w:tblStyle w:val="11"/>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1"/>
        <w:gridCol w:w="1000"/>
        <w:gridCol w:w="1001"/>
        <w:gridCol w:w="1001"/>
        <w:gridCol w:w="1000"/>
        <w:gridCol w:w="1001"/>
        <w:gridCol w:w="1000"/>
        <w:gridCol w:w="1001"/>
        <w:gridCol w:w="1001"/>
        <w:gridCol w:w="1000"/>
        <w:gridCol w:w="1001"/>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3008" w:type="dxa"/>
            <w:gridSpan w:val="13"/>
            <w:tcBorders>
              <w:top w:val="nil"/>
              <w:left w:val="nil"/>
              <w:bottom w:val="nil"/>
              <w:right w:val="nil"/>
            </w:tcBorders>
          </w:tcPr>
          <w:p>
            <w:pPr>
              <w:widowControl/>
              <w:jc w:val="left"/>
              <w:rPr>
                <w:rFonts w:ascii="方正黑体_GBK" w:hAnsi="宋体" w:eastAsia="方正黑体_GBK" w:cs="宋体"/>
                <w:kern w:val="0"/>
                <w:szCs w:val="32"/>
              </w:rPr>
            </w:pPr>
            <w:r>
              <w:rPr>
                <w:rFonts w:hint="eastAsia" w:ascii="方正黑体_GBK" w:hAnsi="宋体" w:eastAsia="方正黑体_GBK" w:cs="宋体"/>
                <w:kern w:val="0"/>
                <w:szCs w:val="32"/>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008" w:type="dxa"/>
            <w:gridSpan w:val="13"/>
            <w:tcBorders>
              <w:top w:val="nil"/>
              <w:left w:val="nil"/>
              <w:bottom w:val="single" w:color="auto" w:sz="4" w:space="0"/>
              <w:right w:val="nil"/>
            </w:tcBorders>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茨竹镇秋冬季安全生产和自然灾害隐患排查整治情况统计表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0"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序号</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村居</w:t>
            </w:r>
          </w:p>
        </w:tc>
        <w:tc>
          <w:tcPr>
            <w:tcW w:w="1000"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被检查对象</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隐患地址</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隐患问题</w:t>
            </w:r>
          </w:p>
        </w:tc>
        <w:tc>
          <w:tcPr>
            <w:tcW w:w="1000"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整治措施</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整治时限</w:t>
            </w:r>
          </w:p>
        </w:tc>
        <w:tc>
          <w:tcPr>
            <w:tcW w:w="1000"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责任  单位</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责任 村居</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责任 领导</w:t>
            </w:r>
          </w:p>
        </w:tc>
        <w:tc>
          <w:tcPr>
            <w:tcW w:w="1000"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责任 人</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来源</w:t>
            </w:r>
          </w:p>
        </w:tc>
        <w:tc>
          <w:tcPr>
            <w:tcW w:w="1001" w:type="dxa"/>
            <w:tcBorders>
              <w:top w:val="single" w:color="auto" w:sz="4" w:space="0"/>
            </w:tcBorders>
          </w:tcPr>
          <w:p>
            <w:pPr>
              <w:widowControl/>
              <w:jc w:val="center"/>
              <w:rPr>
                <w:rFonts w:ascii="方正黑体_GBK" w:hAnsi="黑体" w:eastAsia="方正黑体_GBK" w:cs="宋体"/>
                <w:kern w:val="0"/>
                <w:sz w:val="28"/>
                <w:szCs w:val="28"/>
              </w:rPr>
            </w:pPr>
            <w:r>
              <w:rPr>
                <w:rFonts w:hint="eastAsia" w:ascii="方正黑体_GBK" w:hAnsi="黑体" w:eastAsia="方正黑体_GBK"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tcPr>
          <w:p>
            <w:pPr>
              <w:widowControl/>
              <w:jc w:val="center"/>
              <w:rPr>
                <w:rFonts w:ascii="方正仿宋_GBK" w:hAnsi="宋体" w:cs="宋体"/>
                <w:color w:val="000000"/>
                <w:kern w:val="0"/>
                <w:sz w:val="22"/>
                <w:szCs w:val="22"/>
              </w:rPr>
            </w:pPr>
            <w:r>
              <w:rPr>
                <w:rFonts w:hint="eastAsia" w:ascii="方正仿宋_GBK" w:hAnsi="宋体" w:cs="宋体"/>
                <w:color w:val="000000"/>
                <w:kern w:val="0"/>
                <w:sz w:val="22"/>
                <w:szCs w:val="22"/>
              </w:rPr>
              <w:t>　</w:t>
            </w:r>
          </w:p>
        </w:tc>
        <w:tc>
          <w:tcPr>
            <w:tcW w:w="1001" w:type="dxa"/>
          </w:tcPr>
          <w:p>
            <w:pPr>
              <w:widowControl/>
              <w:jc w:val="center"/>
              <w:rPr>
                <w:rFonts w:ascii="方正仿宋_GBK" w:hAnsi="宋体" w:cs="宋体"/>
                <w:b/>
                <w:bCs/>
                <w:kern w:val="0"/>
                <w:sz w:val="22"/>
                <w:szCs w:val="22"/>
              </w:rPr>
            </w:pPr>
            <w:r>
              <w:rPr>
                <w:rFonts w:hint="eastAsia" w:ascii="方正仿宋_GBK" w:hAnsi="宋体" w:cs="宋体"/>
                <w:b/>
                <w:bCs/>
                <w:kern w:val="0"/>
                <w:sz w:val="22"/>
                <w:szCs w:val="22"/>
              </w:rPr>
              <w:t>　</w:t>
            </w:r>
          </w:p>
        </w:tc>
        <w:tc>
          <w:tcPr>
            <w:tcW w:w="1000"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1"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1"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0" w:type="dxa"/>
          </w:tcPr>
          <w:p>
            <w:pPr>
              <w:widowControl/>
              <w:jc w:val="center"/>
              <w:rPr>
                <w:rFonts w:ascii="方正仿宋_GBK" w:hAnsi="宋体" w:cs="宋体"/>
                <w:color w:val="000000"/>
                <w:kern w:val="0"/>
                <w:sz w:val="20"/>
              </w:rPr>
            </w:pPr>
            <w:r>
              <w:rPr>
                <w:rFonts w:hint="eastAsia" w:ascii="方正仿宋_GBK" w:hAnsi="宋体" w:cs="宋体"/>
                <w:color w:val="000000"/>
                <w:kern w:val="0"/>
                <w:sz w:val="20"/>
              </w:rPr>
              <w:t>　</w:t>
            </w:r>
          </w:p>
        </w:tc>
        <w:tc>
          <w:tcPr>
            <w:tcW w:w="1001" w:type="dxa"/>
          </w:tcPr>
          <w:p>
            <w:pPr>
              <w:widowControl/>
              <w:jc w:val="center"/>
              <w:rPr>
                <w:rFonts w:ascii="方正仿宋_GBK" w:hAnsi="宋体" w:cs="宋体"/>
                <w:color w:val="000000"/>
                <w:kern w:val="0"/>
                <w:sz w:val="20"/>
              </w:rPr>
            </w:pPr>
            <w:r>
              <w:rPr>
                <w:rFonts w:hint="eastAsia" w:ascii="方正仿宋_GBK" w:hAnsi="宋体" w:cs="宋体"/>
                <w:color w:val="000000"/>
                <w:kern w:val="0"/>
                <w:sz w:val="20"/>
              </w:rPr>
              <w:t>　</w:t>
            </w:r>
          </w:p>
        </w:tc>
        <w:tc>
          <w:tcPr>
            <w:tcW w:w="1000"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1"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1"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0"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1" w:type="dxa"/>
          </w:tcPr>
          <w:p>
            <w:pPr>
              <w:widowControl/>
              <w:jc w:val="center"/>
              <w:rPr>
                <w:rFonts w:ascii="方正仿宋_GBK" w:hAnsi="宋体" w:cs="宋体"/>
                <w:kern w:val="0"/>
                <w:sz w:val="20"/>
              </w:rPr>
            </w:pPr>
            <w:r>
              <w:rPr>
                <w:rFonts w:hint="eastAsia" w:ascii="方正仿宋_GBK" w:hAnsi="宋体" w:cs="宋体"/>
                <w:kern w:val="0"/>
                <w:sz w:val="20"/>
              </w:rPr>
              <w:t>　</w:t>
            </w:r>
          </w:p>
        </w:tc>
        <w:tc>
          <w:tcPr>
            <w:tcW w:w="1001" w:type="dxa"/>
          </w:tcPr>
          <w:p>
            <w:pPr>
              <w:widowControl/>
              <w:jc w:val="center"/>
              <w:rPr>
                <w:rFonts w:ascii="方正仿宋_GBK" w:hAnsi="宋体" w:cs="宋体"/>
                <w:kern w:val="0"/>
                <w:sz w:val="20"/>
              </w:rPr>
            </w:pPr>
            <w:r>
              <w:rPr>
                <w:rFonts w:hint="eastAsia" w:ascii="方正仿宋_GBK"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ascii="方正仿宋_GBK" w:hAnsi="宋体" w:cs="宋体"/>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0"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c>
          <w:tcPr>
            <w:tcW w:w="1001" w:type="dxa"/>
          </w:tcPr>
          <w:p>
            <w:pPr>
              <w:widowControl/>
              <w:jc w:val="center"/>
              <w:rPr>
                <w:rFonts w:eastAsia="Times New Roman"/>
                <w:kern w:val="0"/>
                <w:sz w:val="20"/>
              </w:rPr>
            </w:pPr>
          </w:p>
        </w:tc>
      </w:tr>
    </w:tbl>
    <w:p>
      <w:pPr>
        <w:overflowPunct w:val="0"/>
        <w:spacing w:line="560" w:lineRule="exact"/>
        <w:rPr>
          <w:rFonts w:cs="方正仿宋_GBK"/>
          <w:szCs w:val="32"/>
        </w:rPr>
      </w:pPr>
    </w:p>
    <w:p>
      <w:pPr>
        <w:overflowPunct w:val="0"/>
        <w:spacing w:line="560" w:lineRule="exact"/>
        <w:rPr>
          <w:rFonts w:cs="方正仿宋_GBK"/>
          <w:szCs w:val="32"/>
        </w:rPr>
        <w:sectPr>
          <w:pgSz w:w="16838" w:h="11906" w:orient="landscape"/>
          <w:pgMar w:top="1588" w:right="2098" w:bottom="1474" w:left="1985" w:header="851" w:footer="1304" w:gutter="0"/>
          <w:cols w:space="720" w:num="1"/>
          <w:docGrid w:type="linesAndChars" w:linePitch="579" w:charSpace="-849"/>
        </w:sect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56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240" w:lineRule="exact"/>
        <w:ind w:firstLine="5056" w:firstLineChars="1600"/>
        <w:rPr>
          <w:rFonts w:cs="方正仿宋_GBK"/>
          <w:szCs w:val="32"/>
        </w:rPr>
      </w:pPr>
    </w:p>
    <w:p>
      <w:pPr>
        <w:overflowPunct w:val="0"/>
        <w:spacing w:line="560" w:lineRule="exact"/>
        <w:ind w:left="316" w:leftChars="100" w:right="316" w:rightChars="100"/>
        <w:rPr>
          <w:w w:val="85"/>
          <w:sz w:val="28"/>
          <w:szCs w:val="28"/>
        </w:rPr>
      </w:pPr>
      <w:r>
        <w:pict>
          <v:line id="直接连接符 3" o:spid="_x0000_s1028" o:spt="20" style="position:absolute;left:0pt;margin-left:0.1pt;margin-top:1.85pt;height:0pt;width:443.3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">
            <v:path arrowok="t"/>
            <v:fill focussize="0,0"/>
            <v:stroke/>
            <v:imagedata o:title=""/>
            <o:lock v:ext="edit"/>
          </v:line>
        </w:pict>
      </w:r>
      <w:r>
        <w:pict>
          <v:line id="直接连接符 1" o:spid="_x0000_s1029" o:spt="20" style="position:absolute;left:0pt;margin-left:0pt;margin-top:32.75pt;height:0pt;width:443.3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">
            <v:path arrowok="t"/>
            <v:fill focussize="0,0"/>
            <v:stroke/>
            <v:imagedata o:title=""/>
            <o:lock v:ext="edit"/>
          </v:line>
        </w:pict>
      </w:r>
      <w:r>
        <w:rPr>
          <w:w w:val="85"/>
          <w:sz w:val="28"/>
          <w:szCs w:val="28"/>
        </w:rPr>
        <w:t>重庆市渝北区茨竹镇</w:t>
      </w:r>
      <w:r>
        <w:rPr>
          <w:rFonts w:hint="eastAsia"/>
          <w:w w:val="85"/>
          <w:sz w:val="28"/>
          <w:szCs w:val="28"/>
        </w:rPr>
        <w:t>基层治理综合指挥室</w:t>
      </w:r>
      <w:r>
        <w:rPr>
          <w:w w:val="85"/>
          <w:sz w:val="28"/>
          <w:szCs w:val="28"/>
        </w:rPr>
        <w:t xml:space="preserve">              2024年11月13日印发</w:t>
      </w:r>
    </w:p>
    <w:sectPr>
      <w:pgSz w:w="11906" w:h="16838"/>
      <w:pgMar w:top="2098" w:right="1474" w:bottom="1985" w:left="1588" w:header="851" w:footer="130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
    <w:altName w:val="方正仿宋_GBK"/>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rStyle w:val="13"/>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Style w:val="1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8"/>
      </w:rPr>
    </w:pPr>
    <w:r>
      <w:rPr>
        <w:rStyle w:val="13"/>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Style w:val="13"/>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2116"/>
    <w:multiLevelType w:val="singleLevel"/>
    <w:tmpl w:val="504021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3"/>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3FCE"/>
    <w:rsid w:val="000345C3"/>
    <w:rsid w:val="00036B55"/>
    <w:rsid w:val="00040EEB"/>
    <w:rsid w:val="000446AF"/>
    <w:rsid w:val="000477C5"/>
    <w:rsid w:val="00047F17"/>
    <w:rsid w:val="00051A67"/>
    <w:rsid w:val="00054E83"/>
    <w:rsid w:val="00061E46"/>
    <w:rsid w:val="0006315C"/>
    <w:rsid w:val="00072880"/>
    <w:rsid w:val="00072B8A"/>
    <w:rsid w:val="00074413"/>
    <w:rsid w:val="0007512A"/>
    <w:rsid w:val="00076F2B"/>
    <w:rsid w:val="0008168C"/>
    <w:rsid w:val="00082FCC"/>
    <w:rsid w:val="000847A9"/>
    <w:rsid w:val="00085486"/>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6F31"/>
    <w:rsid w:val="000E744C"/>
    <w:rsid w:val="000F5919"/>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886"/>
    <w:rsid w:val="00127C14"/>
    <w:rsid w:val="001306EF"/>
    <w:rsid w:val="00132840"/>
    <w:rsid w:val="00133FFF"/>
    <w:rsid w:val="00134EEB"/>
    <w:rsid w:val="0014231F"/>
    <w:rsid w:val="00142A2B"/>
    <w:rsid w:val="001459BF"/>
    <w:rsid w:val="00151195"/>
    <w:rsid w:val="00153954"/>
    <w:rsid w:val="00156420"/>
    <w:rsid w:val="00161012"/>
    <w:rsid w:val="00161499"/>
    <w:rsid w:val="001636C5"/>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4A3A"/>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40A9"/>
    <w:rsid w:val="00271677"/>
    <w:rsid w:val="00271F13"/>
    <w:rsid w:val="00273E0A"/>
    <w:rsid w:val="002765F6"/>
    <w:rsid w:val="00277FDF"/>
    <w:rsid w:val="0028188A"/>
    <w:rsid w:val="00283D4E"/>
    <w:rsid w:val="00287721"/>
    <w:rsid w:val="00287E19"/>
    <w:rsid w:val="002906A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6C07"/>
    <w:rsid w:val="002B75AC"/>
    <w:rsid w:val="002C395B"/>
    <w:rsid w:val="002C6B29"/>
    <w:rsid w:val="002D03FB"/>
    <w:rsid w:val="002D0479"/>
    <w:rsid w:val="002D0754"/>
    <w:rsid w:val="002D1D66"/>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535F2"/>
    <w:rsid w:val="003667D2"/>
    <w:rsid w:val="0037102A"/>
    <w:rsid w:val="00376466"/>
    <w:rsid w:val="003767AF"/>
    <w:rsid w:val="0037706E"/>
    <w:rsid w:val="00382490"/>
    <w:rsid w:val="00383878"/>
    <w:rsid w:val="003855BE"/>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08B"/>
    <w:rsid w:val="003C088D"/>
    <w:rsid w:val="003C11E3"/>
    <w:rsid w:val="003C1620"/>
    <w:rsid w:val="003C3599"/>
    <w:rsid w:val="003C4B28"/>
    <w:rsid w:val="003C5779"/>
    <w:rsid w:val="003C6979"/>
    <w:rsid w:val="003D0256"/>
    <w:rsid w:val="003D2EF9"/>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2E96"/>
    <w:rsid w:val="00453F16"/>
    <w:rsid w:val="004552BC"/>
    <w:rsid w:val="0045667A"/>
    <w:rsid w:val="00456CA3"/>
    <w:rsid w:val="00463D74"/>
    <w:rsid w:val="00466A85"/>
    <w:rsid w:val="00466DBD"/>
    <w:rsid w:val="00467E3F"/>
    <w:rsid w:val="004701B0"/>
    <w:rsid w:val="0047170B"/>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B78FF"/>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2462"/>
    <w:rsid w:val="004F2F7C"/>
    <w:rsid w:val="005067A7"/>
    <w:rsid w:val="0051071B"/>
    <w:rsid w:val="0051156B"/>
    <w:rsid w:val="00513AEA"/>
    <w:rsid w:val="00513BAD"/>
    <w:rsid w:val="00515F81"/>
    <w:rsid w:val="0052448B"/>
    <w:rsid w:val="00525166"/>
    <w:rsid w:val="0052520D"/>
    <w:rsid w:val="005258E5"/>
    <w:rsid w:val="00527B8C"/>
    <w:rsid w:val="00533C33"/>
    <w:rsid w:val="0053509D"/>
    <w:rsid w:val="005373DB"/>
    <w:rsid w:val="00537826"/>
    <w:rsid w:val="0054293A"/>
    <w:rsid w:val="005456C5"/>
    <w:rsid w:val="00545949"/>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1CA2"/>
    <w:rsid w:val="00585F21"/>
    <w:rsid w:val="0058653B"/>
    <w:rsid w:val="00587F6F"/>
    <w:rsid w:val="00590A8B"/>
    <w:rsid w:val="00594509"/>
    <w:rsid w:val="005A06BB"/>
    <w:rsid w:val="005A17A3"/>
    <w:rsid w:val="005A1F03"/>
    <w:rsid w:val="005A3358"/>
    <w:rsid w:val="005A38C3"/>
    <w:rsid w:val="005A5F49"/>
    <w:rsid w:val="005A6CE6"/>
    <w:rsid w:val="005A6D85"/>
    <w:rsid w:val="005B5382"/>
    <w:rsid w:val="005C7859"/>
    <w:rsid w:val="005D2FAB"/>
    <w:rsid w:val="005D4B14"/>
    <w:rsid w:val="005D5AEA"/>
    <w:rsid w:val="005D5C80"/>
    <w:rsid w:val="005E2A33"/>
    <w:rsid w:val="005E567F"/>
    <w:rsid w:val="005E7947"/>
    <w:rsid w:val="005F12CF"/>
    <w:rsid w:val="005F2706"/>
    <w:rsid w:val="005F7927"/>
    <w:rsid w:val="005F7B87"/>
    <w:rsid w:val="00601A60"/>
    <w:rsid w:val="0060503B"/>
    <w:rsid w:val="00605FC9"/>
    <w:rsid w:val="00607144"/>
    <w:rsid w:val="00607F69"/>
    <w:rsid w:val="006118C3"/>
    <w:rsid w:val="006143D9"/>
    <w:rsid w:val="00614D34"/>
    <w:rsid w:val="0061790C"/>
    <w:rsid w:val="00623521"/>
    <w:rsid w:val="006257BA"/>
    <w:rsid w:val="0062632B"/>
    <w:rsid w:val="00627544"/>
    <w:rsid w:val="006313ED"/>
    <w:rsid w:val="00631EDE"/>
    <w:rsid w:val="0063296E"/>
    <w:rsid w:val="00633914"/>
    <w:rsid w:val="0064485A"/>
    <w:rsid w:val="006452D4"/>
    <w:rsid w:val="00646D6A"/>
    <w:rsid w:val="00651BE8"/>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6F5AEB"/>
    <w:rsid w:val="00700705"/>
    <w:rsid w:val="007009F1"/>
    <w:rsid w:val="007034B6"/>
    <w:rsid w:val="00705176"/>
    <w:rsid w:val="00705701"/>
    <w:rsid w:val="007059F7"/>
    <w:rsid w:val="00705C7D"/>
    <w:rsid w:val="007075D7"/>
    <w:rsid w:val="00712883"/>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48C4"/>
    <w:rsid w:val="007579D3"/>
    <w:rsid w:val="00762524"/>
    <w:rsid w:val="007636CC"/>
    <w:rsid w:val="00772298"/>
    <w:rsid w:val="00772455"/>
    <w:rsid w:val="007733C4"/>
    <w:rsid w:val="007827A1"/>
    <w:rsid w:val="00783FA9"/>
    <w:rsid w:val="00784843"/>
    <w:rsid w:val="00784C11"/>
    <w:rsid w:val="0078754A"/>
    <w:rsid w:val="0079280F"/>
    <w:rsid w:val="00792BE2"/>
    <w:rsid w:val="0079458B"/>
    <w:rsid w:val="00796F13"/>
    <w:rsid w:val="007A1EE7"/>
    <w:rsid w:val="007A5CE9"/>
    <w:rsid w:val="007B0DBF"/>
    <w:rsid w:val="007B3C1E"/>
    <w:rsid w:val="007B44F0"/>
    <w:rsid w:val="007B791A"/>
    <w:rsid w:val="007C205E"/>
    <w:rsid w:val="007C6723"/>
    <w:rsid w:val="007C6EF1"/>
    <w:rsid w:val="007D0D6E"/>
    <w:rsid w:val="007D2DAB"/>
    <w:rsid w:val="007D3649"/>
    <w:rsid w:val="007D383C"/>
    <w:rsid w:val="007D789B"/>
    <w:rsid w:val="007E1E70"/>
    <w:rsid w:val="007E22E1"/>
    <w:rsid w:val="007E2870"/>
    <w:rsid w:val="007F0AC6"/>
    <w:rsid w:val="007F70AE"/>
    <w:rsid w:val="0080017F"/>
    <w:rsid w:val="00814760"/>
    <w:rsid w:val="00814AB5"/>
    <w:rsid w:val="00822BB7"/>
    <w:rsid w:val="008232C5"/>
    <w:rsid w:val="008234A1"/>
    <w:rsid w:val="00825DAB"/>
    <w:rsid w:val="00830265"/>
    <w:rsid w:val="008302E2"/>
    <w:rsid w:val="00831D54"/>
    <w:rsid w:val="0083304C"/>
    <w:rsid w:val="008331AB"/>
    <w:rsid w:val="00833334"/>
    <w:rsid w:val="008505C1"/>
    <w:rsid w:val="00855332"/>
    <w:rsid w:val="00862770"/>
    <w:rsid w:val="00865944"/>
    <w:rsid w:val="00865DD5"/>
    <w:rsid w:val="008667D1"/>
    <w:rsid w:val="00866A96"/>
    <w:rsid w:val="00867966"/>
    <w:rsid w:val="008706E6"/>
    <w:rsid w:val="00870F02"/>
    <w:rsid w:val="0087113B"/>
    <w:rsid w:val="0087293B"/>
    <w:rsid w:val="00874CC1"/>
    <w:rsid w:val="0087506B"/>
    <w:rsid w:val="0087569A"/>
    <w:rsid w:val="00876137"/>
    <w:rsid w:val="00877A40"/>
    <w:rsid w:val="00877B77"/>
    <w:rsid w:val="00880DC0"/>
    <w:rsid w:val="00881996"/>
    <w:rsid w:val="008819D0"/>
    <w:rsid w:val="00884493"/>
    <w:rsid w:val="008867D1"/>
    <w:rsid w:val="008872A2"/>
    <w:rsid w:val="0088780A"/>
    <w:rsid w:val="00890822"/>
    <w:rsid w:val="008911C3"/>
    <w:rsid w:val="00891BE2"/>
    <w:rsid w:val="00892DA6"/>
    <w:rsid w:val="00893305"/>
    <w:rsid w:val="00894F0D"/>
    <w:rsid w:val="008A4256"/>
    <w:rsid w:val="008A697B"/>
    <w:rsid w:val="008A6AC9"/>
    <w:rsid w:val="008B130E"/>
    <w:rsid w:val="008B1ACC"/>
    <w:rsid w:val="008B323B"/>
    <w:rsid w:val="008B4354"/>
    <w:rsid w:val="008B7276"/>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1B6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C6099"/>
    <w:rsid w:val="009D03C0"/>
    <w:rsid w:val="009D3FCE"/>
    <w:rsid w:val="009D57DD"/>
    <w:rsid w:val="009D5FCE"/>
    <w:rsid w:val="009D6A79"/>
    <w:rsid w:val="009E0F40"/>
    <w:rsid w:val="009E3031"/>
    <w:rsid w:val="009E33CD"/>
    <w:rsid w:val="009E41CA"/>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5171E"/>
    <w:rsid w:val="00A61222"/>
    <w:rsid w:val="00A613E9"/>
    <w:rsid w:val="00A61520"/>
    <w:rsid w:val="00A61E1B"/>
    <w:rsid w:val="00A6352C"/>
    <w:rsid w:val="00A64DD1"/>
    <w:rsid w:val="00A65144"/>
    <w:rsid w:val="00A67389"/>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053A"/>
    <w:rsid w:val="00AF2E9E"/>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6CAF"/>
    <w:rsid w:val="00B57D1B"/>
    <w:rsid w:val="00B636AD"/>
    <w:rsid w:val="00B70D54"/>
    <w:rsid w:val="00B74A3C"/>
    <w:rsid w:val="00B808BC"/>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06E"/>
    <w:rsid w:val="00BC6558"/>
    <w:rsid w:val="00BC7910"/>
    <w:rsid w:val="00BC7D2D"/>
    <w:rsid w:val="00BC7FB4"/>
    <w:rsid w:val="00BD0953"/>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B61"/>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3B8B"/>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6253"/>
    <w:rsid w:val="00DA7997"/>
    <w:rsid w:val="00DB16CA"/>
    <w:rsid w:val="00DB511E"/>
    <w:rsid w:val="00DB5BD5"/>
    <w:rsid w:val="00DB5FA5"/>
    <w:rsid w:val="00DC0995"/>
    <w:rsid w:val="00DC36C9"/>
    <w:rsid w:val="00DE14F1"/>
    <w:rsid w:val="00DE22E0"/>
    <w:rsid w:val="00DE419E"/>
    <w:rsid w:val="00DF6D15"/>
    <w:rsid w:val="00E00AF5"/>
    <w:rsid w:val="00E2143E"/>
    <w:rsid w:val="00E219FB"/>
    <w:rsid w:val="00E26958"/>
    <w:rsid w:val="00E31A1B"/>
    <w:rsid w:val="00E3288A"/>
    <w:rsid w:val="00E33677"/>
    <w:rsid w:val="00E34026"/>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6E5C"/>
    <w:rsid w:val="00EA7571"/>
    <w:rsid w:val="00EB4A91"/>
    <w:rsid w:val="00EC2012"/>
    <w:rsid w:val="00EC61DE"/>
    <w:rsid w:val="00EC632F"/>
    <w:rsid w:val="00ED2CE7"/>
    <w:rsid w:val="00ED2E65"/>
    <w:rsid w:val="00ED3225"/>
    <w:rsid w:val="00EE266D"/>
    <w:rsid w:val="00EF06B6"/>
    <w:rsid w:val="00EF4636"/>
    <w:rsid w:val="00EF584E"/>
    <w:rsid w:val="00EF69B9"/>
    <w:rsid w:val="00EF7DD2"/>
    <w:rsid w:val="00EF7DF0"/>
    <w:rsid w:val="00F00871"/>
    <w:rsid w:val="00F010EF"/>
    <w:rsid w:val="00F01766"/>
    <w:rsid w:val="00F045DF"/>
    <w:rsid w:val="00F046F6"/>
    <w:rsid w:val="00F05E67"/>
    <w:rsid w:val="00F0738F"/>
    <w:rsid w:val="00F07C42"/>
    <w:rsid w:val="00F07FD0"/>
    <w:rsid w:val="00F15249"/>
    <w:rsid w:val="00F20FC0"/>
    <w:rsid w:val="00F21260"/>
    <w:rsid w:val="00F236AD"/>
    <w:rsid w:val="00F245E9"/>
    <w:rsid w:val="00F24897"/>
    <w:rsid w:val="00F251B5"/>
    <w:rsid w:val="00F25ED7"/>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C5"/>
    <w:rsid w:val="00F736F5"/>
    <w:rsid w:val="00F75263"/>
    <w:rsid w:val="00F762BA"/>
    <w:rsid w:val="00F801CC"/>
    <w:rsid w:val="00F82094"/>
    <w:rsid w:val="00F8329D"/>
    <w:rsid w:val="00F83649"/>
    <w:rsid w:val="00F84012"/>
    <w:rsid w:val="00F916CD"/>
    <w:rsid w:val="00F94ABF"/>
    <w:rsid w:val="00FA0E5A"/>
    <w:rsid w:val="00FA3007"/>
    <w:rsid w:val="00FA725D"/>
    <w:rsid w:val="00FA7EFA"/>
    <w:rsid w:val="00FB004E"/>
    <w:rsid w:val="00FB2E6F"/>
    <w:rsid w:val="00FC059C"/>
    <w:rsid w:val="00FC1F4E"/>
    <w:rsid w:val="00FC498E"/>
    <w:rsid w:val="00FC4F09"/>
    <w:rsid w:val="00FC5ECC"/>
    <w:rsid w:val="00FC7400"/>
    <w:rsid w:val="00FD3B61"/>
    <w:rsid w:val="00FE00AE"/>
    <w:rsid w:val="00FE1ECE"/>
    <w:rsid w:val="00FE2020"/>
    <w:rsid w:val="00FE2F00"/>
    <w:rsid w:val="00FE3305"/>
    <w:rsid w:val="00FE3A96"/>
    <w:rsid w:val="00FE742B"/>
    <w:rsid w:val="00FF0323"/>
    <w:rsid w:val="00FF0E10"/>
    <w:rsid w:val="00FF19C5"/>
    <w:rsid w:val="00FF401D"/>
    <w:rsid w:val="00FF6D10"/>
    <w:rsid w:val="00FF6FBB"/>
    <w:rsid w:val="00FF7745"/>
    <w:rsid w:val="00FF7876"/>
    <w:rsid w:val="2FC36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after="260" w:line="413" w:lineRule="auto"/>
      <w:outlineLvl w:val="2"/>
    </w:pPr>
    <w:rPr>
      <w:rFonts w:eastAsia="宋体"/>
      <w:b/>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4"/>
    <w:semiHidden/>
    <w:unhideWhenUsed/>
    <w:uiPriority w:val="0"/>
    <w:pPr>
      <w:spacing w:after="120"/>
    </w:pPr>
  </w:style>
  <w:style w:type="paragraph" w:styleId="4">
    <w:name w:val="Body Text Indent"/>
    <w:basedOn w:val="1"/>
    <w:uiPriority w:val="0"/>
    <w:pPr>
      <w:ind w:firstLine="560" w:firstLineChars="200"/>
    </w:pPr>
    <w:rPr>
      <w:rFonts w:eastAsia="宋体"/>
      <w:sz w:val="28"/>
      <w:szCs w:val="24"/>
    </w:rPr>
  </w:style>
  <w:style w:type="paragraph" w:styleId="5">
    <w:name w:val="Date"/>
    <w:basedOn w:val="1"/>
    <w:next w:val="1"/>
    <w:link w:val="22"/>
    <w:uiPriority w:val="0"/>
    <w:pPr>
      <w:ind w:left="100" w:leftChars="2500"/>
    </w:p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方正仿宋"/>
      <w:szCs w:val="24"/>
    </w:rPr>
  </w:style>
  <w:style w:type="paragraph" w:customStyle="1" w:styleId="15">
    <w:name w:val="列出段落1"/>
    <w:basedOn w:val="1"/>
    <w:uiPriority w:val="0"/>
    <w:pPr>
      <w:ind w:firstLine="420" w:firstLineChars="200"/>
    </w:pPr>
    <w:rPr>
      <w:rFonts w:eastAsia="宋体"/>
      <w:sz w:val="21"/>
      <w:szCs w:val="24"/>
    </w:rPr>
  </w:style>
  <w:style w:type="paragraph" w:customStyle="1" w:styleId="16">
    <w:name w:val="_Style 8"/>
    <w:basedOn w:val="1"/>
    <w:uiPriority w:val="0"/>
    <w:pPr>
      <w:widowControl/>
      <w:spacing w:after="160" w:line="240" w:lineRule="exact"/>
      <w:jc w:val="left"/>
    </w:pPr>
    <w:rPr>
      <w:rFonts w:eastAsia="宋体"/>
      <w:sz w:val="21"/>
      <w:szCs w:val="24"/>
    </w:rPr>
  </w:style>
  <w:style w:type="paragraph" w:customStyle="1" w:styleId="17">
    <w:name w:val="Char Char Char Char"/>
    <w:basedOn w:val="1"/>
    <w:uiPriority w:val="0"/>
    <w:pPr>
      <w:widowControl/>
      <w:spacing w:after="160" w:line="240" w:lineRule="exact"/>
      <w:jc w:val="left"/>
    </w:pPr>
  </w:style>
  <w:style w:type="paragraph" w:customStyle="1" w:styleId="18">
    <w:name w:val="Char"/>
    <w:basedOn w:val="1"/>
    <w:uiPriority w:val="0"/>
    <w:pPr>
      <w:tabs>
        <w:tab w:val="left" w:pos="360"/>
      </w:tabs>
    </w:pPr>
    <w:rPr>
      <w:rFonts w:eastAsia="方正仿宋"/>
      <w:szCs w:val="24"/>
    </w:rPr>
  </w:style>
  <w:style w:type="paragraph" w:customStyle="1" w:styleId="19">
    <w:name w:val="Char1"/>
    <w:basedOn w:val="1"/>
    <w:uiPriority w:val="0"/>
    <w:pPr>
      <w:tabs>
        <w:tab w:val="left" w:pos="360"/>
      </w:tabs>
    </w:pPr>
    <w:rPr>
      <w:rFonts w:eastAsia="宋体"/>
      <w:sz w:val="21"/>
      <w:szCs w:val="24"/>
    </w:rPr>
  </w:style>
  <w:style w:type="paragraph" w:customStyle="1" w:styleId="20">
    <w:name w:val="列出段落11"/>
    <w:basedOn w:val="1"/>
    <w:uiPriority w:val="0"/>
    <w:pPr>
      <w:ind w:firstLine="420" w:firstLineChars="200"/>
    </w:pPr>
    <w:rPr>
      <w:rFonts w:ascii="Calibri" w:hAnsi="Calibri"/>
      <w:szCs w:val="22"/>
    </w:rPr>
  </w:style>
  <w:style w:type="paragraph" w:customStyle="1" w:styleId="21">
    <w:name w:val="UserStyle_4"/>
    <w:qFormat/>
    <w:uiPriority w:val="0"/>
    <w:pPr>
      <w:textAlignment w:val="baseline"/>
    </w:pPr>
    <w:rPr>
      <w:rFonts w:ascii="Helvetica" w:hAnsi="Helvetica" w:eastAsia="宋体" w:cs="Times New Roman"/>
      <w:color w:val="000000"/>
      <w:sz w:val="22"/>
      <w:szCs w:val="22"/>
      <w:lang w:val="en-US" w:eastAsia="zh-CN" w:bidi="ar-SA"/>
    </w:rPr>
  </w:style>
  <w:style w:type="character" w:customStyle="1" w:styleId="22">
    <w:name w:val="日期 字符"/>
    <w:link w:val="5"/>
    <w:uiPriority w:val="0"/>
    <w:rPr>
      <w:rFonts w:eastAsia="方正仿宋_GBK"/>
      <w:kern w:val="2"/>
      <w:sz w:val="32"/>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正文文本 字符"/>
    <w:basedOn w:val="12"/>
    <w:link w:val="3"/>
    <w:semiHidden/>
    <w:uiPriority w:val="0"/>
    <w:rPr>
      <w:rFonts w:eastAsia="方正仿宋_GBK"/>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14</Pages>
  <Words>777</Words>
  <Characters>4433</Characters>
  <Lines>36</Lines>
  <Paragraphs>10</Paragraphs>
  <TotalTime>461</TotalTime>
  <ScaleCrop>false</ScaleCrop>
  <LinksUpToDate>false</LinksUpToDate>
  <CharactersWithSpaces>5200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2024-07-10T09:19:00Z</dcterms:created>
  <dc:creator>微软中国</dc:creator>
  <cp:lastModifiedBy>杨倩怡</cp:lastModifiedBy>
  <cp:lastPrinted>2024-11-22T06:10:00Z</cp:lastPrinted>
  <dcterms:modified xsi:type="dcterms:W3CDTF">2025-03-14T06:55:38Z</dcterms:modified>
  <dc:title>（来文单位：□□□□）</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