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0" w:lineRule="exact"/>
        <w:jc w:val="both"/>
        <w:textAlignment w:val="auto"/>
        <w:rPr>
          <w:rFonts w:hint="eastAsia" w:ascii="Times New Roman" w:hAnsi="Times New Roman" w:eastAsia="方正小标宋_GBK" w:cs="方正小标宋_GBK"/>
          <w:kern w:val="11"/>
          <w:sz w:val="44"/>
          <w:szCs w:val="44"/>
        </w:rPr>
      </w:pPr>
      <w:bookmarkStart w:id="3" w:name="_GoBack"/>
      <w:bookmarkEnd w:id="3"/>
      <w:bookmarkStart w:id="0" w:name="_Hlk37239649"/>
      <w:bookmarkEnd w:id="0"/>
      <w:r>
        <w:rPr>
          <w:rFonts w:hint="eastAsia"/>
        </w:rPr>
        <w:pict>
          <v:shape id="_x0000_s2050" o:spid="_x0000_s2050" o:spt="136" type="#_x0000_t136" style="position:absolute;left:0pt;margin-left:13.55pt;margin-top:220.3pt;height:56.7pt;width:416.7pt;mso-position-horizontal-relative:margin;mso-position-vertical-relative:page;z-index:251660288;mso-width-relative:page;mso-height-relative:page;" fillcolor="#ED1C24" filled="t" stroked="t" coordsize="21600,21600">
            <v:path/>
            <v:fill on="t" focussize="0,0"/>
            <v:stroke color="#ED1C24"/>
            <v:imagedata o:title=""/>
            <o:lock v:ext="edit"/>
            <v:textpath on="t" fitshape="t" fitpath="t" trim="t" xscale="f" string="重庆市渝北区商务委员会文件" style="font-family:方正小标宋_GBK;font-size:36pt;v-rotate-letters:f;v-same-letter-heights:f;v-text-align:center;"/>
          </v:shape>
        </w:pict>
      </w:r>
    </w:p>
    <w:p>
      <w:pPr>
        <w:keepNext w:val="0"/>
        <w:keepLines w:val="0"/>
        <w:pageBreakBefore w:val="0"/>
        <w:widowControl w:val="0"/>
        <w:kinsoku/>
        <w:wordWrap/>
        <w:overflowPunct/>
        <w:topLinePunct w:val="0"/>
        <w:autoSpaceDE/>
        <w:bidi w:val="0"/>
        <w:adjustRightInd/>
        <w:spacing w:line="560" w:lineRule="exact"/>
        <w:jc w:val="center"/>
        <w:rPr>
          <w:rFonts w:ascii="Times New Roman" w:hAnsi="Times New Roman" w:eastAsia="方正小标宋_GBK" w:cs="Times New Roman"/>
          <w:sz w:val="44"/>
          <w:szCs w:val="44"/>
        </w:rPr>
      </w:pPr>
      <w:r>
        <w:rPr>
          <w:rFonts w:hint="eastAsia" w:ascii="方正仿宋_GBK" w:eastAsia="方正仿宋_GBK"/>
          <w:sz w:val="32"/>
          <w:szCs w:val="32"/>
        </w:rPr>
        <w:t>渝北商〔20</w:t>
      </w:r>
      <w:r>
        <w:rPr>
          <w:rFonts w:hint="eastAsia" w:ascii="方正仿宋_GBK" w:eastAsia="方正仿宋_GBK"/>
          <w:sz w:val="32"/>
          <w:szCs w:val="32"/>
          <w:lang w:val="en-US" w:eastAsia="zh-CN"/>
        </w:rPr>
        <w:t>24</w:t>
      </w:r>
      <w:r>
        <w:rPr>
          <w:rFonts w:hint="eastAsia" w:ascii="方正仿宋_GBK" w:eastAsia="方正仿宋_GBK"/>
          <w:sz w:val="32"/>
          <w:szCs w:val="32"/>
        </w:rPr>
        <w:t>〕</w:t>
      </w:r>
      <w:r>
        <w:rPr>
          <w:rFonts w:hint="eastAsia" w:ascii="方正仿宋_GBK" w:eastAsia="方正仿宋_GBK"/>
          <w:sz w:val="32"/>
          <w:szCs w:val="32"/>
          <w:lang w:val="en-US" w:eastAsia="zh-CN"/>
        </w:rPr>
        <w:t>18</w:t>
      </w:r>
      <w:r>
        <w:rPr>
          <w:rFonts w:hint="eastAsia" w:ascii="方正仿宋_GBK" w:eastAsia="方正仿宋_GBK"/>
          <w:sz w:val="32"/>
          <w:szCs w:val="32"/>
        </w:rPr>
        <w:t>号</w:t>
      </w:r>
    </w:p>
    <w:p>
      <w:pPr>
        <w:keepNext w:val="0"/>
        <w:keepLines w:val="0"/>
        <w:pageBreakBefore w:val="0"/>
        <w:widowControl w:val="0"/>
        <w:kinsoku/>
        <w:wordWrap/>
        <w:overflowPunct/>
        <w:topLinePunct w:val="0"/>
        <w:autoSpaceDE/>
        <w:bidi w:val="0"/>
        <w:adjustRightInd/>
        <w:spacing w:line="560" w:lineRule="exact"/>
        <w:jc w:val="center"/>
        <w:rPr>
          <w:rFonts w:ascii="Times New Roman" w:hAnsi="Times New Roman" w:eastAsia="方正小标宋_GBK" w:cs="Times New Roman"/>
          <w:sz w:val="44"/>
          <w:szCs w:val="44"/>
        </w:rPr>
      </w:pPr>
      <w:r>
        <w:rPr>
          <w:rFonts w:hint="eastAsia"/>
        </w:rPr>
        <w:pict>
          <v:shape id="直接箭头连接符 15" o:spid="_x0000_s2051" o:spt="32" type="#_x0000_t32" style="position:absolute;left:0pt;margin-left:-5.5pt;margin-top:8.7pt;height:0pt;width:454.5pt;z-index:251661312;mso-width-relative:page;mso-height-relative:page;" filled="f" stroked="t" coordsize="21600,21600" o:gfxdata="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7pZ1y1QAAAAkBAAAPAAAAAAAA&#10;AAEAIAAAACIAAABkcnMvZG93bnJldi54bWxQSwECFAAUAAAACACHTuJA1ALsIRUCAAAIBAAADgAA&#10;AAAAAAABACAAAAAkAQAAZHJzL2Uyb0RvYy54bWxQSwUGAAAAAAYABgBZAQAAqwUAAAAA&#10;">
            <v:path arrowok="t"/>
            <v:fill on="f" focussize="0,0"/>
            <v:stroke weight="1.5pt" color="#ED1C24" joinstyle="round"/>
            <v:imagedata o:title=""/>
            <o:lock v:ext="edit" aspectratio="f"/>
          </v:shape>
        </w:pict>
      </w:r>
    </w:p>
    <w:p>
      <w:pPr>
        <w:keepNext w:val="0"/>
        <w:keepLines w:val="0"/>
        <w:pageBreakBefore w:val="0"/>
        <w:widowControl w:val="0"/>
        <w:kinsoku/>
        <w:wordWrap/>
        <w:overflowPunct/>
        <w:topLinePunct w:val="0"/>
        <w:autoSpaceDE/>
        <w:bidi w:val="0"/>
        <w:adjustRightInd/>
        <w:spacing w:line="560" w:lineRule="exact"/>
        <w:jc w:val="center"/>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bidi w:val="0"/>
        <w:adjustRightInd/>
        <w:spacing w:line="560" w:lineRule="exact"/>
        <w:jc w:val="center"/>
        <w:rPr>
          <w:rFonts w:hint="default" w:ascii="Times New Roman" w:hAnsi="Times New Roman" w:eastAsia="方正小标宋_GBK" w:cs="Times New Roman"/>
          <w:sz w:val="44"/>
          <w:szCs w:val="44"/>
          <w:lang w:val="en-US" w:eastAsia="zh-CN"/>
        </w:rPr>
      </w:pPr>
      <w:r>
        <w:rPr>
          <w:rFonts w:ascii="Times New Roman" w:hAnsi="Times New Roman" w:eastAsia="方正小标宋_GBK" w:cs="Times New Roman"/>
          <w:sz w:val="44"/>
          <w:szCs w:val="44"/>
        </w:rPr>
        <w:t>重庆市渝北区</w:t>
      </w:r>
      <w:r>
        <w:rPr>
          <w:rFonts w:hint="eastAsia" w:ascii="Times New Roman" w:hAnsi="Times New Roman" w:eastAsia="方正小标宋_GBK" w:cs="Times New Roman"/>
          <w:sz w:val="44"/>
          <w:szCs w:val="44"/>
          <w:lang w:val="en-US" w:eastAsia="zh-CN"/>
        </w:rPr>
        <w:t>商务委员会</w:t>
      </w:r>
    </w:p>
    <w:p>
      <w:pPr>
        <w:keepNext w:val="0"/>
        <w:keepLines w:val="0"/>
        <w:pageBreakBefore w:val="0"/>
        <w:widowControl w:val="0"/>
        <w:kinsoku/>
        <w:wordWrap/>
        <w:overflowPunct/>
        <w:topLinePunct w:val="0"/>
        <w:autoSpaceDE/>
        <w:bidi w:val="0"/>
        <w:adjustRightInd/>
        <w:spacing w:line="560" w:lineRule="exact"/>
        <w:jc w:val="center"/>
        <w:rPr>
          <w:rFonts w:hint="eastAsia"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关于印发</w:t>
      </w:r>
      <w:r>
        <w:rPr>
          <w:rFonts w:hint="eastAsia" w:ascii="Times New Roman" w:hAnsi="Times New Roman" w:eastAsia="方正小标宋_GBK" w:cs="Times New Roman"/>
          <w:bCs/>
          <w:sz w:val="44"/>
          <w:szCs w:val="44"/>
          <w:lang w:val="en-US" w:eastAsia="zh-CN"/>
        </w:rPr>
        <w:t>2024</w:t>
      </w:r>
      <w:r>
        <w:rPr>
          <w:rFonts w:hint="eastAsia" w:ascii="Times New Roman" w:hAnsi="Times New Roman" w:eastAsia="方正小标宋_GBK" w:cs="Times New Roman"/>
          <w:bCs/>
          <w:sz w:val="44"/>
          <w:szCs w:val="44"/>
        </w:rPr>
        <w:t>年渝北区商务工作要点的通知</w:t>
      </w:r>
    </w:p>
    <w:p>
      <w:pPr>
        <w:keepNext w:val="0"/>
        <w:keepLines w:val="0"/>
        <w:pageBreakBefore w:val="0"/>
        <w:widowControl w:val="0"/>
        <w:kinsoku/>
        <w:wordWrap/>
        <w:overflowPunct/>
        <w:topLinePunct w:val="0"/>
        <w:autoSpaceDE/>
        <w:bidi w:val="0"/>
        <w:adjustRightInd/>
        <w:spacing w:line="560" w:lineRule="exact"/>
        <w:jc w:val="center"/>
        <w:rPr>
          <w:rFonts w:hint="eastAsia" w:ascii="Times New Roman" w:hAnsi="Times New Roman" w:eastAsia="方正楷体_GBK" w:cs="方正楷体_GBK"/>
          <w:sz w:val="32"/>
          <w:szCs w:val="32"/>
        </w:rPr>
      </w:pPr>
    </w:p>
    <w:p>
      <w:pPr>
        <w:keepNext w:val="0"/>
        <w:keepLines w:val="0"/>
        <w:pageBreakBefore w:val="0"/>
        <w:widowControl w:val="0"/>
        <w:kinsoku/>
        <w:wordWrap/>
        <w:overflowPunct/>
        <w:topLinePunct w:val="0"/>
        <w:autoSpaceDE/>
        <w:bidi w:val="0"/>
        <w:adjustRightInd/>
        <w:spacing w:line="560" w:lineRule="exact"/>
        <w:jc w:val="left"/>
        <w:rPr>
          <w:rFonts w:hint="eastAsia"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各镇人民政府，区政府各部门，各街道办事处，区属各国有公司，有关单位：</w:t>
      </w:r>
    </w:p>
    <w:p>
      <w:pPr>
        <w:keepNext w:val="0"/>
        <w:keepLines w:val="0"/>
        <w:pageBreakBefore w:val="0"/>
        <w:widowControl w:val="0"/>
        <w:kinsoku/>
        <w:wordWrap/>
        <w:overflowPunct/>
        <w:topLinePunct w:val="0"/>
        <w:autoSpaceDE/>
        <w:bidi w:val="0"/>
        <w:adjustRightInd/>
        <w:spacing w:line="560" w:lineRule="exact"/>
        <w:ind w:firstLine="640" w:firstLineChars="200"/>
        <w:rPr>
          <w:rFonts w:hint="eastAsia" w:ascii="Times New Roman" w:hAnsi="Times New Roman" w:eastAsia="宋体" w:cs="Times New Roman"/>
          <w:sz w:val="21"/>
          <w:szCs w:val="21"/>
        </w:rPr>
      </w:pPr>
      <w:r>
        <w:rPr>
          <w:rFonts w:hint="eastAsia" w:ascii="Times New Roman" w:hAnsi="Times New Roman" w:eastAsia="方正仿宋_GBK" w:cs="宋体"/>
          <w:color w:val="000000"/>
          <w:kern w:val="0"/>
          <w:sz w:val="32"/>
          <w:szCs w:val="32"/>
        </w:rPr>
        <w:t>经区政府同意，现将《20</w:t>
      </w:r>
      <w:r>
        <w:rPr>
          <w:rFonts w:hint="eastAsia" w:ascii="Times New Roman" w:hAnsi="Times New Roman" w:eastAsia="方正仿宋_GBK" w:cs="宋体"/>
          <w:color w:val="000000"/>
          <w:kern w:val="0"/>
          <w:sz w:val="32"/>
          <w:szCs w:val="32"/>
          <w:lang w:val="en-US" w:eastAsia="zh-CN"/>
        </w:rPr>
        <w:t>24</w:t>
      </w:r>
      <w:r>
        <w:rPr>
          <w:rFonts w:hint="eastAsia" w:ascii="Times New Roman" w:hAnsi="Times New Roman" w:eastAsia="方正仿宋_GBK" w:cs="宋体"/>
          <w:color w:val="000000"/>
          <w:kern w:val="0"/>
          <w:sz w:val="32"/>
          <w:szCs w:val="32"/>
        </w:rPr>
        <w:t>年渝北区商务工作要点》印发给你们，请</w:t>
      </w:r>
      <w:r>
        <w:rPr>
          <w:rFonts w:hint="eastAsia" w:ascii="Times New Roman" w:hAnsi="Times New Roman" w:eastAsia="方正仿宋_GBK" w:cs="宋体"/>
          <w:color w:val="000000"/>
          <w:kern w:val="0"/>
          <w:sz w:val="32"/>
          <w:szCs w:val="32"/>
          <w:lang w:val="en-US" w:eastAsia="zh-CN"/>
        </w:rPr>
        <w:t>结合实际抓</w:t>
      </w:r>
      <w:r>
        <w:rPr>
          <w:rFonts w:hint="eastAsia" w:ascii="Times New Roman" w:hAnsi="Times New Roman" w:eastAsia="方正仿宋_GBK" w:cs="宋体"/>
          <w:color w:val="000000"/>
          <w:kern w:val="0"/>
          <w:sz w:val="32"/>
          <w:szCs w:val="32"/>
        </w:rPr>
        <w:t>好</w:t>
      </w:r>
      <w:r>
        <w:rPr>
          <w:rFonts w:hint="eastAsia" w:ascii="Times New Roman" w:hAnsi="Times New Roman" w:eastAsia="方正仿宋_GBK" w:cs="宋体"/>
          <w:color w:val="000000"/>
          <w:kern w:val="0"/>
          <w:sz w:val="32"/>
          <w:szCs w:val="32"/>
          <w:lang w:val="en-US" w:eastAsia="zh-CN"/>
        </w:rPr>
        <w:t>贯彻</w:t>
      </w:r>
      <w:r>
        <w:rPr>
          <w:rFonts w:hint="eastAsia" w:ascii="Times New Roman" w:hAnsi="Times New Roman" w:eastAsia="方正仿宋_GBK" w:cs="宋体"/>
          <w:color w:val="000000"/>
          <w:kern w:val="0"/>
          <w:sz w:val="32"/>
          <w:szCs w:val="32"/>
        </w:rPr>
        <w:t>落实。</w:t>
      </w:r>
    </w:p>
    <w:p>
      <w:pPr>
        <w:keepNext w:val="0"/>
        <w:keepLines w:val="0"/>
        <w:pageBreakBefore w:val="0"/>
        <w:widowControl w:val="0"/>
        <w:shd w:val="clear" w:color="auto" w:fill="FFFFFF"/>
        <w:kinsoku/>
        <w:wordWrap/>
        <w:overflowPunct/>
        <w:topLinePunct w:val="0"/>
        <w:autoSpaceDE/>
        <w:autoSpaceDN w:val="0"/>
        <w:bidi w:val="0"/>
        <w:adjustRightInd/>
        <w:spacing w:line="560" w:lineRule="exact"/>
        <w:ind w:firstLine="640" w:firstLineChars="200"/>
        <w:rPr>
          <w:rFonts w:hint="eastAsia" w:ascii="Times New Roman" w:hAnsi="Times New Roman" w:eastAsia="方正仿宋_GBK" w:cs="Andalus"/>
          <w:color w:val="000000"/>
          <w:sz w:val="32"/>
          <w:szCs w:val="32"/>
          <w:shd w:val="clear" w:color="auto" w:fill="FFFFFF"/>
        </w:rPr>
      </w:pPr>
      <w:r>
        <w:rPr>
          <w:rFonts w:hint="eastAsia" w:ascii="Times New Roman" w:hAnsi="Times New Roman" w:eastAsia="方正仿宋_GBK" w:cs="Andalus"/>
          <w:color w:val="000000"/>
          <w:sz w:val="32"/>
          <w:szCs w:val="32"/>
          <w:shd w:val="clear" w:color="auto" w:fill="FFFFFF"/>
        </w:rPr>
        <w:t xml:space="preserve"> </w:t>
      </w:r>
    </w:p>
    <w:p>
      <w:pPr>
        <w:keepNext w:val="0"/>
        <w:keepLines w:val="0"/>
        <w:pageBreakBefore w:val="0"/>
        <w:widowControl w:val="0"/>
        <w:shd w:val="clear" w:color="auto" w:fill="FFFFFF"/>
        <w:kinsoku/>
        <w:wordWrap/>
        <w:overflowPunct/>
        <w:topLinePunct w:val="0"/>
        <w:autoSpaceDE/>
        <w:autoSpaceDN w:val="0"/>
        <w:bidi w:val="0"/>
        <w:adjustRightInd/>
        <w:spacing w:line="560" w:lineRule="exact"/>
        <w:ind w:firstLine="640" w:firstLineChars="200"/>
        <w:rPr>
          <w:rFonts w:hint="eastAsia" w:ascii="Times New Roman" w:hAnsi="Times New Roman" w:eastAsia="方正仿宋_GBK" w:cs="Andalus"/>
          <w:color w:val="000000"/>
          <w:sz w:val="32"/>
          <w:szCs w:val="32"/>
          <w:shd w:val="clear" w:color="auto" w:fill="FFFFFF"/>
        </w:rPr>
      </w:pPr>
      <w:r>
        <w:rPr>
          <w:rFonts w:hint="eastAsia" w:ascii="Times New Roman" w:hAnsi="Times New Roman" w:eastAsia="方正仿宋_GBK" w:cs="Andalus"/>
          <w:color w:val="000000"/>
          <w:sz w:val="32"/>
          <w:szCs w:val="32"/>
          <w:shd w:val="clear" w:color="auto" w:fill="FFFFFF"/>
        </w:rPr>
        <w:t xml:space="preserve"> </w:t>
      </w:r>
    </w:p>
    <w:p>
      <w:pPr>
        <w:keepNext w:val="0"/>
        <w:keepLines w:val="0"/>
        <w:pageBreakBefore w:val="0"/>
        <w:widowControl w:val="0"/>
        <w:shd w:val="clear" w:color="auto" w:fill="FFFFFF"/>
        <w:kinsoku/>
        <w:wordWrap/>
        <w:overflowPunct/>
        <w:topLinePunct w:val="0"/>
        <w:autoSpaceDE/>
        <w:autoSpaceDN w:val="0"/>
        <w:bidi w:val="0"/>
        <w:adjustRightInd/>
        <w:spacing w:line="560" w:lineRule="exact"/>
        <w:ind w:firstLine="640" w:firstLineChars="200"/>
        <w:rPr>
          <w:rFonts w:hint="default" w:ascii="Times New Roman" w:hAnsi="Times New Roman" w:eastAsia="方正仿宋_GBK" w:cs="Andalus"/>
          <w:color w:val="000000"/>
          <w:sz w:val="32"/>
          <w:szCs w:val="32"/>
          <w:shd w:val="clear" w:color="auto" w:fill="FFFFFF"/>
          <w:lang w:val="en-US" w:eastAsia="zh-CN"/>
        </w:rPr>
      </w:pPr>
      <w:r>
        <w:rPr>
          <w:rFonts w:hint="eastAsia" w:ascii="Times New Roman" w:hAnsi="Times New Roman" w:eastAsia="方正仿宋_GBK" w:cs="Andalus"/>
          <w:color w:val="000000"/>
          <w:sz w:val="32"/>
          <w:szCs w:val="32"/>
          <w:shd w:val="clear" w:color="auto" w:fill="FFFFFF"/>
        </w:rPr>
        <w:t xml:space="preserve">                      </w:t>
      </w:r>
      <w:r>
        <w:rPr>
          <w:rFonts w:hint="eastAsia" w:ascii="Times New Roman" w:hAnsi="Times New Roman" w:eastAsia="方正仿宋_GBK" w:cs="Andalus"/>
          <w:color w:val="000000"/>
          <w:sz w:val="32"/>
          <w:szCs w:val="32"/>
          <w:shd w:val="clear" w:color="auto" w:fill="FFFFFF"/>
          <w:lang w:val="en-US" w:eastAsia="zh-CN"/>
        </w:rPr>
        <w:t xml:space="preserve">   </w:t>
      </w:r>
      <w:r>
        <w:rPr>
          <w:rFonts w:hint="eastAsia" w:ascii="Times New Roman" w:hAnsi="Times New Roman" w:eastAsia="方正仿宋_GBK" w:cs="Andalus"/>
          <w:color w:val="000000"/>
          <w:sz w:val="32"/>
          <w:szCs w:val="32"/>
          <w:shd w:val="clear" w:color="auto" w:fill="FFFFFF"/>
        </w:rPr>
        <w:t>重庆市</w:t>
      </w:r>
      <w:r>
        <w:rPr>
          <w:rFonts w:hint="eastAsia" w:ascii="Times New Roman" w:hAnsi="Times New Roman" w:eastAsia="方正仿宋_GBK" w:cs="Andalus"/>
          <w:color w:val="000000"/>
          <w:sz w:val="32"/>
          <w:szCs w:val="32"/>
          <w:shd w:val="clear" w:color="auto" w:fill="FFFFFF"/>
          <w:lang w:val="en-US" w:eastAsia="zh-CN"/>
        </w:rPr>
        <w:t>渝北区商务委员会</w:t>
      </w:r>
    </w:p>
    <w:p>
      <w:pPr>
        <w:keepNext w:val="0"/>
        <w:keepLines w:val="0"/>
        <w:pageBreakBefore w:val="0"/>
        <w:widowControl w:val="0"/>
        <w:kinsoku/>
        <w:wordWrap/>
        <w:overflowPunct/>
        <w:topLinePunct w:val="0"/>
        <w:autoSpaceDE/>
        <w:bidi w:val="0"/>
        <w:adjustRightInd/>
        <w:spacing w:line="560" w:lineRule="exact"/>
        <w:ind w:right="840" w:rightChars="400" w:firstLine="640" w:firstLineChars="200"/>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24</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bidi w:val="0"/>
        <w:adjustRightInd/>
        <w:snapToGrid/>
        <w:spacing w:line="560" w:lineRule="exact"/>
        <w:jc w:val="both"/>
        <w:textAlignment w:val="auto"/>
        <w:rPr>
          <w:rFonts w:hint="eastAsia" w:ascii="Times New Roman" w:hAnsi="Times New Roman" w:eastAsia="方正小标宋_GBK" w:cs="方正小标宋_GBK"/>
          <w:kern w:val="11"/>
          <w:sz w:val="44"/>
          <w:szCs w:val="44"/>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Times New Roman" w:hAnsi="Times New Roman" w:eastAsia="方正小标宋_GBK" w:cs="方正小标宋_GBK"/>
          <w:kern w:val="11"/>
          <w:sz w:val="44"/>
          <w:szCs w:val="44"/>
        </w:rPr>
      </w:pPr>
      <w:r>
        <w:rPr>
          <w:rFonts w:hint="eastAsia" w:ascii="Times New Roman" w:hAnsi="Times New Roman" w:eastAsia="方正小标宋_GBK" w:cs="方正小标宋_GBK"/>
          <w:kern w:val="11"/>
          <w:sz w:val="44"/>
          <w:szCs w:val="44"/>
        </w:rPr>
        <w:t>20</w:t>
      </w:r>
      <w:r>
        <w:rPr>
          <w:rFonts w:hint="eastAsia" w:ascii="Times New Roman" w:hAnsi="Times New Roman" w:eastAsia="方正小标宋_GBK" w:cs="方正小标宋_GBK"/>
          <w:kern w:val="11"/>
          <w:sz w:val="44"/>
          <w:szCs w:val="44"/>
          <w:lang w:val="en-US" w:eastAsia="zh-CN"/>
        </w:rPr>
        <w:t>24</w:t>
      </w:r>
      <w:r>
        <w:rPr>
          <w:rFonts w:hint="eastAsia" w:ascii="Times New Roman" w:hAnsi="方正小标宋_GBK" w:eastAsia="方正小标宋_GBK" w:cs="方正小标宋_GBK"/>
          <w:kern w:val="11"/>
          <w:sz w:val="44"/>
          <w:szCs w:val="44"/>
        </w:rPr>
        <w:t>年渝北区商务工作要点</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bookmarkStart w:id="1" w:name="_Hlk59813120"/>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2024年，是全面贯彻落实党的二十大精神的关键之年，是实现“十四五”规划目标的冲刺之年。全区商务工作</w:t>
      </w:r>
      <w:r>
        <w:rPr>
          <w:rFonts w:hint="eastAsia" w:ascii="方正黑体_GBK" w:hAnsi="方正黑体_GBK" w:eastAsia="方正黑体_GBK" w:cs="方正黑体_GBK"/>
          <w:color w:val="000000"/>
          <w:sz w:val="32"/>
          <w:szCs w:val="32"/>
          <w:lang w:val="en-US" w:eastAsia="zh-CN"/>
        </w:rPr>
        <w:t>总体要求</w:t>
      </w:r>
      <w:r>
        <w:rPr>
          <w:rFonts w:hint="eastAsia" w:ascii="方正仿宋_GBK" w:hAnsi="方正仿宋_GBK" w:eastAsia="方正仿宋_GBK" w:cs="方正仿宋_GBK"/>
          <w:color w:val="000000"/>
          <w:sz w:val="32"/>
          <w:szCs w:val="32"/>
          <w:lang w:val="en-US" w:eastAsia="zh-CN"/>
        </w:rPr>
        <w:t>是：坚持以习近平新时代中国特色社会主义思想为指引，全面贯彻党的二十大、二十届二中全会精神，认真贯彻落实区委、区政府总体工作部署，坚持稳中求进工作总基调，完整、准确、全面贯彻新发展理念，积极服务和融入新发展格局，围绕“国际消费中心区”“空港型国家物流枢纽”建设，用好自贸、中新、服务业扩大开放等开放政策优势，推动消费升级、释放外贸潜力、稳定外资规模，推动商务经济质的有效提升和量的合理增长。</w:t>
      </w:r>
      <w:r>
        <w:rPr>
          <w:rFonts w:hint="eastAsia" w:ascii="方正黑体_GBK" w:hAnsi="方正黑体_GBK" w:eastAsia="方正黑体_GBK" w:cs="方正黑体_GBK"/>
          <w:color w:val="000000"/>
          <w:sz w:val="32"/>
          <w:szCs w:val="32"/>
          <w:lang w:val="en-US" w:eastAsia="zh-CN"/>
        </w:rPr>
        <w:t>发展目标</w:t>
      </w:r>
      <w:r>
        <w:rPr>
          <w:rFonts w:hint="eastAsia" w:ascii="方正仿宋_GBK" w:hAnsi="方正仿宋_GBK" w:eastAsia="方正仿宋_GBK" w:cs="方正仿宋_GBK"/>
          <w:color w:val="000000"/>
          <w:sz w:val="32"/>
          <w:szCs w:val="32"/>
          <w:lang w:val="en-US" w:eastAsia="zh-CN"/>
        </w:rPr>
        <w:t>是：全区社会消费品零售总额增长8%；进出口总额1660亿元；实际使用外资3亿美元。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一、聚力国际消费中心区建设，推动消费能级提质扩容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lang w:val="en-US" w:eastAsia="zh-CN"/>
        </w:rPr>
        <w:t>（一）培育建设国际消费中心区。</w:t>
      </w:r>
      <w:r>
        <w:rPr>
          <w:rFonts w:hint="eastAsia" w:ascii="方正仿宋_GBK" w:hAnsi="方正仿宋_GBK" w:eastAsia="方正仿宋_GBK" w:cs="方正仿宋_GBK"/>
          <w:color w:val="000000"/>
          <w:sz w:val="32"/>
          <w:szCs w:val="32"/>
          <w:lang w:val="en-US" w:eastAsia="zh-CN"/>
        </w:rPr>
        <w:t>发挥试点示范引领带动作用，聚力推动商圈、购物中心、特色街区等商业载体发展，引育一批消费新载体、新业态、新场景。开展镇街“国际消费中心聚集区”试点示范创建，评选一批“国际美食集聚地”“夜间经济示范场景”“城市商业新地标”等示范单位，打造国际消费中心区城市新标杆。大力发展“四首经济”，策划开展</w:t>
      </w:r>
      <w:r>
        <w:rPr>
          <w:rFonts w:hint="eastAsia" w:ascii="方正仿宋_GBK" w:hAnsi="方正仿宋_GBK" w:eastAsia="方正仿宋_GBK" w:cs="方正仿宋_GBK"/>
          <w:color w:val="000000"/>
          <w:sz w:val="32"/>
          <w:szCs w:val="32"/>
          <w:lang w:val="zh-TW" w:eastAsia="zh-TW"/>
        </w:rPr>
        <w:t>“</w:t>
      </w:r>
      <w:r>
        <w:rPr>
          <w:rFonts w:hint="eastAsia" w:ascii="方正仿宋_GBK" w:hAnsi="方正仿宋_GBK" w:eastAsia="方正仿宋_GBK" w:cs="方正仿宋_GBK"/>
          <w:color w:val="000000"/>
          <w:sz w:val="32"/>
          <w:szCs w:val="32"/>
          <w:lang w:val="en-US" w:eastAsia="zh-CN"/>
        </w:rPr>
        <w:t>渝北区</w:t>
      </w:r>
      <w:r>
        <w:rPr>
          <w:rFonts w:hint="eastAsia" w:ascii="方正仿宋_GBK" w:hAnsi="方正仿宋_GBK" w:eastAsia="方正仿宋_GBK" w:cs="方正仿宋_GBK"/>
          <w:color w:val="000000"/>
          <w:sz w:val="32"/>
          <w:szCs w:val="32"/>
          <w:lang w:val="zh-TW" w:eastAsia="zh-TW"/>
        </w:rPr>
        <w:t>100强首店引育行动”</w:t>
      </w:r>
      <w:r>
        <w:rPr>
          <w:rFonts w:hint="eastAsia" w:ascii="方正仿宋_GBK" w:hAnsi="方正仿宋_GBK" w:eastAsia="方正仿宋_GBK" w:cs="方正仿宋_GBK"/>
          <w:color w:val="000000"/>
          <w:sz w:val="32"/>
          <w:szCs w:val="32"/>
          <w:lang w:val="zh-TW" w:eastAsia="zh-CN"/>
        </w:rPr>
        <w:t>，</w:t>
      </w:r>
      <w:r>
        <w:rPr>
          <w:rFonts w:hint="eastAsia" w:ascii="方正仿宋_GBK" w:hAnsi="方正仿宋_GBK" w:eastAsia="方正仿宋_GBK" w:cs="方正仿宋_GBK"/>
          <w:color w:val="000000"/>
          <w:sz w:val="32"/>
          <w:szCs w:val="32"/>
          <w:lang w:val="en-US" w:eastAsia="zh-CN"/>
        </w:rPr>
        <w:t>建立首店首牌招引名录库，举办“渝北品牌首店推新会”“渝北优质首店品牌评选”“首发首秀首展时尚发布”等活动，新开品牌首店30家以上。策划开展营销宣传活动，宣传展示渝北消费魅力，营造浓厚氛围。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大力开展</w:t>
      </w:r>
      <w:r>
        <w:rPr>
          <w:rFonts w:hint="eastAsia" w:ascii="方正楷体_GBK" w:hAnsi="方正楷体_GBK" w:eastAsia="方正楷体_GBK" w:cs="方正楷体_GBK"/>
          <w:sz w:val="32"/>
          <w:szCs w:val="32"/>
          <w:lang w:eastAsia="zh-CN"/>
        </w:rPr>
        <w:t>消费</w:t>
      </w:r>
      <w:r>
        <w:rPr>
          <w:rFonts w:hint="eastAsia" w:ascii="方正楷体_GBK" w:hAnsi="方正楷体_GBK" w:eastAsia="方正楷体_GBK" w:cs="方正楷体_GBK"/>
          <w:sz w:val="32"/>
          <w:szCs w:val="32"/>
          <w:lang w:val="en-US" w:eastAsia="zh-CN"/>
        </w:rPr>
        <w:t>促进活动</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color w:val="000000"/>
          <w:sz w:val="32"/>
          <w:szCs w:val="32"/>
          <w:lang w:val="en-US" w:eastAsia="zh-CN"/>
        </w:rPr>
        <w:t>以“重庆第一站·渝北欢迎您”为全年主题，筹划举办中央公园生活节、一带一路商品展、不夜渝北生活节、中央公园潮玩嗨购节等10个节庆活动，支持镇街举办“樱花节”“梨花节”等形式多样的N个节会，打造“1+10+N”消费节会体系，进一步活跃消费氛围。支持西南国际汽贸城建设，鼓励新能源汽车消费，引导汽车销售公司开展品牌营销、参加大型会展，开展节日促销、周边巡展等活动，大力提振汽车消费。发挥悦来国际会展城在区优势，推动“会展+产业”协同发展，加快培育悦来、中央公园片区住宿、购物、休闲、娱乐等业态，力争2024年实现会展直接收入28亿元，拉动消费260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sz w:val="32"/>
          <w:szCs w:val="32"/>
          <w:lang w:val="en-US" w:eastAsia="zh-CN"/>
        </w:rPr>
        <w:t>（三）丰富消费业态场景。</w:t>
      </w:r>
      <w:r>
        <w:rPr>
          <w:rFonts w:hint="eastAsia" w:ascii="方正仿宋_GBK" w:hAnsi="方正仿宋_GBK" w:eastAsia="方正仿宋_GBK" w:cs="方正仿宋_GBK"/>
          <w:color w:val="000000"/>
          <w:sz w:val="32"/>
          <w:szCs w:val="32"/>
          <w:lang w:val="en-US" w:eastAsia="zh-CN"/>
        </w:rPr>
        <w:t>探索成立大型商业综合体企业联盟，推动全产业链融通、市场资源共享、投资融资便利等深度融合，引领企业抱团发展。突出中央公园商圈打造，强化整体营销、优化业态布局，努力将其打造成为具有全市影响力的“渝北商业地标”。支持桃源天地、</w:t>
      </w:r>
      <w:r>
        <w:rPr>
          <w:rFonts w:hint="eastAsia" w:ascii="方正仿宋_GBK" w:hAnsi="方正仿宋_GBK" w:eastAsia="方正仿宋_GBK" w:cs="方正仿宋_GBK"/>
          <w:sz w:val="32"/>
          <w:szCs w:val="32"/>
          <w:u w:val="none"/>
          <w:lang w:val="en-US" w:eastAsia="zh-CN"/>
        </w:rPr>
        <w:t>蘭亭新都汇、爱融荟城等商业</w:t>
      </w:r>
      <w:r>
        <w:rPr>
          <w:rFonts w:hint="eastAsia" w:ascii="方正仿宋_GBK" w:hAnsi="方正仿宋_GBK" w:eastAsia="方正仿宋_GBK" w:cs="方正仿宋_GBK"/>
          <w:color w:val="000000"/>
          <w:sz w:val="32"/>
          <w:szCs w:val="32"/>
          <w:lang w:val="en-US" w:eastAsia="zh-CN"/>
        </w:rPr>
        <w:t>综合体完善业态，丰富服务业态，积极培育定制、体验、智能、时尚等新兴消费。总结推广紫薇路商业特色街区成功经验，充分挖掘区内历史文化价值，着力培育渝北龙头寺到江北九街“地下之城”项目，打造防空洞火锅消费新场景，培育更多市级夜间经济示范区和特色商业街区，提升渝北商业品质。</w:t>
      </w:r>
    </w:p>
    <w:p>
      <w:pPr>
        <w:pStyle w:val="15"/>
        <w:keepNext w:val="0"/>
        <w:keepLines w:val="0"/>
        <w:pageBreakBefore w:val="0"/>
        <w:widowControl w:val="0"/>
        <w:suppressLineNumbers w:val="0"/>
        <w:kinsoku/>
        <w:wordWrap/>
        <w:overflowPunct/>
        <w:topLinePunct w:val="0"/>
        <w:autoSpaceDE/>
        <w:bidi w:val="0"/>
        <w:adjustRightInd/>
        <w:snapToGrid/>
        <w:spacing w:line="560" w:lineRule="exact"/>
        <w:ind w:left="0" w:firstLine="64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二、加快培育发展新动能，推动外贸外资量稳质升</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方正楷体_GBK" w:hAnsi="方正楷体_GBK" w:eastAsia="方正楷体_GBK" w:cs="方正楷体_GBK"/>
          <w:b w:val="0"/>
          <w:bCs w:val="0"/>
          <w:color w:val="000000"/>
          <w:sz w:val="31"/>
          <w:szCs w:val="31"/>
          <w:lang w:val="en-US" w:eastAsia="zh-CN"/>
        </w:rPr>
      </w:pPr>
      <w:r>
        <w:rPr>
          <w:rFonts w:hint="eastAsia" w:ascii="方正楷体_GBK" w:hAnsi="方正楷体_GBK" w:eastAsia="方正楷体_GBK" w:cs="方正楷体_GBK"/>
          <w:b w:val="0"/>
          <w:bCs w:val="0"/>
          <w:color w:val="000000"/>
          <w:sz w:val="31"/>
          <w:szCs w:val="31"/>
          <w:lang w:val="en-US" w:eastAsia="zh-CN"/>
        </w:rPr>
        <w:t>（四）稳住传统出口优势。</w:t>
      </w:r>
      <w:r>
        <w:rPr>
          <w:rFonts w:hint="eastAsia" w:ascii="方正仿宋_GBK" w:hAnsi="方正仿宋_GBK" w:eastAsia="方正仿宋_GBK" w:cs="方正仿宋_GBK"/>
          <w:color w:val="000000"/>
          <w:kern w:val="2"/>
          <w:sz w:val="32"/>
          <w:szCs w:val="32"/>
          <w:lang w:val="en-US" w:eastAsia="zh-CN" w:bidi="ar-SA"/>
        </w:rPr>
        <w:t>立足渝北重要的智能终端生产基地和进出口基地，叠加国家外贸转型升级基地（电子消费类产品）政策优势，稳住智能终端、笔电、半导体、电子产品传统优势产品出口。强化与两江新区、两果综保区空港功能区等市级平台协作，稳住加工贸易订单。发挥渝北汽摩产业优势，扎实推动“渝车出海”行动计划，支持汽车生产企业申请汽车临时出口授权资质，扩大汽车出口规模。支持重点外贸企业外销业务在重庆放量做大，稳住本地出口。</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b w:val="0"/>
          <w:bCs w:val="0"/>
          <w:color w:val="000000"/>
          <w:sz w:val="31"/>
          <w:szCs w:val="31"/>
          <w:lang w:val="en-US" w:eastAsia="zh-CN"/>
        </w:rPr>
        <w:t>（五）培育外贸新增长点。</w:t>
      </w:r>
      <w:r>
        <w:rPr>
          <w:rFonts w:hint="eastAsia" w:ascii="方正仿宋_GBK" w:hAnsi="方正仿宋_GBK" w:eastAsia="方正仿宋_GBK" w:cs="方正仿宋_GBK"/>
          <w:color w:val="000000"/>
          <w:kern w:val="2"/>
          <w:sz w:val="32"/>
          <w:szCs w:val="32"/>
          <w:lang w:val="en-US" w:eastAsia="zh-CN" w:bidi="ar-SA"/>
        </w:rPr>
        <w:t>鼓励企业组团出海，引导外贸企业大力巩固欧美传统市场，开拓“一带一路”、RCEP等新兴市场，助力企业抢订单、寻客源、拓市场。</w:t>
      </w:r>
      <w:r>
        <w:rPr>
          <w:rFonts w:hint="eastAsia" w:ascii="方正大标宋简体" w:hAnsi="方正仿宋_GBK" w:eastAsia="方正仿宋_GBK" w:cs="Times New Roman"/>
          <w:kern w:val="2"/>
          <w:sz w:val="32"/>
          <w:szCs w:val="32"/>
          <w:lang w:val="en-US" w:eastAsia="zh-CN" w:bidi="ar-SA"/>
        </w:rPr>
        <w:t>充分发挥进境食用水生动物、冰鲜水产品指定监管场地在区优势，</w:t>
      </w:r>
      <w:r>
        <w:rPr>
          <w:rFonts w:hint="eastAsia" w:ascii="方正仿宋_GBK" w:hAnsi="方正仿宋_GBK" w:eastAsia="方正仿宋_GBK" w:cs="方正仿宋_GBK"/>
          <w:color w:val="000000"/>
          <w:kern w:val="2"/>
          <w:sz w:val="32"/>
          <w:szCs w:val="32"/>
          <w:lang w:val="en-US" w:eastAsia="zh-CN" w:bidi="ar-SA"/>
        </w:rPr>
        <w:t>引导海领（临空）国际农产品交易中心、三亚湾水产市场等扩大冰鲜三文鱼、活对虾等产品进口规模。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（六）强化</w:t>
      </w:r>
      <w:r>
        <w:rPr>
          <w:rFonts w:hint="eastAsia" w:ascii="方正楷体_GBK" w:hAnsi="方正楷体_GBK" w:eastAsia="方正楷体_GBK" w:cs="方正楷体_GBK"/>
          <w:kern w:val="2"/>
          <w:sz w:val="32"/>
          <w:szCs w:val="32"/>
          <w:lang w:val="en-US" w:eastAsia="zh-CN" w:bidi="ar-SA"/>
        </w:rPr>
        <w:t>外贸主体培育。</w:t>
      </w:r>
      <w:r>
        <w:rPr>
          <w:rFonts w:hint="eastAsia" w:ascii="方正仿宋_GBK" w:hAnsi="方正仿宋_GBK" w:eastAsia="方正仿宋_GBK" w:cs="方正仿宋_GBK"/>
          <w:color w:val="000000"/>
          <w:kern w:val="2"/>
          <w:sz w:val="32"/>
          <w:szCs w:val="32"/>
          <w:lang w:val="en-US" w:eastAsia="zh-CN" w:bidi="ar-SA"/>
        </w:rPr>
        <w:t>联合两江新区、保税港区，力争招引一批总部贸易、跨境电商企业。认真贯彻落实中央、市级促进外贸发展政策，推动政策直达快享，出台区级稳外贸政策措施，增强政策协同效应，培育壮大外贸市场主体，稳定扩大重点产品进出口规模，促进外贸稳中向好。</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b w:val="0"/>
          <w:bCs w:val="0"/>
          <w:color w:val="000000"/>
          <w:kern w:val="0"/>
          <w:sz w:val="31"/>
          <w:szCs w:val="31"/>
          <w:lang w:val="en-US" w:eastAsia="zh-CN" w:bidi="ar"/>
        </w:rPr>
        <w:t>（七）加大外资招引力度。</w:t>
      </w:r>
      <w:r>
        <w:rPr>
          <w:rFonts w:hint="eastAsia" w:ascii="方正仿宋_GBK" w:hAnsi="方正仿宋_GBK" w:eastAsia="方正仿宋_GBK" w:cs="方正仿宋_GBK"/>
          <w:color w:val="000000"/>
          <w:kern w:val="2"/>
          <w:sz w:val="32"/>
          <w:szCs w:val="32"/>
          <w:lang w:val="en-US" w:eastAsia="zh-CN" w:bidi="ar-SA"/>
        </w:rPr>
        <w:t>聚焦制造业、金融业等吸引外资重点领域，用好市区外资奖励措施，努力拓宽外资招商来源渠道，做好外资项目招商策划，围绕香港、新加坡等主要外资来源地，东部沿海外资企业集聚区，深度挖掘和对接重点目标企业，盯紧盯牢并争取成功落地一批重点外资项目。落实国家和全市关于支持外资发展政策措施，鼓励外资在区设立地区总部和功能性机构，着力引进和培育外资研发中心和各类创新机构。</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b w:val="0"/>
          <w:bCs w:val="0"/>
          <w:color w:val="000000"/>
          <w:kern w:val="0"/>
          <w:sz w:val="31"/>
          <w:szCs w:val="31"/>
          <w:lang w:val="en-US" w:eastAsia="zh-CN" w:bidi="ar"/>
        </w:rPr>
        <w:t>（八）优化外资企业服务。</w:t>
      </w:r>
      <w:r>
        <w:rPr>
          <w:rFonts w:hint="eastAsia" w:ascii="方正仿宋_GBK" w:hAnsi="方正仿宋_GBK" w:eastAsia="方正仿宋_GBK" w:cs="方正仿宋_GBK"/>
          <w:color w:val="000000"/>
          <w:kern w:val="2"/>
          <w:sz w:val="32"/>
          <w:szCs w:val="32"/>
          <w:lang w:val="en-US" w:eastAsia="zh-CN" w:bidi="ar-SA"/>
        </w:rPr>
        <w:t>清单化管理在谈外资项目，推动形成政府、平台、企业等多方参与、灵活高效的外商投资促进协调联动机制。进一步优化完善外商投资全流程服务体系，落实好外商投资企业圆桌会议制度，强化外资工作专班服务保障、运行调度要求，实行“一对一”跟踪，推动外资项目成功落地、尽早到资，促进存量企业扩大规模、持续到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三、深化商务改革创新，推动开放平台高效发展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（九）</w:t>
      </w:r>
      <w:r>
        <w:rPr>
          <w:rFonts w:hint="eastAsia" w:ascii="方正楷体_GBK" w:hAnsi="方正楷体_GBK" w:eastAsia="方正楷体_GBK" w:cs="方正楷体_GBK"/>
          <w:color w:val="auto"/>
          <w:sz w:val="32"/>
          <w:szCs w:val="32"/>
          <w:u w:val="none"/>
          <w:lang w:val="en-US" w:eastAsia="zh-CN"/>
        </w:rPr>
        <w:t>加快建设开放通道体系。</w:t>
      </w:r>
      <w:r>
        <w:rPr>
          <w:rFonts w:hint="eastAsia" w:ascii="Times New Roman" w:hAnsi="Times New Roman" w:eastAsia="方正仿宋_GBK" w:cs="方正仿宋_GBK"/>
          <w:color w:val="auto"/>
          <w:sz w:val="32"/>
          <w:szCs w:val="32"/>
          <w:u w:val="none"/>
          <w:lang w:val="en-US" w:eastAsia="zh-CN"/>
        </w:rPr>
        <w:t>深度融入西部陆海新通道建设，落实落细《渝北区深入推进西部陆海新通道建设工作方案》各项工作任务</w:t>
      </w:r>
      <w:r>
        <w:rPr>
          <w:rFonts w:hint="eastAsia" w:eastAsia="方正仿宋_GBK" w:cs="方正仿宋_GBK"/>
          <w:color w:val="auto"/>
          <w:sz w:val="32"/>
          <w:szCs w:val="32"/>
          <w:u w:val="none"/>
          <w:lang w:val="en-US" w:eastAsia="zh-CN"/>
        </w:rPr>
        <w:t>。</w:t>
      </w:r>
      <w:r>
        <w:rPr>
          <w:rFonts w:hint="eastAsia" w:ascii="Times New Roman" w:hAnsi="Times New Roman" w:eastAsia="方正仿宋_GBK" w:cs="方正仿宋_GBK"/>
          <w:color w:val="auto"/>
          <w:sz w:val="32"/>
          <w:szCs w:val="32"/>
          <w:u w:val="none"/>
          <w:lang w:val="en-US" w:eastAsia="zh-CN"/>
        </w:rPr>
        <w:t>积极拓展口岸功能，协调推动“五合一”综合指定监管场地全部投用，着力打造江北机场航空口岸开放发展体系，进一步提升空港枢纽航空货物中转和集散分拨能力。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（十）高质量推动空港型国家物流枢纽建设。</w:t>
      </w:r>
      <w:r>
        <w:rPr>
          <w:rFonts w:hint="eastAsia" w:eastAsia="方正仿宋_GBK" w:cs="方正仿宋_GBK"/>
          <w:color w:val="auto"/>
          <w:sz w:val="32"/>
          <w:szCs w:val="32"/>
          <w:u w:val="none"/>
          <w:lang w:val="en-US" w:eastAsia="zh-CN"/>
        </w:rPr>
        <w:t>优化枢纽建设</w:t>
      </w:r>
      <w:r>
        <w:rPr>
          <w:rFonts w:hint="eastAsia" w:ascii="Times New Roman" w:hAnsi="Times New Roman" w:eastAsia="方正仿宋_GBK" w:cs="方正仿宋_GBK"/>
          <w:color w:val="auto"/>
          <w:sz w:val="32"/>
          <w:szCs w:val="32"/>
          <w:u w:val="none"/>
          <w:lang w:val="en-US" w:eastAsia="zh-CN"/>
        </w:rPr>
        <w:t>协作机制，统筹物流设施布局。强化枢纽运行，推动实施方案落地运行，完善空港枢纽监测统计。推动枢纽基础设施配套同步，加强枢纽与周边区域、其他物流枢纽的合作，推动铁路东环线古路站货运班列开行，争取郑渝高铁快运始发站选址东环线银花站。支持物流重点项目建设，</w:t>
      </w:r>
      <w:r>
        <w:rPr>
          <w:rFonts w:hint="eastAsia" w:eastAsia="方正仿宋_GBK" w:cs="方正仿宋_GBK"/>
          <w:color w:val="auto"/>
          <w:sz w:val="32"/>
          <w:szCs w:val="32"/>
          <w:u w:val="none"/>
          <w:lang w:val="en-US" w:eastAsia="zh-CN"/>
        </w:rPr>
        <w:t>新增中远海运、复星国药、东方嘉胜等</w:t>
      </w:r>
      <w:r>
        <w:rPr>
          <w:rFonts w:hint="eastAsia" w:ascii="Times New Roman" w:hAnsi="Times New Roman" w:eastAsia="方正仿宋_GBK" w:cs="方正仿宋_GBK"/>
          <w:color w:val="auto"/>
          <w:sz w:val="32"/>
          <w:szCs w:val="32"/>
          <w:u w:val="none"/>
          <w:lang w:val="en-US" w:eastAsia="zh-CN"/>
        </w:rPr>
        <w:t>仓储面积30万方。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pacing w:val="-4"/>
          <w:kern w:val="0"/>
          <w:sz w:val="32"/>
          <w:szCs w:val="32"/>
          <w:lang w:val="en-US" w:eastAsia="zh-CN"/>
        </w:rPr>
      </w:pPr>
      <w:r>
        <w:rPr>
          <w:rFonts w:hint="eastAsia" w:ascii="方正楷体_GBK" w:hAnsi="方正楷体_GBK" w:eastAsia="方正楷体_GBK" w:cs="方正楷体_GBK"/>
          <w:b w:val="0"/>
          <w:bCs w:val="0"/>
          <w:color w:val="auto"/>
          <w:sz w:val="32"/>
          <w:szCs w:val="32"/>
          <w:u w:val="none"/>
          <w:lang w:val="en-US" w:eastAsia="zh-CN"/>
        </w:rPr>
        <w:t>（十一）深化自贸试验区创新成果。</w:t>
      </w:r>
      <w:r>
        <w:rPr>
          <w:rFonts w:hint="eastAsia" w:ascii="Times New Roman" w:hAnsi="Times New Roman" w:eastAsia="方正仿宋_GBK" w:cs="Times New Roman"/>
          <w:spacing w:val="-4"/>
          <w:kern w:val="0"/>
          <w:sz w:val="32"/>
          <w:szCs w:val="32"/>
          <w:lang w:val="en-US" w:eastAsia="zh-CN"/>
        </w:rPr>
        <w:t>进一步优化自贸试验区管理体制，完善工作机制，推</w:t>
      </w:r>
      <w:r>
        <w:rPr>
          <w:rFonts w:hint="eastAsia" w:eastAsia="方正仿宋_GBK" w:cs="Times New Roman"/>
          <w:spacing w:val="-4"/>
          <w:kern w:val="0"/>
          <w:sz w:val="32"/>
          <w:szCs w:val="32"/>
          <w:lang w:val="en-US" w:eastAsia="zh-CN"/>
        </w:rPr>
        <w:t>动</w:t>
      </w:r>
      <w:r>
        <w:rPr>
          <w:rFonts w:hint="eastAsia" w:ascii="Times New Roman" w:hAnsi="Times New Roman" w:eastAsia="方正仿宋_GBK" w:cs="Times New Roman"/>
          <w:spacing w:val="-4"/>
          <w:kern w:val="0"/>
          <w:sz w:val="32"/>
          <w:szCs w:val="32"/>
          <w:lang w:val="en-US" w:eastAsia="zh-CN"/>
        </w:rPr>
        <w:t>各项重点任务和重点项目实施。对照《中国（重庆）自由贸易试验区领航提升五年行动方案（2023—2027年）》，紧紧围绕渝北板块目标定位，细化工作举措，争取探索试点一批制度创新成果，力争</w:t>
      </w:r>
      <w:r>
        <w:rPr>
          <w:rFonts w:hint="eastAsia" w:eastAsia="方正仿宋_GBK" w:cs="Times New Roman"/>
          <w:spacing w:val="-4"/>
          <w:kern w:val="0"/>
          <w:sz w:val="32"/>
          <w:szCs w:val="32"/>
          <w:lang w:val="en-US" w:eastAsia="zh-CN"/>
        </w:rPr>
        <w:t>在数字经济、“临空+保税”等领域</w:t>
      </w:r>
      <w:r>
        <w:rPr>
          <w:rFonts w:hint="eastAsia" w:ascii="Times New Roman" w:hAnsi="Times New Roman" w:eastAsia="方正仿宋_GBK" w:cs="Times New Roman"/>
          <w:spacing w:val="-4"/>
          <w:kern w:val="0"/>
          <w:sz w:val="32"/>
          <w:szCs w:val="32"/>
          <w:lang w:val="en-US" w:eastAsia="zh-CN"/>
        </w:rPr>
        <w:t>形成制度创新成果2个以上，新增注册企业2000余户。支持高竹新区自贸试验区联动创新区建设，努力打造成为成渝地区对外开放的典型示范。</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baseline"/>
        <w:rPr>
          <w:rFonts w:hint="eastAsia" w:ascii="方正楷体_GBK" w:hAnsi="方正楷体_GBK" w:eastAsia="方正楷体_GBK" w:cs="方正楷体_GBK"/>
          <w:b w:val="0"/>
          <w:bCs w:val="0"/>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（十二）提升中新合作工作质效。</w:t>
      </w:r>
      <w:r>
        <w:rPr>
          <w:rFonts w:hint="eastAsia" w:ascii="Times New Roman" w:hAnsi="Times New Roman" w:eastAsia="方正仿宋_GBK" w:cs="Times New Roman"/>
          <w:spacing w:val="-4"/>
          <w:kern w:val="0"/>
          <w:sz w:val="32"/>
          <w:szCs w:val="32"/>
          <w:lang w:val="en-US" w:eastAsia="zh-CN"/>
        </w:rPr>
        <w:t>认真落实《重庆市推进中新互联互通走深走实五年行动计划》，推动中新航空产业园、中新国际航空物流产业示范区及中新大数据智能化产业示范园区等重点项目建设，力争2024年中新大数据智能化产业示范园区产值达60亿元，中新国际航空物流产业示范区范围内顺丰西南运营总部等项目建成投用。以中新（重庆）大数据智能化产业示范园区建设为载体，集聚发展数字经济合作项目，努力打造成为中新青年人才跨境交流及创新创业的示范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（十三）打造标志性改革创新成果。</w:t>
      </w:r>
      <w:r>
        <w:rPr>
          <w:rFonts w:hint="eastAsia" w:ascii="Times New Roman" w:hAnsi="Times New Roman" w:eastAsia="方正仿宋_GBK" w:cs="方正仿宋_GBK"/>
          <w:color w:val="auto"/>
          <w:sz w:val="32"/>
          <w:szCs w:val="32"/>
          <w:u w:val="none"/>
          <w:lang w:val="en-US" w:eastAsia="zh-CN"/>
        </w:rPr>
        <w:t>加大项目策划，打造渝北自贸板块标志性、引领性项目，以全国首创的新加坡航空（保税）航材分拨中心项目为基础，探索打造“西部保税航材交易中心”，并探索推广“以航空公司为单元”的保税航材监管模式至其他国内外航司，支持中远海运空运（重庆）项目在自贸区范围内设立海关二级监管库，打造跨境电商产品集散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（十四）推动内外贸一体化发展。</w:t>
      </w:r>
      <w:r>
        <w:rPr>
          <w:rFonts w:hint="eastAsia" w:ascii="Times New Roman" w:hAnsi="Times New Roman" w:eastAsia="方正仿宋_GBK" w:cs="方正仿宋_GBK"/>
          <w:color w:val="auto"/>
          <w:sz w:val="32"/>
          <w:szCs w:val="32"/>
          <w:u w:val="none"/>
          <w:lang w:val="en-US" w:eastAsia="zh-CN"/>
        </w:rPr>
        <w:t>扎实推动内外贸一体化发展先行区建设，促进内外贸市场渠道对接，支持外贸企业拓展国内市场，支持内贸企业采用跨境电商、市场采购贸易等方式开拓国际市场，引导区属中华老字号、重庆老字号等提升外向影响力，支持区内知名餐饮品牌开拓国际市场，推广山地摩托车小众市场的模式，引导汽摩产品通过创牌创品出海。依托渝北国家消费中心区建设，通过举办进口商品展等节会活动，扩展进口商品展示展销途径。培育内外贸一体化企业和内外贸融合发展产业集群，开展内外贸企业“品牌对接”“渠道对接”“产销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四、提升商务治理能力，促进行业健康发展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（十五）健全完善城乡商贸体系。</w:t>
      </w:r>
      <w:r>
        <w:rPr>
          <w:rFonts w:hint="eastAsia" w:ascii="方正仿宋_GBK" w:hAnsi="方正仿宋_GBK" w:eastAsia="方正仿宋_GBK" w:cs="方正仿宋_GBK"/>
          <w:color w:val="000000"/>
          <w:sz w:val="32"/>
          <w:szCs w:val="32"/>
          <w:lang w:val="en-US" w:eastAsia="zh-CN"/>
        </w:rPr>
        <w:t>推动县域商业体系建设提质增效，培育县域商业典型标杆，改造升级镇级集市，完善农村电商支撑服务体系，2024年力争完成1个乡镇农贸市场改造。支持城区市场标准化智慧化建设，2024年至少完成1个城区菜市场改造。支持老字号品牌守正创新，开创老字号首店新模式，推动商业街区、特色街区和老字号融合发展，支持桃源天地争创“绿色商场”。推动商贸企业升限纳统，结合第五次经济普查，持续推动工转贸，2024年升限纳统70家以上。强化政策支持，出台商贸产业、物流发展相关政策措施，积极争取上级资金支持，切实发挥政策和资金撬动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（十六）推动数字商务建设。</w:t>
      </w:r>
      <w:r>
        <w:rPr>
          <w:rFonts w:hint="eastAsia" w:ascii="方正仿宋_GBK" w:hAnsi="方正仿宋_GBK" w:eastAsia="方正仿宋_GBK" w:cs="方正仿宋_GBK"/>
          <w:color w:val="000000"/>
          <w:sz w:val="32"/>
          <w:szCs w:val="32"/>
          <w:lang w:val="en-US" w:eastAsia="zh-CN"/>
        </w:rPr>
        <w:t>持续开展核心业务梳理和数据资源编目归集，加快推进商务系统创新应用和“一件事”场景谋划建设。丰富数字消费场景，支持发展“直播+夜经济”“直播+商圈”“直播+文旅”等新业态新模式，支持餐饮、零售业向场景化、社交化、个性化转型。发挥诸多开放平台及政策叠加优势，</w:t>
      </w:r>
      <w:bookmarkStart w:id="2" w:name="_Toc97024003"/>
      <w:r>
        <w:rPr>
          <w:rFonts w:hint="eastAsia" w:ascii="方正仿宋_GBK" w:hAnsi="方正仿宋_GBK" w:eastAsia="方正仿宋_GBK" w:cs="方正仿宋_GBK"/>
          <w:color w:val="000000"/>
          <w:sz w:val="32"/>
          <w:szCs w:val="32"/>
          <w:lang w:val="en-US" w:eastAsia="zh-CN"/>
        </w:rPr>
        <w:t>培育数字贸易市场主体，推动数字贸易企业集聚发展</w:t>
      </w:r>
      <w:bookmarkEnd w:id="2"/>
      <w:r>
        <w:rPr>
          <w:rFonts w:hint="eastAsia" w:ascii="方正仿宋_GBK" w:hAnsi="方正仿宋_GBK" w:eastAsia="方正仿宋_GBK" w:cs="方正仿宋_GBK"/>
          <w:color w:val="000000"/>
          <w:sz w:val="32"/>
          <w:szCs w:val="32"/>
          <w:lang w:val="en-US" w:eastAsia="zh-CN"/>
        </w:rPr>
        <w:t>。强化数字赋能，围绕“御临风物”打造农产品电商品牌，加强农产品标准化、品牌化、规模化改造，做大农产品网络零售额。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5"/>
        <w:textAlignment w:val="auto"/>
        <w:rPr>
          <w:rFonts w:hint="eastAsia" w:ascii="方正仿宋_GBK" w:hAnsi="方正仿宋_GBK" w:eastAsia="方正仿宋_GBK" w:cs="方正仿宋_GBK"/>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（十七）促进商务安全发展。</w:t>
      </w:r>
      <w:r>
        <w:rPr>
          <w:rFonts w:hint="eastAsia" w:ascii="方正仿宋_GBK" w:hAnsi="方正仿宋_GBK" w:eastAsia="方正仿宋_GBK" w:cs="方正仿宋_GBK"/>
          <w:color w:val="000000"/>
          <w:sz w:val="32"/>
          <w:szCs w:val="32"/>
          <w:lang w:val="en-US" w:eastAsia="zh-CN"/>
        </w:rPr>
        <w:t>树牢安全发展理念，扎实落实安全生产“十五条硬措施”，推动全区限上商贸企业安全生产标准化建设100%达标。全面推行商贸企业安全生产双重预防机制，进一步推动“两单两卡”制度落实，强化安全生产信息化建设，完善企业安全生产管理体系。持续</w:t>
      </w:r>
      <w:r>
        <w:rPr>
          <w:rFonts w:hint="eastAsia" w:ascii="方正仿宋_GBK" w:hAnsi="方正仿宋_GBK" w:eastAsia="方正仿宋_GBK" w:cs="方正仿宋_GBK"/>
          <w:bCs/>
          <w:color w:val="000000"/>
          <w:kern w:val="2"/>
          <w:sz w:val="32"/>
          <w:szCs w:val="32"/>
          <w:u w:val="none"/>
          <w:shd w:val="clear" w:color="auto" w:fill="FFFFFF"/>
          <w:lang w:val="en-US" w:eastAsia="zh-CN" w:bidi="ar-SA"/>
        </w:rPr>
        <w:t>开展商业综合体、物流园区、专业市场、再生资源、燃气安全等专项整治，严厉打击成品油非法经营违法行为</w:t>
      </w:r>
      <w:r>
        <w:rPr>
          <w:rFonts w:hint="eastAsia" w:ascii="方正仿宋_GBK" w:hAnsi="方正仿宋_GBK" w:eastAsia="方正仿宋_GBK" w:cs="方正仿宋_GBK"/>
          <w:color w:val="000000"/>
          <w:sz w:val="32"/>
          <w:szCs w:val="32"/>
          <w:u w:val="none"/>
          <w:lang w:val="en-US" w:eastAsia="zh-CN"/>
        </w:rPr>
        <w:t>。</w:t>
      </w:r>
      <w:r>
        <w:rPr>
          <w:rFonts w:hint="eastAsia" w:ascii="方正仿宋_GBK" w:hAnsi="方正仿宋_GBK" w:eastAsia="方正仿宋_GBK" w:cs="方正仿宋_GBK"/>
          <w:color w:val="000000"/>
          <w:sz w:val="32"/>
          <w:szCs w:val="32"/>
          <w:lang w:val="en-US" w:eastAsia="zh-CN"/>
        </w:rPr>
        <w:t>持续开展安全生产检查督查，加强成品油零售经营、报废机动车回收拆解、再生资源、单用途卡、二手车、拍卖等行业监管工作。</w:t>
      </w:r>
    </w:p>
    <w:p>
      <w:pPr>
        <w:pStyle w:val="14"/>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方正仿宋_GBK" w:hAnsi="方正仿宋_GBK" w:eastAsia="方正仿宋_GBK" w:cs="方正仿宋_GBK"/>
          <w:bCs/>
          <w:color w:val="000000"/>
          <w:kern w:val="2"/>
          <w:sz w:val="32"/>
          <w:szCs w:val="32"/>
          <w:u w:val="none"/>
          <w:shd w:val="clear" w:color="auto" w:fill="FFFFFF"/>
          <w:lang w:val="en-US" w:eastAsia="zh-CN" w:bidi="ar-SA"/>
        </w:rPr>
      </w:pPr>
      <w:r>
        <w:rPr>
          <w:rFonts w:hint="eastAsia" w:ascii="方正楷体_GBK" w:hAnsi="方正楷体_GBK" w:eastAsia="方正楷体_GBK" w:cs="方正楷体_GBK"/>
          <w:b w:val="0"/>
          <w:bCs w:val="0"/>
          <w:color w:val="000000"/>
          <w:kern w:val="2"/>
          <w:sz w:val="32"/>
          <w:szCs w:val="32"/>
          <w:lang w:val="en-US" w:eastAsia="zh-CN" w:bidi="ar-SA"/>
        </w:rPr>
        <w:t>（十八）强化市场保供稳价。</w:t>
      </w:r>
      <w:r>
        <w:rPr>
          <w:rFonts w:hint="eastAsia" w:ascii="Times New Roman" w:hAnsi="Times New Roman" w:eastAsia="方正仿宋_GBK" w:cs="Times New Roman"/>
          <w:sz w:val="32"/>
          <w:szCs w:val="22"/>
          <w:lang w:val="en-US" w:eastAsia="zh-CN"/>
        </w:rPr>
        <w:t>完善重要生活物资供应应急预案，落实重点保供企业，优化生活必需品应急投放网点布局，保障重要生活物资</w:t>
      </w:r>
      <w:r>
        <w:rPr>
          <w:rFonts w:hint="eastAsia" w:ascii="Times New Roman" w:hAnsi="Times New Roman" w:cs="Times New Roman"/>
          <w:sz w:val="32"/>
          <w:szCs w:val="22"/>
          <w:lang w:val="en-US" w:eastAsia="zh-CN"/>
        </w:rPr>
        <w:t>量足价稳。</w:t>
      </w:r>
      <w:r>
        <w:rPr>
          <w:rFonts w:hint="eastAsia" w:ascii="方正仿宋_GBK" w:hAnsi="方正仿宋_GBK" w:eastAsia="方正仿宋_GBK" w:cs="方正仿宋_GBK"/>
          <w:color w:val="000000"/>
          <w:kern w:val="2"/>
          <w:sz w:val="32"/>
          <w:szCs w:val="32"/>
          <w:u w:val="none"/>
          <w:lang w:val="en-US" w:eastAsia="zh-CN" w:bidi="ar-SA"/>
        </w:rPr>
        <w:t>加强市场监测预警，全面</w:t>
      </w:r>
      <w:r>
        <w:rPr>
          <w:rFonts w:hint="eastAsia" w:ascii="方正仿宋_GBK" w:hAnsi="方正仿宋_GBK" w:eastAsia="方正仿宋_GBK" w:cs="方正仿宋_GBK"/>
          <w:bCs/>
          <w:color w:val="000000"/>
          <w:sz w:val="32"/>
          <w:szCs w:val="32"/>
          <w:u w:val="none"/>
          <w:shd w:val="clear" w:color="auto" w:fill="FFFFFF"/>
        </w:rPr>
        <w:t>掌握市场供求动态，及时发布监测信息，高效应对市场异常波动。</w:t>
      </w:r>
      <w:r>
        <w:rPr>
          <w:rFonts w:hint="eastAsia" w:ascii="方正仿宋_GBK" w:hAnsi="方正仿宋_GBK" w:eastAsia="方正仿宋_GBK" w:cs="方正仿宋_GBK"/>
          <w:bCs/>
          <w:color w:val="000000"/>
          <w:kern w:val="2"/>
          <w:sz w:val="32"/>
          <w:szCs w:val="32"/>
          <w:u w:val="none"/>
          <w:shd w:val="clear" w:color="auto" w:fill="FFFFFF"/>
          <w:lang w:val="en-US" w:eastAsia="zh-CN" w:bidi="ar-SA"/>
        </w:rPr>
        <w:t>加大货源组织力度，指导重点保供企业做好物资储备、调节</w:t>
      </w:r>
      <w:r>
        <w:rPr>
          <w:rFonts w:hint="eastAsia" w:ascii="方正仿宋_GBK" w:hAnsi="方正仿宋_GBK" w:cs="方正仿宋_GBK"/>
          <w:bCs/>
          <w:color w:val="000000"/>
          <w:kern w:val="2"/>
          <w:sz w:val="32"/>
          <w:szCs w:val="32"/>
          <w:u w:val="none"/>
          <w:shd w:val="clear" w:color="auto" w:fill="FFFFFF"/>
          <w:lang w:val="en-US" w:eastAsia="zh-CN" w:bidi="ar-SA"/>
        </w:rPr>
        <w:t>、</w:t>
      </w:r>
      <w:r>
        <w:rPr>
          <w:rFonts w:hint="eastAsia" w:ascii="方正仿宋_GBK" w:hAnsi="方正仿宋_GBK" w:eastAsia="方正仿宋_GBK" w:cs="方正仿宋_GBK"/>
          <w:bCs/>
          <w:color w:val="000000"/>
          <w:kern w:val="2"/>
          <w:sz w:val="32"/>
          <w:szCs w:val="32"/>
          <w:u w:val="none"/>
          <w:shd w:val="clear" w:color="auto" w:fill="FFFFFF"/>
          <w:lang w:val="en-US" w:eastAsia="zh-CN" w:bidi="ar-SA"/>
        </w:rPr>
        <w:t>供应，保障节日</w:t>
      </w:r>
      <w:r>
        <w:rPr>
          <w:rFonts w:hint="eastAsia" w:ascii="方正仿宋_GBK" w:hAnsi="方正仿宋_GBK" w:cs="方正仿宋_GBK"/>
          <w:bCs/>
          <w:color w:val="000000"/>
          <w:kern w:val="2"/>
          <w:sz w:val="32"/>
          <w:szCs w:val="32"/>
          <w:u w:val="none"/>
          <w:shd w:val="clear" w:color="auto" w:fill="FFFFFF"/>
          <w:lang w:val="en-US" w:eastAsia="zh-CN" w:bidi="ar-SA"/>
        </w:rPr>
        <w:t>期间</w:t>
      </w:r>
      <w:r>
        <w:rPr>
          <w:rFonts w:hint="eastAsia" w:ascii="方正仿宋_GBK" w:hAnsi="方正仿宋_GBK" w:eastAsia="方正仿宋_GBK" w:cs="方正仿宋_GBK"/>
          <w:bCs/>
          <w:color w:val="000000"/>
          <w:kern w:val="2"/>
          <w:sz w:val="32"/>
          <w:szCs w:val="32"/>
          <w:u w:val="none"/>
          <w:shd w:val="clear" w:color="auto" w:fill="FFFFFF"/>
          <w:lang w:val="en-US" w:eastAsia="zh-CN" w:bidi="ar-SA"/>
        </w:rPr>
        <w:t>物资供应稳定、储备充足</w:t>
      </w:r>
      <w:r>
        <w:rPr>
          <w:rFonts w:hint="eastAsia" w:ascii="方正仿宋_GBK" w:hAnsi="方正仿宋_GBK" w:cs="方正仿宋_GBK"/>
          <w:bCs/>
          <w:color w:val="000000"/>
          <w:kern w:val="2"/>
          <w:sz w:val="32"/>
          <w:szCs w:val="32"/>
          <w:u w:val="none"/>
          <w:shd w:val="clear" w:color="auto" w:fill="FFFFFF"/>
          <w:lang w:val="en-US" w:eastAsia="zh-CN" w:bidi="ar-SA"/>
        </w:rPr>
        <w:t>，完成区级冻猪肉储备任务</w:t>
      </w:r>
      <w:r>
        <w:rPr>
          <w:rFonts w:hint="eastAsia" w:ascii="方正仿宋_GBK" w:hAnsi="方正仿宋_GBK" w:eastAsia="方正仿宋_GBK" w:cs="方正仿宋_GBK"/>
          <w:bCs/>
          <w:color w:val="000000"/>
          <w:kern w:val="2"/>
          <w:sz w:val="32"/>
          <w:szCs w:val="32"/>
          <w:u w:val="none"/>
          <w:shd w:val="clear" w:color="auto" w:fill="FFFFFF"/>
          <w:lang w:val="en-US" w:eastAsia="zh-CN" w:bidi="ar-SA"/>
        </w:rPr>
        <w:t>。</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黑体_GBK" w:cs="方正仿宋_GBK"/>
          <w:color w:val="000000"/>
          <w:sz w:val="32"/>
          <w:szCs w:val="32"/>
          <w:lang w:val="en-US" w:eastAsia="zh-CN"/>
        </w:rPr>
      </w:pPr>
      <w:r>
        <w:rPr>
          <w:rFonts w:hint="eastAsia" w:ascii="Times New Roman" w:hAnsi="Times New Roman" w:eastAsia="方正黑体_GBK" w:cs="方正仿宋_GBK"/>
          <w:color w:val="000000"/>
          <w:sz w:val="32"/>
          <w:szCs w:val="32"/>
          <w:lang w:val="en-US" w:eastAsia="zh-CN"/>
        </w:rPr>
        <w:t>五、加强党的全面领导，不断提高政治能力</w:t>
      </w:r>
    </w:p>
    <w:p>
      <w:pPr>
        <w:keepNext w:val="0"/>
        <w:keepLines w:val="0"/>
        <w:pageBreakBefore w:val="0"/>
        <w:widowControl w:val="0"/>
        <w:kinsoku/>
        <w:wordWrap/>
        <w:overflowPunct/>
        <w:topLinePunct w:val="0"/>
        <w:autoSpaceDE/>
        <w:bidi w:val="0"/>
        <w:adjustRightInd/>
        <w:spacing w:line="560" w:lineRule="exact"/>
        <w:ind w:firstLine="640" w:firstLineChars="200"/>
        <w:rPr>
          <w:rFonts w:hint="default" w:eastAsia="方正仿宋_GBK"/>
          <w:color w:val="auto"/>
          <w:sz w:val="32"/>
          <w:szCs w:val="32"/>
          <w:lang w:val="en-US" w:eastAsia="zh-CN"/>
        </w:rPr>
      </w:pPr>
      <w:r>
        <w:rPr>
          <w:rFonts w:hint="eastAsia" w:eastAsia="方正楷体_GBK"/>
          <w:color w:val="auto"/>
          <w:sz w:val="32"/>
          <w:szCs w:val="32"/>
          <w:lang w:eastAsia="zh-CN"/>
        </w:rPr>
        <w:t>（</w:t>
      </w:r>
      <w:r>
        <w:rPr>
          <w:rFonts w:hint="eastAsia" w:eastAsia="方正楷体_GBK"/>
          <w:color w:val="auto"/>
          <w:sz w:val="32"/>
          <w:szCs w:val="32"/>
          <w:lang w:val="en-US" w:eastAsia="zh-CN"/>
        </w:rPr>
        <w:t>十九</w:t>
      </w:r>
      <w:r>
        <w:rPr>
          <w:rFonts w:hint="eastAsia" w:eastAsia="方正楷体_GBK"/>
          <w:color w:val="auto"/>
          <w:sz w:val="32"/>
          <w:szCs w:val="32"/>
          <w:lang w:eastAsia="zh-CN"/>
        </w:rPr>
        <w:t>）</w:t>
      </w:r>
      <w:r>
        <w:rPr>
          <w:rFonts w:hint="eastAsia" w:eastAsia="方正楷体_GBK"/>
          <w:color w:val="auto"/>
          <w:sz w:val="32"/>
          <w:szCs w:val="32"/>
          <w:lang w:val="en-US" w:eastAsia="zh-CN"/>
        </w:rPr>
        <w:t>强化政治引领作用</w:t>
      </w:r>
      <w:r>
        <w:rPr>
          <w:rFonts w:eastAsia="方正楷体_GBK"/>
          <w:color w:val="auto"/>
          <w:sz w:val="32"/>
          <w:szCs w:val="32"/>
          <w:lang w:eastAsia="zh-Hans"/>
        </w:rPr>
        <w:t>。</w:t>
      </w:r>
      <w:r>
        <w:rPr>
          <w:rFonts w:hint="eastAsia" w:eastAsia="方正仿宋_GBK"/>
          <w:color w:val="auto"/>
          <w:sz w:val="32"/>
          <w:szCs w:val="32"/>
          <w:lang w:val="en-US" w:eastAsia="zh-CN"/>
        </w:rPr>
        <w:t>始终把党的建设摆在首位，</w:t>
      </w:r>
      <w:r>
        <w:rPr>
          <w:rFonts w:eastAsia="方正仿宋_GBK"/>
          <w:color w:val="auto"/>
          <w:sz w:val="32"/>
          <w:szCs w:val="32"/>
        </w:rPr>
        <w:t>坚持</w:t>
      </w:r>
      <w:r>
        <w:rPr>
          <w:rFonts w:hint="eastAsia" w:eastAsia="方正仿宋_GBK"/>
          <w:color w:val="auto"/>
          <w:sz w:val="32"/>
          <w:szCs w:val="32"/>
        </w:rPr>
        <w:t>不懈</w:t>
      </w:r>
      <w:r>
        <w:rPr>
          <w:rFonts w:eastAsia="方正仿宋_GBK"/>
          <w:color w:val="auto"/>
          <w:sz w:val="32"/>
          <w:szCs w:val="32"/>
        </w:rPr>
        <w:t>用习近平新时代中国特色社会主义思想</w:t>
      </w:r>
      <w:r>
        <w:rPr>
          <w:rFonts w:hint="eastAsia" w:eastAsia="方正仿宋_GBK"/>
          <w:color w:val="auto"/>
          <w:sz w:val="32"/>
          <w:szCs w:val="32"/>
        </w:rPr>
        <w:t>凝心铸魂</w:t>
      </w:r>
      <w:r>
        <w:rPr>
          <w:rFonts w:eastAsia="方正仿宋_GBK"/>
          <w:color w:val="auto"/>
          <w:sz w:val="32"/>
          <w:szCs w:val="32"/>
        </w:rPr>
        <w:t>，</w:t>
      </w:r>
      <w:r>
        <w:rPr>
          <w:rFonts w:hint="eastAsia" w:eastAsia="方正仿宋_GBK"/>
          <w:color w:val="auto"/>
          <w:sz w:val="32"/>
          <w:szCs w:val="32"/>
          <w:lang w:val="en-US" w:eastAsia="zh-CN"/>
        </w:rPr>
        <w:t>持续巩固深化主题教育成果</w:t>
      </w:r>
      <w:r>
        <w:rPr>
          <w:rFonts w:eastAsia="方正仿宋_GBK"/>
          <w:color w:val="auto"/>
          <w:sz w:val="32"/>
          <w:szCs w:val="32"/>
        </w:rPr>
        <w:t>，坚定拥护</w:t>
      </w:r>
      <w:r>
        <w:rPr>
          <w:rFonts w:hint="eastAsia" w:eastAsia="方正仿宋_GBK"/>
          <w:color w:val="auto"/>
          <w:sz w:val="32"/>
          <w:szCs w:val="32"/>
        </w:rPr>
        <w:t>“</w:t>
      </w:r>
      <w:r>
        <w:rPr>
          <w:rFonts w:eastAsia="方正仿宋_GBK"/>
          <w:color w:val="auto"/>
          <w:sz w:val="32"/>
          <w:szCs w:val="32"/>
        </w:rPr>
        <w:t>两个确立</w:t>
      </w:r>
      <w:r>
        <w:rPr>
          <w:rFonts w:hint="eastAsia" w:eastAsia="方正仿宋_GBK"/>
          <w:color w:val="auto"/>
          <w:sz w:val="32"/>
          <w:szCs w:val="32"/>
        </w:rPr>
        <w:t>”</w:t>
      </w:r>
      <w:r>
        <w:rPr>
          <w:rFonts w:eastAsia="方正仿宋_GBK"/>
          <w:color w:val="auto"/>
          <w:sz w:val="32"/>
          <w:szCs w:val="32"/>
        </w:rPr>
        <w:t>、坚决做到</w:t>
      </w:r>
      <w:r>
        <w:rPr>
          <w:rFonts w:hint="eastAsia" w:eastAsia="方正仿宋_GBK"/>
          <w:color w:val="auto"/>
          <w:sz w:val="32"/>
          <w:szCs w:val="32"/>
        </w:rPr>
        <w:t>“</w:t>
      </w:r>
      <w:r>
        <w:rPr>
          <w:rFonts w:eastAsia="方正仿宋_GBK"/>
          <w:color w:val="auto"/>
          <w:sz w:val="32"/>
          <w:szCs w:val="32"/>
        </w:rPr>
        <w:t>两个维护</w:t>
      </w:r>
      <w:r>
        <w:rPr>
          <w:rFonts w:hint="eastAsia" w:eastAsia="方正仿宋_GBK"/>
          <w:color w:val="auto"/>
          <w:sz w:val="32"/>
          <w:szCs w:val="32"/>
        </w:rPr>
        <w:t>”</w:t>
      </w:r>
      <w:r>
        <w:rPr>
          <w:rFonts w:eastAsia="方正仿宋_GBK"/>
          <w:color w:val="auto"/>
          <w:sz w:val="32"/>
          <w:szCs w:val="32"/>
        </w:rPr>
        <w:t>，不断提高政治判断力、政治领悟力、政治执行力。</w:t>
      </w:r>
      <w:r>
        <w:rPr>
          <w:rFonts w:hint="eastAsia" w:eastAsia="方正仿宋_GBK"/>
          <w:color w:val="auto"/>
          <w:sz w:val="32"/>
          <w:szCs w:val="32"/>
          <w:lang w:val="en-US" w:eastAsia="zh-CN"/>
        </w:rPr>
        <w:t>认真贯彻《关于新形势下党内政治生活的若干准则》，持续加强党员干部政治意识、党性观念教育，培养积极健康的党内政治文化，营造风清气正的良好政治生态。认真落实意识形态工作责任制，积极传播商务好声音，牢牢把握意识形成工作主动权。</w:t>
      </w:r>
    </w:p>
    <w:p>
      <w:pPr>
        <w:keepNext w:val="0"/>
        <w:keepLines w:val="0"/>
        <w:pageBreakBefore w:val="0"/>
        <w:widowControl w:val="0"/>
        <w:kinsoku/>
        <w:wordWrap/>
        <w:overflowPunct/>
        <w:topLinePunct w:val="0"/>
        <w:autoSpaceDE/>
        <w:bidi w:val="0"/>
        <w:adjustRightInd/>
        <w:spacing w:line="560" w:lineRule="exact"/>
        <w:ind w:firstLine="640" w:firstLineChars="200"/>
        <w:jc w:val="both"/>
        <w:rPr>
          <w:rFonts w:hint="eastAsia" w:ascii="方正楷体_GBK" w:hAnsi="方正楷体_GBK" w:eastAsia="方正楷体_GBK" w:cs="方正楷体_GBK"/>
          <w:sz w:val="32"/>
          <w:szCs w:val="20"/>
          <w:lang w:val="en-US" w:eastAsia="zh-CN"/>
        </w:rPr>
      </w:pPr>
      <w:r>
        <w:rPr>
          <w:rFonts w:hint="eastAsia" w:ascii="方正楷体_GBK" w:hAnsi="方正楷体_GBK" w:eastAsia="方正楷体_GBK" w:cs="方正楷体_GBK"/>
          <w:color w:val="000000"/>
          <w:sz w:val="32"/>
          <w:szCs w:val="32"/>
          <w:u w:val="none"/>
          <w:lang w:eastAsia="zh-CN"/>
        </w:rPr>
        <w:t>（</w:t>
      </w:r>
      <w:r>
        <w:rPr>
          <w:rFonts w:hint="eastAsia" w:ascii="方正楷体_GBK" w:hAnsi="方正楷体_GBK" w:eastAsia="方正楷体_GBK" w:cs="方正楷体_GBK"/>
          <w:color w:val="000000"/>
          <w:sz w:val="32"/>
          <w:szCs w:val="32"/>
          <w:u w:val="none"/>
          <w:lang w:val="en-US" w:eastAsia="zh-CN"/>
        </w:rPr>
        <w:t>二十</w:t>
      </w:r>
      <w:r>
        <w:rPr>
          <w:rFonts w:hint="eastAsia" w:ascii="方正楷体_GBK" w:hAnsi="方正楷体_GBK" w:eastAsia="方正楷体_GBK" w:cs="方正楷体_GBK"/>
          <w:color w:val="000000"/>
          <w:sz w:val="32"/>
          <w:szCs w:val="32"/>
          <w:u w:val="none"/>
          <w:lang w:eastAsia="zh-CN"/>
        </w:rPr>
        <w:t>）</w:t>
      </w:r>
      <w:r>
        <w:rPr>
          <w:rFonts w:hint="eastAsia" w:ascii="方正楷体_GBK" w:hAnsi="方正楷体_GBK" w:eastAsia="方正楷体_GBK" w:cs="方正楷体_GBK"/>
          <w:color w:val="000000"/>
          <w:sz w:val="32"/>
          <w:szCs w:val="32"/>
          <w:u w:val="none"/>
          <w:lang w:val="en-US" w:eastAsia="zh-CN"/>
        </w:rPr>
        <w:t>狠抓纪律作用建设。</w:t>
      </w:r>
      <w:r>
        <w:rPr>
          <w:rFonts w:hint="eastAsia" w:ascii="Times New Roman" w:hAnsi="Times New Roman" w:eastAsia="方正仿宋_GBK" w:cs="Times New Roman"/>
          <w:sz w:val="32"/>
          <w:szCs w:val="20"/>
          <w:lang w:val="en-US" w:eastAsia="zh-CN"/>
        </w:rPr>
        <w:t>深入推进正风肃纪</w:t>
      </w:r>
      <w:r>
        <w:rPr>
          <w:rFonts w:hint="eastAsia" w:ascii="Times New Roman" w:hAnsi="Times New Roman" w:cs="Times New Roman"/>
          <w:sz w:val="32"/>
          <w:szCs w:val="20"/>
          <w:lang w:val="en-US" w:eastAsia="zh-CN"/>
        </w:rPr>
        <w:t>，</w:t>
      </w:r>
      <w:r>
        <w:rPr>
          <w:rFonts w:hint="eastAsia" w:ascii="Times New Roman" w:hAnsi="Times New Roman" w:eastAsia="方正仿宋_GBK" w:cs="Times New Roman"/>
          <w:sz w:val="32"/>
          <w:szCs w:val="20"/>
          <w:lang w:val="en-US" w:eastAsia="zh-CN"/>
        </w:rPr>
        <w:t>锲而不舍落实中央八项规定精神及其实施细则，持续深化纠治“四风”，整治形式主义、官僚主义。深入推进“以案四说”“以案四改”，加强廉政风险排查整治，贯通纪律教育、党性教育、廉洁文化教育，坚持正面引导和反面警示相结合，运用典型案例和身边人身边事警示教育党员干部，不断增强遵规守纪的自觉。持续优化商务领域营商环境，牢固树立“处处都是营商环境、人人都是形象使者”理念，</w:t>
      </w:r>
      <w:r>
        <w:rPr>
          <w:rFonts w:hint="eastAsia" w:eastAsia="方正仿宋_GBK" w:cs="Times New Roman"/>
          <w:sz w:val="32"/>
          <w:szCs w:val="32"/>
          <w:lang w:val="en-US" w:eastAsia="zh-CN"/>
        </w:rPr>
        <w:t>构建“亲”“清”政商关系，</w:t>
      </w:r>
      <w:r>
        <w:rPr>
          <w:rFonts w:hint="eastAsia" w:ascii="Times New Roman" w:hAnsi="Times New Roman" w:eastAsia="方正仿宋_GBK" w:cs="Times New Roman"/>
          <w:b w:val="0"/>
          <w:i w:val="0"/>
          <w:caps w:val="0"/>
          <w:color w:val="000000"/>
          <w:spacing w:val="0"/>
          <w:sz w:val="32"/>
          <w:szCs w:val="32"/>
          <w:shd w:val="clear" w:color="auto" w:fill="FFFFFF"/>
          <w:lang w:val="en-US" w:eastAsia="zh-CN"/>
        </w:rPr>
        <w:t>真心真情为企业办事、精准精细为企业服务</w:t>
      </w:r>
      <w:r>
        <w:rPr>
          <w:rFonts w:hint="eastAsia" w:ascii="Times New Roman" w:hAnsi="Times New Roman" w:eastAsia="方正仿宋_GBK" w:cs="Times New Roman"/>
          <w:sz w:val="32"/>
          <w:szCs w:val="20"/>
          <w:lang w:val="en-US" w:eastAsia="zh-CN"/>
        </w:rPr>
        <w:t>。</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方正楷体_GBK" w:hAnsi="方正楷体_GBK" w:eastAsia="方正楷体_GBK" w:cs="方正楷体_GBK"/>
          <w:color w:val="000000"/>
          <w:sz w:val="32"/>
          <w:szCs w:val="32"/>
          <w:u w:val="none"/>
        </w:rPr>
      </w:pPr>
      <w:r>
        <w:rPr>
          <w:rFonts w:hint="eastAsia" w:ascii="方正楷体_GBK" w:hAnsi="方正楷体_GBK" w:eastAsia="方正楷体_GBK" w:cs="方正楷体_GBK"/>
          <w:color w:val="auto"/>
          <w:sz w:val="32"/>
          <w:szCs w:val="32"/>
          <w:lang w:val="en-US" w:eastAsia="zh-CN"/>
        </w:rPr>
        <w:t>（二十一）强化组织队伍建设。</w:t>
      </w:r>
      <w:r>
        <w:rPr>
          <w:rFonts w:hint="eastAsia" w:ascii="Times New Roman" w:hAnsi="Times New Roman" w:eastAsia="方正仿宋_GBK" w:cs="Times New Roman"/>
          <w:sz w:val="32"/>
          <w:szCs w:val="20"/>
          <w:lang w:val="en-US" w:eastAsia="zh-CN"/>
        </w:rPr>
        <w:t>完善抓党建带全局的工作机制，</w:t>
      </w:r>
      <w:r>
        <w:rPr>
          <w:rFonts w:hint="eastAsia" w:ascii="Times New Roman" w:hAnsi="Times New Roman" w:eastAsia="方正仿宋_GBK" w:cs="Times New Roman"/>
          <w:color w:val="000000"/>
          <w:kern w:val="2"/>
          <w:sz w:val="32"/>
          <w:szCs w:val="20"/>
          <w:lang w:val="en-US" w:eastAsia="zh-CN" w:bidi="ar-SA"/>
        </w:rPr>
        <w:t>深入贯彻落实《党委（党组）落实全面从严治党主体责任规定》</w:t>
      </w:r>
      <w:r>
        <w:rPr>
          <w:rFonts w:hint="eastAsia" w:ascii="Times New Roman" w:hAnsi="Times New Roman" w:eastAsia="方正仿宋_GBK" w:cs="Times New Roman"/>
          <w:sz w:val="32"/>
          <w:szCs w:val="20"/>
          <w:lang w:val="en-US" w:eastAsia="zh-CN"/>
        </w:rPr>
        <w:t>，认真落实“一岗双责”，促进党建工作和业务工作深度融合</w:t>
      </w:r>
      <w:r>
        <w:rPr>
          <w:rFonts w:hint="eastAsia" w:ascii="Times New Roman" w:hAnsi="Times New Roman" w:eastAsia="方正仿宋_GBK" w:cs="Times New Roman"/>
          <w:color w:val="000000"/>
          <w:kern w:val="2"/>
          <w:sz w:val="32"/>
          <w:szCs w:val="20"/>
          <w:lang w:val="en-US" w:eastAsia="zh-CN" w:bidi="ar-SA"/>
        </w:rPr>
        <w:t>。</w:t>
      </w:r>
      <w:r>
        <w:rPr>
          <w:rFonts w:hint="eastAsia" w:eastAsia="方正仿宋_GBK"/>
          <w:color w:val="auto"/>
          <w:sz w:val="32"/>
          <w:szCs w:val="32"/>
          <w:lang w:val="en-US" w:eastAsia="zh-CN"/>
        </w:rPr>
        <w:t>突出</w:t>
      </w:r>
      <w:r>
        <w:rPr>
          <w:rFonts w:hint="eastAsia" w:ascii="方正仿宋_GBK" w:hAnsi="方正仿宋_GBK" w:eastAsia="方正仿宋_GBK" w:cs="方正仿宋_GBK"/>
          <w:color w:val="000000"/>
          <w:sz w:val="32"/>
          <w:szCs w:val="32"/>
          <w:u w:val="none"/>
        </w:rPr>
        <w:t>基层党组织建设和党员教育管理，充分发挥基层党组织战斗堡垒作用和党员先锋模范作用</w:t>
      </w:r>
      <w:r>
        <w:rPr>
          <w:rFonts w:hint="eastAsia" w:ascii="方正仿宋_GBK" w:hAnsi="方正仿宋_GBK" w:eastAsia="方正仿宋_GBK" w:cs="方正仿宋_GBK"/>
          <w:color w:val="000000"/>
          <w:sz w:val="32"/>
          <w:szCs w:val="32"/>
          <w:u w:val="none"/>
          <w:lang w:eastAsia="zh-CN"/>
        </w:rPr>
        <w:t>，</w:t>
      </w:r>
      <w:r>
        <w:rPr>
          <w:rFonts w:hint="eastAsia" w:ascii="方正仿宋_GBK" w:hAnsi="方正仿宋_GBK" w:eastAsia="方正仿宋_GBK" w:cs="方正仿宋_GBK"/>
          <w:color w:val="000000"/>
          <w:sz w:val="32"/>
          <w:szCs w:val="32"/>
          <w:u w:val="none"/>
          <w:lang w:val="en-US" w:eastAsia="zh-CN"/>
        </w:rPr>
        <w:t>不断提升基层党组织政治功能、组织功能</w:t>
      </w:r>
      <w:r>
        <w:rPr>
          <w:rFonts w:hint="eastAsia" w:ascii="方正仿宋_GBK" w:hAnsi="方正仿宋_GBK" w:eastAsia="方正仿宋_GBK" w:cs="方正仿宋_GBK"/>
          <w:color w:val="000000"/>
          <w:sz w:val="32"/>
          <w:szCs w:val="32"/>
          <w:u w:val="none"/>
        </w:rPr>
        <w:t>。</w:t>
      </w:r>
      <w:r>
        <w:rPr>
          <w:rFonts w:hint="eastAsia" w:ascii="Times New Roman" w:hAnsi="Times New Roman" w:eastAsia="方正仿宋_GBK" w:cs="Times New Roman"/>
          <w:sz w:val="32"/>
          <w:szCs w:val="20"/>
          <w:lang w:val="en-US" w:eastAsia="zh-Hans"/>
        </w:rPr>
        <w:t>加强干部队伍建设</w:t>
      </w:r>
      <w:r>
        <w:rPr>
          <w:rFonts w:hint="eastAsia" w:ascii="Times New Roman" w:hAnsi="Times New Roman" w:cs="Times New Roman"/>
          <w:sz w:val="32"/>
          <w:szCs w:val="20"/>
          <w:lang w:val="en-US" w:eastAsia="zh-CN"/>
        </w:rPr>
        <w:t>，</w:t>
      </w:r>
      <w:r>
        <w:rPr>
          <w:rFonts w:hint="eastAsia" w:ascii="方正仿宋_GBK" w:hAnsi="方正仿宋_GBK" w:eastAsia="方正仿宋_GBK" w:cs="方正仿宋_GBK"/>
          <w:color w:val="000000"/>
          <w:sz w:val="32"/>
          <w:szCs w:val="32"/>
          <w:u w:val="none"/>
          <w:lang w:val="en-US" w:eastAsia="zh-CN"/>
        </w:rPr>
        <w:t>坚持党管干部，</w:t>
      </w:r>
      <w:r>
        <w:rPr>
          <w:rFonts w:hint="eastAsia" w:ascii="Times New Roman" w:hAnsi="Times New Roman" w:eastAsia="方正仿宋_GBK" w:cs="Times New Roman"/>
          <w:sz w:val="32"/>
          <w:szCs w:val="20"/>
          <w:lang w:val="en-US" w:eastAsia="zh-Hans"/>
        </w:rPr>
        <w:t>坚持严管厚爱，</w:t>
      </w:r>
      <w:r>
        <w:rPr>
          <w:rFonts w:hint="eastAsia" w:ascii="Times New Roman" w:hAnsi="Times New Roman" w:eastAsia="方正仿宋_GBK" w:cs="Times New Roman"/>
          <w:sz w:val="32"/>
          <w:szCs w:val="20"/>
          <w:lang w:val="en-US" w:eastAsia="zh-CN"/>
        </w:rPr>
        <w:t>树牢实干实绩选人用人导向，</w:t>
      </w:r>
      <w:r>
        <w:rPr>
          <w:rFonts w:hint="eastAsia" w:ascii="方正仿宋_GBK" w:hAnsi="方正仿宋_GBK" w:eastAsia="方正仿宋_GBK" w:cs="方正仿宋_GBK"/>
          <w:color w:val="000000"/>
          <w:sz w:val="32"/>
          <w:szCs w:val="32"/>
          <w:u w:val="none"/>
          <w:lang w:val="en-US" w:eastAsia="zh-CN"/>
        </w:rPr>
        <w:t>加强干部选育管用工作，</w:t>
      </w:r>
      <w:r>
        <w:rPr>
          <w:rFonts w:hint="eastAsia" w:eastAsia="方正仿宋_GBK"/>
          <w:color w:val="auto"/>
          <w:sz w:val="32"/>
          <w:szCs w:val="32"/>
          <w:lang w:val="en-US" w:eastAsia="zh-CN"/>
        </w:rPr>
        <w:t>强化</w:t>
      </w:r>
      <w:r>
        <w:rPr>
          <w:rFonts w:hint="default" w:ascii="Times New Roman" w:hAnsi="Times New Roman" w:eastAsia="方正仿宋_GBK" w:cs="Times New Roman"/>
          <w:sz w:val="32"/>
          <w:szCs w:val="20"/>
          <w:lang w:val="en-US" w:eastAsia="zh-CN"/>
        </w:rPr>
        <w:t>正向激励，</w:t>
      </w:r>
      <w:r>
        <w:rPr>
          <w:rFonts w:hint="eastAsia" w:ascii="Times New Roman" w:hAnsi="Times New Roman" w:eastAsia="方正仿宋_GBK" w:cs="Times New Roman"/>
          <w:sz w:val="32"/>
          <w:szCs w:val="20"/>
          <w:lang w:val="en-US" w:eastAsia="zh-CN"/>
        </w:rPr>
        <w:t>打造政治过硬、本领高强、作风优良、高水平专业化的商务干部队伍。建立健全激励机制，激励干部担当作为、激发干事创业活力，以奋发有为的精神状态认真履职尽责。</w:t>
      </w:r>
    </w:p>
    <w:bookmarkEnd w:id="1"/>
    <w:p>
      <w:pPr>
        <w:keepNext w:val="0"/>
        <w:keepLines w:val="0"/>
        <w:pageBreakBefore w:val="0"/>
        <w:widowControl w:val="0"/>
        <w:kinsoku/>
        <w:wordWrap/>
        <w:overflowPunct/>
        <w:topLinePunct w:val="0"/>
        <w:autoSpaceDE/>
        <w:bidi w:val="0"/>
        <w:adjustRightInd/>
        <w:spacing w:line="560" w:lineRule="exact"/>
        <w:ind w:firstLine="640" w:firstLineChars="200"/>
        <w:jc w:val="both"/>
        <w:rPr>
          <w:rFonts w:hint="eastAsia" w:ascii="方正楷体_GBK" w:hAnsi="方正楷体_GBK" w:eastAsia="方正楷体_GBK" w:cs="方正楷体_GBK"/>
          <w:sz w:val="32"/>
          <w:szCs w:val="20"/>
          <w:lang w:val="en-US" w:eastAsia="zh-CN"/>
        </w:rPr>
      </w:pPr>
    </w:p>
    <w:p>
      <w:pPr>
        <w:spacing w:line="560" w:lineRule="exact"/>
        <w:ind w:firstLine="0" w:firstLineChars="0"/>
        <w:rPr>
          <w:rFonts w:hint="default" w:ascii="方正仿宋_GBK" w:hAnsi="方正仿宋_GBK" w:eastAsia="方正仿宋_GBK" w:cs="方正仿宋_GBK"/>
          <w:sz w:val="28"/>
          <w:szCs w:val="28"/>
          <w:lang w:val="en-US"/>
        </w:rPr>
      </w:pPr>
    </w:p>
    <w:p>
      <w:pPr>
        <w:spacing w:line="560" w:lineRule="exact"/>
        <w:ind w:firstLine="0" w:firstLineChars="0"/>
        <w:rPr>
          <w:rFonts w:hint="default" w:ascii="方正仿宋_GBK" w:hAnsi="方正仿宋_GBK" w:eastAsia="方正仿宋_GBK" w:cs="方正仿宋_GBK"/>
          <w:sz w:val="28"/>
          <w:szCs w:val="28"/>
          <w:lang w:val="en-US"/>
        </w:rPr>
      </w:pPr>
    </w:p>
    <w:p>
      <w:pPr>
        <w:spacing w:line="560" w:lineRule="exact"/>
        <w:ind w:firstLine="0" w:firstLineChars="0"/>
        <w:rPr>
          <w:rFonts w:hint="default" w:ascii="方正仿宋_GBK" w:hAnsi="方正仿宋_GBK" w:eastAsia="方正仿宋_GBK" w:cs="方正仿宋_GBK"/>
          <w:sz w:val="28"/>
          <w:szCs w:val="28"/>
          <w:lang w:val="en-US"/>
        </w:rPr>
      </w:pPr>
    </w:p>
    <w:p>
      <w:pPr>
        <w:spacing w:line="560" w:lineRule="exact"/>
        <w:ind w:firstLine="0" w:firstLineChars="0"/>
        <w:rPr>
          <w:rFonts w:hint="default" w:ascii="方正仿宋_GBK" w:hAnsi="方正仿宋_GBK" w:eastAsia="方正仿宋_GBK" w:cs="方正仿宋_GBK"/>
          <w:sz w:val="28"/>
          <w:szCs w:val="28"/>
          <w:lang w:val="en-US"/>
        </w:rPr>
      </w:pPr>
    </w:p>
    <w:p>
      <w:pPr>
        <w:spacing w:line="560" w:lineRule="exact"/>
        <w:ind w:firstLine="0" w:firstLineChars="0"/>
        <w:rPr>
          <w:rFonts w:hint="default" w:ascii="方正仿宋_GBK" w:hAnsi="方正仿宋_GBK" w:eastAsia="方正仿宋_GBK" w:cs="方正仿宋_GBK"/>
          <w:sz w:val="28"/>
          <w:szCs w:val="28"/>
          <w:lang w:val="en-US"/>
        </w:rPr>
      </w:pPr>
    </w:p>
    <w:p>
      <w:pPr>
        <w:spacing w:line="560" w:lineRule="exact"/>
        <w:ind w:firstLine="0" w:firstLineChars="0"/>
        <w:rPr>
          <w:rFonts w:hint="default" w:ascii="方正仿宋_GBK" w:hAnsi="方正仿宋_GBK" w:eastAsia="方正仿宋_GBK" w:cs="方正仿宋_GBK"/>
          <w:sz w:val="28"/>
          <w:szCs w:val="28"/>
          <w:lang w:val="en-US"/>
        </w:rPr>
      </w:pPr>
    </w:p>
    <w:p>
      <w:pPr>
        <w:spacing w:line="560" w:lineRule="exact"/>
        <w:ind w:firstLine="0" w:firstLineChars="0"/>
        <w:rPr>
          <w:rFonts w:hint="default" w:ascii="方正仿宋_GBK" w:hAnsi="方正仿宋_GBK" w:eastAsia="方正仿宋_GBK" w:cs="方正仿宋_GBK"/>
          <w:sz w:val="28"/>
          <w:szCs w:val="28"/>
          <w:lang w:val="en-US"/>
        </w:rPr>
      </w:pPr>
    </w:p>
    <w:p>
      <w:pPr>
        <w:spacing w:line="560" w:lineRule="exact"/>
        <w:ind w:firstLine="0" w:firstLineChars="0"/>
        <w:rPr>
          <w:rFonts w:hint="default" w:ascii="方正仿宋_GBK" w:hAnsi="方正仿宋_GBK" w:eastAsia="方正仿宋_GBK" w:cs="方正仿宋_GBK"/>
          <w:sz w:val="28"/>
          <w:szCs w:val="28"/>
          <w:lang w:val="en-US"/>
        </w:rPr>
      </w:pPr>
    </w:p>
    <w:p>
      <w:pPr>
        <w:spacing w:line="560" w:lineRule="exact"/>
        <w:ind w:firstLine="0" w:firstLineChars="0"/>
        <w:rPr>
          <w:rFonts w:hint="default" w:ascii="方正仿宋_GBK" w:hAnsi="方正仿宋_GBK" w:eastAsia="方正仿宋_GBK" w:cs="方正仿宋_GBK"/>
          <w:sz w:val="28"/>
          <w:szCs w:val="28"/>
          <w:lang w:val="en-US"/>
        </w:rPr>
      </w:pPr>
    </w:p>
    <w:p>
      <w:pPr>
        <w:spacing w:line="560" w:lineRule="exact"/>
        <w:ind w:firstLine="0" w:firstLineChars="0"/>
        <w:rPr>
          <w:rFonts w:hint="default" w:ascii="方正仿宋_GBK" w:hAnsi="方正仿宋_GBK" w:eastAsia="方正仿宋_GBK" w:cs="方正仿宋_GBK"/>
          <w:sz w:val="28"/>
          <w:szCs w:val="28"/>
          <w:lang w:val="en-US"/>
        </w:rPr>
      </w:pPr>
    </w:p>
    <w:p>
      <w:pPr>
        <w:spacing w:line="560" w:lineRule="exact"/>
        <w:ind w:firstLine="0" w:firstLineChars="0"/>
        <w:rPr>
          <w:rFonts w:hint="default" w:ascii="方正仿宋_GBK" w:hAnsi="方正仿宋_GBK" w:eastAsia="方正仿宋_GBK" w:cs="方正仿宋_GBK"/>
          <w:sz w:val="28"/>
          <w:szCs w:val="28"/>
          <w:lang w:val="en-US"/>
        </w:rPr>
      </w:pPr>
    </w:p>
    <w:p>
      <w:pPr>
        <w:spacing w:line="560" w:lineRule="exact"/>
        <w:ind w:firstLine="0" w:firstLineChars="0"/>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rPr>
        <w:pict>
          <v:shape id="直接箭头连接符 5" o:spid="_x0000_s2054" o:spt="32" type="#_x0000_t32" style="position:absolute;left:0pt;margin-left:1.5pt;margin-top:62pt;height:0pt;width:414.75pt;z-index:251662336;mso-width-relative:page;mso-height-relative:page;" filled="f" stroked="t" coordsize="21600,21600" o:gfxdata="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8wAv1gAAAAkBAAAPAAAAAAAAAAEAIAAAACIAAABkcnMvZG93bnJldi54bWxQSwEC&#10;FAAUAAAACACHTuJAamzr+PYBAADMAwAADgAAAAAAAAABACAAAAAlAQAAZHJzL2Uyb0RvYy54bWxQ&#10;SwUGAAAAAAYABgBZAQAAjQUAAAAA&#10;">
            <v:path arrowok="t"/>
            <v:fill on="f" focussize="0,0"/>
            <v:stroke joinstyle="round"/>
            <v:imagedata o:title=""/>
            <o:lock v:ext="edit" aspectratio="f"/>
          </v:shape>
        </w:pict>
      </w:r>
    </w:p>
    <w:p>
      <w:pPr>
        <w:spacing w:line="560" w:lineRule="exact"/>
        <w:rPr>
          <w:rFonts w:hint="eastAsia" w:ascii="Times New Roman" w:hAnsi="Times New Roman" w:eastAsia="方正仿宋_GBK" w:cs="Times New Roman"/>
          <w:sz w:val="32"/>
          <w:szCs w:val="20"/>
          <w:lang w:val="en-US" w:eastAsia="zh-CN"/>
        </w:rPr>
      </w:pPr>
      <w:r>
        <w:rPr>
          <w:rFonts w:hint="eastAsia" w:ascii="方正仿宋_GBK" w:hAnsi="方正仿宋_GBK" w:eastAsia="方正仿宋_GBK" w:cs="方正仿宋_GBK"/>
          <w:sz w:val="28"/>
          <w:szCs w:val="28"/>
        </w:rPr>
        <w:pict>
          <v:shape id="直接箭头连接符 4" o:spid="_x0000_s2055" o:spt="32" type="#_x0000_t32" style="position:absolute;left:0pt;margin-left:2.1pt;margin-top:4.8pt;height:0pt;width:414.75pt;z-index:251663360;mso-width-relative:page;mso-height-relative:page;" filled="f" stroked="t" coordsize="21600,21600" o:gfxdata="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xk/4nUAAAABQEAAA8AAAAAAAAAAQAgAAAAIgAAAGRycy9kb3ducmV2LnhtbFBLAQIU&#10;ABQAAAAIAIdO4kCDen7y9wEAAMwDAAAOAAAAAAAAAAEAIAAAACMBAABkcnMvZTJvRG9jLnhtbFBL&#10;BQYAAAAABgAGAFkBAACMBQAAAAA=&#10;">
            <v:path arrowok="t"/>
            <v:fill on="f" focussize="0,0"/>
            <v:stroke joinstyle="round"/>
            <v:imagedata o:title=""/>
            <o:lock v:ext="edit" aspectratio="f"/>
          </v:shape>
        </w:pict>
      </w:r>
      <w:r>
        <w:rPr>
          <w:rFonts w:hint="eastAsia" w:ascii="方正仿宋_GBK" w:hAnsi="方正仿宋_GBK" w:eastAsia="方正仿宋_GBK" w:cs="方正仿宋_GBK"/>
          <w:sz w:val="28"/>
          <w:szCs w:val="28"/>
        </w:rPr>
        <w:t xml:space="preserve"> 重庆市渝北区商务委员会</w:t>
      </w:r>
      <w:r>
        <w:rPr>
          <w:rFonts w:hint="eastAsia" w:ascii="方正仿宋_GBK" w:hAnsi="方正仿宋_GBK" w:eastAsia="方正仿宋_GBK" w:cs="方正仿宋_GBK"/>
          <w:sz w:val="28"/>
          <w:szCs w:val="28"/>
          <w:lang w:eastAsia="zh-CN"/>
        </w:rPr>
        <w:t>综合科</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20</w:t>
      </w:r>
      <w:r>
        <w:rPr>
          <w:rFonts w:hint="eastAsia" w:ascii="方正仿宋_GBK" w:hAnsi="方正仿宋_GBK" w:eastAsia="方正仿宋_GBK" w:cs="方正仿宋_GBK"/>
          <w:sz w:val="28"/>
          <w:szCs w:val="28"/>
          <w:lang w:val="en-US" w:eastAsia="zh-CN"/>
        </w:rPr>
        <w:t>24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日印发</w:t>
      </w:r>
      <w:r>
        <w:rPr>
          <w:rFonts w:hint="eastAsia" w:ascii="方正仿宋_GBK" w:hAnsi="方正仿宋_GBK" w:eastAsia="方正仿宋_GBK" w:cs="方正仿宋_GBK"/>
          <w:sz w:val="32"/>
          <w:szCs w:val="32"/>
        </w:rPr>
        <w:t xml:space="preserve">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方正书宋_GBK"/>
    <w:panose1 w:val="03000509000000000000"/>
    <w:charset w:val="86"/>
    <w:family w:val="script"/>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ndalus">
    <w:altName w:val="Times New Roman"/>
    <w:panose1 w:val="02020603050405020304"/>
    <w:charset w:val="00"/>
    <w:family w:val="roman"/>
    <w:pitch w:val="default"/>
    <w:sig w:usb0="00000000" w:usb1="00000000" w:usb2="00000008" w:usb3="00000000" w:csb0="00000041" w:csb1="2008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U3YmJjZWEwZjJmYzFiMmM5ODlkMTg1YTljYTcyODQifQ=="/>
  </w:docVars>
  <w:rsids>
    <w:rsidRoot w:val="007F2D3D"/>
    <w:rsid w:val="00010D65"/>
    <w:rsid w:val="00011718"/>
    <w:rsid w:val="00073FC2"/>
    <w:rsid w:val="00135491"/>
    <w:rsid w:val="0016250E"/>
    <w:rsid w:val="00163EF8"/>
    <w:rsid w:val="001B1FCC"/>
    <w:rsid w:val="001C6CD7"/>
    <w:rsid w:val="001D7A70"/>
    <w:rsid w:val="00205862"/>
    <w:rsid w:val="00247F25"/>
    <w:rsid w:val="00250530"/>
    <w:rsid w:val="002E446E"/>
    <w:rsid w:val="00302E6B"/>
    <w:rsid w:val="0031468B"/>
    <w:rsid w:val="00335907"/>
    <w:rsid w:val="00366C4C"/>
    <w:rsid w:val="00370E7F"/>
    <w:rsid w:val="003A5644"/>
    <w:rsid w:val="003C1543"/>
    <w:rsid w:val="004034DE"/>
    <w:rsid w:val="00462D6C"/>
    <w:rsid w:val="00493101"/>
    <w:rsid w:val="00573C92"/>
    <w:rsid w:val="005A7ADC"/>
    <w:rsid w:val="005C6F17"/>
    <w:rsid w:val="005E7619"/>
    <w:rsid w:val="00650369"/>
    <w:rsid w:val="00655388"/>
    <w:rsid w:val="006646C3"/>
    <w:rsid w:val="00690E54"/>
    <w:rsid w:val="006F4869"/>
    <w:rsid w:val="00717019"/>
    <w:rsid w:val="007B0129"/>
    <w:rsid w:val="007F2D3D"/>
    <w:rsid w:val="00831A08"/>
    <w:rsid w:val="00847392"/>
    <w:rsid w:val="008813DB"/>
    <w:rsid w:val="00890858"/>
    <w:rsid w:val="008B571A"/>
    <w:rsid w:val="008F0C41"/>
    <w:rsid w:val="0091312A"/>
    <w:rsid w:val="0095735E"/>
    <w:rsid w:val="00A45ADB"/>
    <w:rsid w:val="00A82C09"/>
    <w:rsid w:val="00B10892"/>
    <w:rsid w:val="00B10B32"/>
    <w:rsid w:val="00B17B60"/>
    <w:rsid w:val="00C61BC9"/>
    <w:rsid w:val="00C7421D"/>
    <w:rsid w:val="00C81B84"/>
    <w:rsid w:val="00C92A88"/>
    <w:rsid w:val="00C94281"/>
    <w:rsid w:val="00CB12C4"/>
    <w:rsid w:val="00D17A6B"/>
    <w:rsid w:val="00D56746"/>
    <w:rsid w:val="00E20907"/>
    <w:rsid w:val="00EF50B6"/>
    <w:rsid w:val="00F332C6"/>
    <w:rsid w:val="00F540AC"/>
    <w:rsid w:val="00F63CD2"/>
    <w:rsid w:val="00F97820"/>
    <w:rsid w:val="00FD72C5"/>
    <w:rsid w:val="012667D4"/>
    <w:rsid w:val="0168709B"/>
    <w:rsid w:val="01E02E27"/>
    <w:rsid w:val="01F562AA"/>
    <w:rsid w:val="02121ECD"/>
    <w:rsid w:val="0275199C"/>
    <w:rsid w:val="02BF64EC"/>
    <w:rsid w:val="03EF11DD"/>
    <w:rsid w:val="04496A53"/>
    <w:rsid w:val="04601471"/>
    <w:rsid w:val="05121F43"/>
    <w:rsid w:val="052F37A6"/>
    <w:rsid w:val="056B0AF9"/>
    <w:rsid w:val="058E4D96"/>
    <w:rsid w:val="059553B5"/>
    <w:rsid w:val="05E51A29"/>
    <w:rsid w:val="060A02CA"/>
    <w:rsid w:val="06433906"/>
    <w:rsid w:val="066B0B14"/>
    <w:rsid w:val="066E38FC"/>
    <w:rsid w:val="06722466"/>
    <w:rsid w:val="068A4438"/>
    <w:rsid w:val="068C461E"/>
    <w:rsid w:val="06C23981"/>
    <w:rsid w:val="06CE7C48"/>
    <w:rsid w:val="0729298D"/>
    <w:rsid w:val="074B2A47"/>
    <w:rsid w:val="075F7E7C"/>
    <w:rsid w:val="078458FC"/>
    <w:rsid w:val="079E4A52"/>
    <w:rsid w:val="07D50651"/>
    <w:rsid w:val="08302EFC"/>
    <w:rsid w:val="084655CA"/>
    <w:rsid w:val="084A6114"/>
    <w:rsid w:val="08D40258"/>
    <w:rsid w:val="090F4DDB"/>
    <w:rsid w:val="092051A9"/>
    <w:rsid w:val="09E422F0"/>
    <w:rsid w:val="0A453058"/>
    <w:rsid w:val="0A731C64"/>
    <w:rsid w:val="0A8B7A63"/>
    <w:rsid w:val="0AA65B44"/>
    <w:rsid w:val="0AC023FB"/>
    <w:rsid w:val="0AF347AC"/>
    <w:rsid w:val="0B0D2D9F"/>
    <w:rsid w:val="0B8A1E76"/>
    <w:rsid w:val="0BB73826"/>
    <w:rsid w:val="0BC22A7F"/>
    <w:rsid w:val="0BC9292D"/>
    <w:rsid w:val="0C3D3825"/>
    <w:rsid w:val="0CE21114"/>
    <w:rsid w:val="0D4C0C24"/>
    <w:rsid w:val="0D6A7673"/>
    <w:rsid w:val="0D84655A"/>
    <w:rsid w:val="0D951E6C"/>
    <w:rsid w:val="0DC928EC"/>
    <w:rsid w:val="0DFD0BFD"/>
    <w:rsid w:val="0E3371C5"/>
    <w:rsid w:val="0E44035F"/>
    <w:rsid w:val="0E953177"/>
    <w:rsid w:val="0E9F21EB"/>
    <w:rsid w:val="0ED032CE"/>
    <w:rsid w:val="0F2952F7"/>
    <w:rsid w:val="0F597CB9"/>
    <w:rsid w:val="0F7B39F9"/>
    <w:rsid w:val="0F9956E5"/>
    <w:rsid w:val="0FB66534"/>
    <w:rsid w:val="0FEC7A0C"/>
    <w:rsid w:val="101D5A8A"/>
    <w:rsid w:val="102E5642"/>
    <w:rsid w:val="1056098E"/>
    <w:rsid w:val="10590262"/>
    <w:rsid w:val="10766D6C"/>
    <w:rsid w:val="109E28BE"/>
    <w:rsid w:val="10BB1076"/>
    <w:rsid w:val="10F54356"/>
    <w:rsid w:val="11C62B9A"/>
    <w:rsid w:val="11DF6AD5"/>
    <w:rsid w:val="11FF1436"/>
    <w:rsid w:val="122E5C22"/>
    <w:rsid w:val="12324366"/>
    <w:rsid w:val="12606750"/>
    <w:rsid w:val="127135E1"/>
    <w:rsid w:val="1288296F"/>
    <w:rsid w:val="12CB3E5D"/>
    <w:rsid w:val="13180AAE"/>
    <w:rsid w:val="132E55E0"/>
    <w:rsid w:val="133E181A"/>
    <w:rsid w:val="139100DD"/>
    <w:rsid w:val="13A72AB2"/>
    <w:rsid w:val="13E40EEF"/>
    <w:rsid w:val="140277CC"/>
    <w:rsid w:val="1442081B"/>
    <w:rsid w:val="147813D9"/>
    <w:rsid w:val="14C40679"/>
    <w:rsid w:val="1529052C"/>
    <w:rsid w:val="154B73F0"/>
    <w:rsid w:val="154E2A53"/>
    <w:rsid w:val="157A4343"/>
    <w:rsid w:val="158202CB"/>
    <w:rsid w:val="158C22FD"/>
    <w:rsid w:val="15AE4771"/>
    <w:rsid w:val="15C80DB0"/>
    <w:rsid w:val="1638057A"/>
    <w:rsid w:val="164674A0"/>
    <w:rsid w:val="16CF7E40"/>
    <w:rsid w:val="16D91A72"/>
    <w:rsid w:val="17E935F0"/>
    <w:rsid w:val="183E720E"/>
    <w:rsid w:val="190104D0"/>
    <w:rsid w:val="196266CA"/>
    <w:rsid w:val="19735D48"/>
    <w:rsid w:val="19E015AA"/>
    <w:rsid w:val="1A2E2C26"/>
    <w:rsid w:val="1B037791"/>
    <w:rsid w:val="1B646966"/>
    <w:rsid w:val="1BCB3FB6"/>
    <w:rsid w:val="1BE2482E"/>
    <w:rsid w:val="1BE355F1"/>
    <w:rsid w:val="1BF26738"/>
    <w:rsid w:val="1C27585D"/>
    <w:rsid w:val="1C3C4AB6"/>
    <w:rsid w:val="1C667E1C"/>
    <w:rsid w:val="1C972208"/>
    <w:rsid w:val="1CCA0A19"/>
    <w:rsid w:val="1CD03B4B"/>
    <w:rsid w:val="1D2E5D98"/>
    <w:rsid w:val="1D367DC9"/>
    <w:rsid w:val="1D56730C"/>
    <w:rsid w:val="1D710C73"/>
    <w:rsid w:val="1DA96C19"/>
    <w:rsid w:val="1DC175AF"/>
    <w:rsid w:val="1E043299"/>
    <w:rsid w:val="1EB07CAE"/>
    <w:rsid w:val="1F64012A"/>
    <w:rsid w:val="1F9612BB"/>
    <w:rsid w:val="1F98018F"/>
    <w:rsid w:val="1F9942FC"/>
    <w:rsid w:val="1FED1B69"/>
    <w:rsid w:val="1FFA2D74"/>
    <w:rsid w:val="20114BFB"/>
    <w:rsid w:val="20187106"/>
    <w:rsid w:val="203A1097"/>
    <w:rsid w:val="20451D05"/>
    <w:rsid w:val="204A29DE"/>
    <w:rsid w:val="20D1638D"/>
    <w:rsid w:val="2100574B"/>
    <w:rsid w:val="215716CA"/>
    <w:rsid w:val="216536C1"/>
    <w:rsid w:val="21701FE1"/>
    <w:rsid w:val="21B511A9"/>
    <w:rsid w:val="21BA50EE"/>
    <w:rsid w:val="21C70E2F"/>
    <w:rsid w:val="21C72ECC"/>
    <w:rsid w:val="21DF2425"/>
    <w:rsid w:val="22481A67"/>
    <w:rsid w:val="227036F0"/>
    <w:rsid w:val="228B3BD7"/>
    <w:rsid w:val="233E2D4B"/>
    <w:rsid w:val="23B749A4"/>
    <w:rsid w:val="23DE01AE"/>
    <w:rsid w:val="240F3CE2"/>
    <w:rsid w:val="243702E0"/>
    <w:rsid w:val="243B12B4"/>
    <w:rsid w:val="243B6826"/>
    <w:rsid w:val="244B306C"/>
    <w:rsid w:val="245D1EBF"/>
    <w:rsid w:val="24600133"/>
    <w:rsid w:val="24FC1E27"/>
    <w:rsid w:val="253847E1"/>
    <w:rsid w:val="25994230"/>
    <w:rsid w:val="259D4667"/>
    <w:rsid w:val="25D1769F"/>
    <w:rsid w:val="25E32FDC"/>
    <w:rsid w:val="262356AE"/>
    <w:rsid w:val="264C223B"/>
    <w:rsid w:val="26636933"/>
    <w:rsid w:val="269E28E3"/>
    <w:rsid w:val="26C24278"/>
    <w:rsid w:val="26CD0C77"/>
    <w:rsid w:val="26EC26C1"/>
    <w:rsid w:val="270B0E9E"/>
    <w:rsid w:val="27102C2F"/>
    <w:rsid w:val="2751256A"/>
    <w:rsid w:val="279239BF"/>
    <w:rsid w:val="280C6B04"/>
    <w:rsid w:val="28156D62"/>
    <w:rsid w:val="2831014F"/>
    <w:rsid w:val="28502040"/>
    <w:rsid w:val="289C7C11"/>
    <w:rsid w:val="28AC1AA0"/>
    <w:rsid w:val="28EB003E"/>
    <w:rsid w:val="28EE7B0F"/>
    <w:rsid w:val="291540BD"/>
    <w:rsid w:val="29523D65"/>
    <w:rsid w:val="29E10081"/>
    <w:rsid w:val="29E43FDD"/>
    <w:rsid w:val="29E7198F"/>
    <w:rsid w:val="2A1642A6"/>
    <w:rsid w:val="2A911DAE"/>
    <w:rsid w:val="2AC9766E"/>
    <w:rsid w:val="2ADD7784"/>
    <w:rsid w:val="2AE152E3"/>
    <w:rsid w:val="2B00042C"/>
    <w:rsid w:val="2B2910BC"/>
    <w:rsid w:val="2B403BFD"/>
    <w:rsid w:val="2B4E1BAF"/>
    <w:rsid w:val="2B7D6F72"/>
    <w:rsid w:val="2B932C7E"/>
    <w:rsid w:val="2BC16FEB"/>
    <w:rsid w:val="2C6F3F48"/>
    <w:rsid w:val="2C754863"/>
    <w:rsid w:val="2C9E50D7"/>
    <w:rsid w:val="2D197B3F"/>
    <w:rsid w:val="2D2E4B75"/>
    <w:rsid w:val="2D3A0D12"/>
    <w:rsid w:val="2D736DCA"/>
    <w:rsid w:val="2E034CF7"/>
    <w:rsid w:val="2E1877CA"/>
    <w:rsid w:val="2E357719"/>
    <w:rsid w:val="2E3E4759"/>
    <w:rsid w:val="2E476B38"/>
    <w:rsid w:val="2EDE34EA"/>
    <w:rsid w:val="2EE64DE5"/>
    <w:rsid w:val="2FAC5CFF"/>
    <w:rsid w:val="302020F6"/>
    <w:rsid w:val="30282D70"/>
    <w:rsid w:val="30503432"/>
    <w:rsid w:val="30765B3F"/>
    <w:rsid w:val="30787E53"/>
    <w:rsid w:val="30A2361C"/>
    <w:rsid w:val="30CA3B2E"/>
    <w:rsid w:val="30F91679"/>
    <w:rsid w:val="311D7EAA"/>
    <w:rsid w:val="319B1913"/>
    <w:rsid w:val="31ED6C33"/>
    <w:rsid w:val="32155E84"/>
    <w:rsid w:val="32355275"/>
    <w:rsid w:val="324B64C6"/>
    <w:rsid w:val="32722515"/>
    <w:rsid w:val="327E642E"/>
    <w:rsid w:val="32A04544"/>
    <w:rsid w:val="32CE17A4"/>
    <w:rsid w:val="32F36A18"/>
    <w:rsid w:val="33353099"/>
    <w:rsid w:val="333B4E85"/>
    <w:rsid w:val="3392348C"/>
    <w:rsid w:val="34EA4CB7"/>
    <w:rsid w:val="350C6626"/>
    <w:rsid w:val="353A2C3C"/>
    <w:rsid w:val="354C1267"/>
    <w:rsid w:val="359C2D7C"/>
    <w:rsid w:val="35CE668F"/>
    <w:rsid w:val="35D6601C"/>
    <w:rsid w:val="3623530A"/>
    <w:rsid w:val="36D53EEB"/>
    <w:rsid w:val="36F7601C"/>
    <w:rsid w:val="371A35EA"/>
    <w:rsid w:val="371A6A54"/>
    <w:rsid w:val="3750343B"/>
    <w:rsid w:val="377805F1"/>
    <w:rsid w:val="37794A60"/>
    <w:rsid w:val="37955BA3"/>
    <w:rsid w:val="37A00659"/>
    <w:rsid w:val="38202B73"/>
    <w:rsid w:val="382E0E25"/>
    <w:rsid w:val="389A522D"/>
    <w:rsid w:val="38A5273D"/>
    <w:rsid w:val="38E157D1"/>
    <w:rsid w:val="38FB1115"/>
    <w:rsid w:val="39075F4C"/>
    <w:rsid w:val="398F6D1B"/>
    <w:rsid w:val="39994D4C"/>
    <w:rsid w:val="3A72210C"/>
    <w:rsid w:val="3A797B8E"/>
    <w:rsid w:val="3A7D1814"/>
    <w:rsid w:val="3A957898"/>
    <w:rsid w:val="3AD10135"/>
    <w:rsid w:val="3AF378A6"/>
    <w:rsid w:val="3AF7520F"/>
    <w:rsid w:val="3B0219B8"/>
    <w:rsid w:val="3B1F3534"/>
    <w:rsid w:val="3B316ACA"/>
    <w:rsid w:val="3B542669"/>
    <w:rsid w:val="3B612798"/>
    <w:rsid w:val="3B703DA9"/>
    <w:rsid w:val="3B7E7690"/>
    <w:rsid w:val="3B8360D2"/>
    <w:rsid w:val="3B8674DF"/>
    <w:rsid w:val="3B8D0552"/>
    <w:rsid w:val="3B967577"/>
    <w:rsid w:val="3BA90CAB"/>
    <w:rsid w:val="3C0979A4"/>
    <w:rsid w:val="3C0F5D3C"/>
    <w:rsid w:val="3C275122"/>
    <w:rsid w:val="3C3228F8"/>
    <w:rsid w:val="3C406E52"/>
    <w:rsid w:val="3C5D3803"/>
    <w:rsid w:val="3CA07957"/>
    <w:rsid w:val="3CA67C6B"/>
    <w:rsid w:val="3CE83A24"/>
    <w:rsid w:val="3D11709D"/>
    <w:rsid w:val="3D29442E"/>
    <w:rsid w:val="3D9B65B2"/>
    <w:rsid w:val="3DF37AA1"/>
    <w:rsid w:val="3E412728"/>
    <w:rsid w:val="3EBB7AF2"/>
    <w:rsid w:val="3F5D192F"/>
    <w:rsid w:val="3F731F70"/>
    <w:rsid w:val="3F747D8A"/>
    <w:rsid w:val="40634A7F"/>
    <w:rsid w:val="40C04193"/>
    <w:rsid w:val="40C67F51"/>
    <w:rsid w:val="40EC7C06"/>
    <w:rsid w:val="40F441D3"/>
    <w:rsid w:val="413C3BB8"/>
    <w:rsid w:val="41AD3347"/>
    <w:rsid w:val="41FB21D0"/>
    <w:rsid w:val="4218417E"/>
    <w:rsid w:val="42C749B5"/>
    <w:rsid w:val="42F72271"/>
    <w:rsid w:val="42FB3376"/>
    <w:rsid w:val="436D404E"/>
    <w:rsid w:val="43AE1F0B"/>
    <w:rsid w:val="441E31F3"/>
    <w:rsid w:val="444402C1"/>
    <w:rsid w:val="44493053"/>
    <w:rsid w:val="44B444F9"/>
    <w:rsid w:val="44D940D6"/>
    <w:rsid w:val="44D97EA6"/>
    <w:rsid w:val="44EE507D"/>
    <w:rsid w:val="455A086C"/>
    <w:rsid w:val="456728C0"/>
    <w:rsid w:val="458E6204"/>
    <w:rsid w:val="45907023"/>
    <w:rsid w:val="45E20732"/>
    <w:rsid w:val="45E3583D"/>
    <w:rsid w:val="461A0F9A"/>
    <w:rsid w:val="46932C93"/>
    <w:rsid w:val="471D5B1C"/>
    <w:rsid w:val="478E2944"/>
    <w:rsid w:val="480E3806"/>
    <w:rsid w:val="4811661E"/>
    <w:rsid w:val="48427E77"/>
    <w:rsid w:val="489F1F4A"/>
    <w:rsid w:val="48F97FA8"/>
    <w:rsid w:val="494806F6"/>
    <w:rsid w:val="49540B24"/>
    <w:rsid w:val="4954153D"/>
    <w:rsid w:val="49654182"/>
    <w:rsid w:val="49785578"/>
    <w:rsid w:val="498D7F00"/>
    <w:rsid w:val="4A064FCB"/>
    <w:rsid w:val="4A3B6A41"/>
    <w:rsid w:val="4AAF2308"/>
    <w:rsid w:val="4AB57EE6"/>
    <w:rsid w:val="4ABB02DF"/>
    <w:rsid w:val="4AC35F73"/>
    <w:rsid w:val="4AEF3971"/>
    <w:rsid w:val="4B58293F"/>
    <w:rsid w:val="4BB00614"/>
    <w:rsid w:val="4BBE271D"/>
    <w:rsid w:val="4C0349EB"/>
    <w:rsid w:val="4C0A5A39"/>
    <w:rsid w:val="4C164630"/>
    <w:rsid w:val="4C4A21E2"/>
    <w:rsid w:val="4C665FF7"/>
    <w:rsid w:val="4C7572C8"/>
    <w:rsid w:val="4C8B0323"/>
    <w:rsid w:val="4CD077EF"/>
    <w:rsid w:val="4CD36977"/>
    <w:rsid w:val="4D037A65"/>
    <w:rsid w:val="4D2D02AC"/>
    <w:rsid w:val="4D2F63C0"/>
    <w:rsid w:val="4E06127B"/>
    <w:rsid w:val="4E4A536B"/>
    <w:rsid w:val="4E4B73EF"/>
    <w:rsid w:val="4E4F342C"/>
    <w:rsid w:val="4E5E7EC5"/>
    <w:rsid w:val="4EF7297C"/>
    <w:rsid w:val="4F594548"/>
    <w:rsid w:val="4FCC14FB"/>
    <w:rsid w:val="501130AA"/>
    <w:rsid w:val="50333471"/>
    <w:rsid w:val="50533FBC"/>
    <w:rsid w:val="506502BC"/>
    <w:rsid w:val="50650339"/>
    <w:rsid w:val="507E1363"/>
    <w:rsid w:val="50927059"/>
    <w:rsid w:val="50F20361"/>
    <w:rsid w:val="5120336C"/>
    <w:rsid w:val="51244EA7"/>
    <w:rsid w:val="512E4804"/>
    <w:rsid w:val="51910580"/>
    <w:rsid w:val="51B0116B"/>
    <w:rsid w:val="523124F7"/>
    <w:rsid w:val="523F4568"/>
    <w:rsid w:val="525F212B"/>
    <w:rsid w:val="52C40D12"/>
    <w:rsid w:val="52C45579"/>
    <w:rsid w:val="52D6040C"/>
    <w:rsid w:val="54474172"/>
    <w:rsid w:val="548023EE"/>
    <w:rsid w:val="54B963EF"/>
    <w:rsid w:val="54D06797"/>
    <w:rsid w:val="551D3ECB"/>
    <w:rsid w:val="553958FB"/>
    <w:rsid w:val="556637E0"/>
    <w:rsid w:val="556D22CE"/>
    <w:rsid w:val="556E2C54"/>
    <w:rsid w:val="55841C20"/>
    <w:rsid w:val="55997500"/>
    <w:rsid w:val="55A63006"/>
    <w:rsid w:val="55BF4462"/>
    <w:rsid w:val="562E4702"/>
    <w:rsid w:val="56346687"/>
    <w:rsid w:val="56422F2D"/>
    <w:rsid w:val="56833920"/>
    <w:rsid w:val="56D65A9F"/>
    <w:rsid w:val="56E45F7C"/>
    <w:rsid w:val="571E58AB"/>
    <w:rsid w:val="57214B65"/>
    <w:rsid w:val="57510FB8"/>
    <w:rsid w:val="5798564F"/>
    <w:rsid w:val="57C71A72"/>
    <w:rsid w:val="57D50D90"/>
    <w:rsid w:val="581A4F3E"/>
    <w:rsid w:val="584B3680"/>
    <w:rsid w:val="5867685D"/>
    <w:rsid w:val="586B078E"/>
    <w:rsid w:val="58721DA3"/>
    <w:rsid w:val="588D2C07"/>
    <w:rsid w:val="58B91AF5"/>
    <w:rsid w:val="59223858"/>
    <w:rsid w:val="59311DA4"/>
    <w:rsid w:val="59412832"/>
    <w:rsid w:val="5946228B"/>
    <w:rsid w:val="59655D17"/>
    <w:rsid w:val="596B4D56"/>
    <w:rsid w:val="597E7D4E"/>
    <w:rsid w:val="598C341C"/>
    <w:rsid w:val="59A47A42"/>
    <w:rsid w:val="59B3153A"/>
    <w:rsid w:val="5AA16E22"/>
    <w:rsid w:val="5B2050EE"/>
    <w:rsid w:val="5BAC3360"/>
    <w:rsid w:val="5BE6035B"/>
    <w:rsid w:val="5BFB228D"/>
    <w:rsid w:val="5C096B6A"/>
    <w:rsid w:val="5C674FEE"/>
    <w:rsid w:val="5C687F0E"/>
    <w:rsid w:val="5CD76B57"/>
    <w:rsid w:val="5D362CF5"/>
    <w:rsid w:val="5D511AAC"/>
    <w:rsid w:val="5D5706F1"/>
    <w:rsid w:val="5D955594"/>
    <w:rsid w:val="5DA65884"/>
    <w:rsid w:val="5DBD2DD9"/>
    <w:rsid w:val="5E4043EA"/>
    <w:rsid w:val="5E484099"/>
    <w:rsid w:val="5EA01FDC"/>
    <w:rsid w:val="5EA20EDE"/>
    <w:rsid w:val="5EA636FB"/>
    <w:rsid w:val="5EB07622"/>
    <w:rsid w:val="5ECB4BAD"/>
    <w:rsid w:val="5F030AEF"/>
    <w:rsid w:val="5F317774"/>
    <w:rsid w:val="5FB52C88"/>
    <w:rsid w:val="6045269B"/>
    <w:rsid w:val="604822DE"/>
    <w:rsid w:val="606F0DF2"/>
    <w:rsid w:val="60A359B3"/>
    <w:rsid w:val="60AF591A"/>
    <w:rsid w:val="60C5341E"/>
    <w:rsid w:val="60CA5860"/>
    <w:rsid w:val="60EB11A0"/>
    <w:rsid w:val="60F634EE"/>
    <w:rsid w:val="612D481E"/>
    <w:rsid w:val="613C3A8E"/>
    <w:rsid w:val="61557371"/>
    <w:rsid w:val="61761E09"/>
    <w:rsid w:val="61D40CF2"/>
    <w:rsid w:val="62513255"/>
    <w:rsid w:val="62842BC1"/>
    <w:rsid w:val="639E4E16"/>
    <w:rsid w:val="63E3620E"/>
    <w:rsid w:val="64784D3C"/>
    <w:rsid w:val="64927376"/>
    <w:rsid w:val="64996434"/>
    <w:rsid w:val="653B0BA4"/>
    <w:rsid w:val="653F258E"/>
    <w:rsid w:val="65417807"/>
    <w:rsid w:val="6548596B"/>
    <w:rsid w:val="655F48CF"/>
    <w:rsid w:val="655F5C98"/>
    <w:rsid w:val="65A5740C"/>
    <w:rsid w:val="65AA130A"/>
    <w:rsid w:val="65B66C4F"/>
    <w:rsid w:val="65DF0EF8"/>
    <w:rsid w:val="65E23E6D"/>
    <w:rsid w:val="66280092"/>
    <w:rsid w:val="666C6BAC"/>
    <w:rsid w:val="666F58BA"/>
    <w:rsid w:val="66CE0684"/>
    <w:rsid w:val="67C341E6"/>
    <w:rsid w:val="67DA6B1F"/>
    <w:rsid w:val="67F00691"/>
    <w:rsid w:val="6851511C"/>
    <w:rsid w:val="68555071"/>
    <w:rsid w:val="68B35848"/>
    <w:rsid w:val="692118B2"/>
    <w:rsid w:val="6931763B"/>
    <w:rsid w:val="69553490"/>
    <w:rsid w:val="69806092"/>
    <w:rsid w:val="699C2C6F"/>
    <w:rsid w:val="69C06A35"/>
    <w:rsid w:val="69D25BF7"/>
    <w:rsid w:val="69FA48AB"/>
    <w:rsid w:val="6A897560"/>
    <w:rsid w:val="6AA65E92"/>
    <w:rsid w:val="6AAF7907"/>
    <w:rsid w:val="6AF011F8"/>
    <w:rsid w:val="6B0D6BD7"/>
    <w:rsid w:val="6B466676"/>
    <w:rsid w:val="6B4D2FF0"/>
    <w:rsid w:val="6B8D3F9D"/>
    <w:rsid w:val="6BB30E27"/>
    <w:rsid w:val="6C19430D"/>
    <w:rsid w:val="6CB66AB5"/>
    <w:rsid w:val="6CFA09D4"/>
    <w:rsid w:val="6D805E1E"/>
    <w:rsid w:val="6D857408"/>
    <w:rsid w:val="6D8740DC"/>
    <w:rsid w:val="6D8A376E"/>
    <w:rsid w:val="6D8C0835"/>
    <w:rsid w:val="6DC96916"/>
    <w:rsid w:val="6E192D6A"/>
    <w:rsid w:val="6E5371E2"/>
    <w:rsid w:val="6E8C6F75"/>
    <w:rsid w:val="6EBC1EDA"/>
    <w:rsid w:val="6EC045AA"/>
    <w:rsid w:val="6EF4534F"/>
    <w:rsid w:val="6F4E5336"/>
    <w:rsid w:val="6F6138D5"/>
    <w:rsid w:val="6F7536A3"/>
    <w:rsid w:val="70202F8D"/>
    <w:rsid w:val="703A2C6B"/>
    <w:rsid w:val="70AB6AFA"/>
    <w:rsid w:val="70CD2A5C"/>
    <w:rsid w:val="70FD22D9"/>
    <w:rsid w:val="71296E49"/>
    <w:rsid w:val="71636660"/>
    <w:rsid w:val="71D423E7"/>
    <w:rsid w:val="722544E6"/>
    <w:rsid w:val="722A2C9A"/>
    <w:rsid w:val="72323FC1"/>
    <w:rsid w:val="726E45C9"/>
    <w:rsid w:val="72AC0639"/>
    <w:rsid w:val="72CA0B29"/>
    <w:rsid w:val="72D24CDE"/>
    <w:rsid w:val="72F25F27"/>
    <w:rsid w:val="730A74F1"/>
    <w:rsid w:val="733B329A"/>
    <w:rsid w:val="73535412"/>
    <w:rsid w:val="735C5471"/>
    <w:rsid w:val="73614945"/>
    <w:rsid w:val="73893F49"/>
    <w:rsid w:val="73A31502"/>
    <w:rsid w:val="73A812E6"/>
    <w:rsid w:val="73E328AF"/>
    <w:rsid w:val="74310ADB"/>
    <w:rsid w:val="750D146C"/>
    <w:rsid w:val="752061DE"/>
    <w:rsid w:val="7553798F"/>
    <w:rsid w:val="75653567"/>
    <w:rsid w:val="75A23713"/>
    <w:rsid w:val="75A8711D"/>
    <w:rsid w:val="75D760F2"/>
    <w:rsid w:val="75FC7D87"/>
    <w:rsid w:val="760F70F6"/>
    <w:rsid w:val="76466E3A"/>
    <w:rsid w:val="764B292B"/>
    <w:rsid w:val="764D2910"/>
    <w:rsid w:val="766E4336"/>
    <w:rsid w:val="76723ED8"/>
    <w:rsid w:val="769900D4"/>
    <w:rsid w:val="76B612C5"/>
    <w:rsid w:val="76C658CD"/>
    <w:rsid w:val="76DA23A7"/>
    <w:rsid w:val="76DB533A"/>
    <w:rsid w:val="76F44F6E"/>
    <w:rsid w:val="78297E13"/>
    <w:rsid w:val="783D26D2"/>
    <w:rsid w:val="78BA489F"/>
    <w:rsid w:val="78DD6B67"/>
    <w:rsid w:val="78DE4717"/>
    <w:rsid w:val="7A291B36"/>
    <w:rsid w:val="7A2D6128"/>
    <w:rsid w:val="7A354410"/>
    <w:rsid w:val="7A4D7C58"/>
    <w:rsid w:val="7A99460D"/>
    <w:rsid w:val="7AB75327"/>
    <w:rsid w:val="7B4A6407"/>
    <w:rsid w:val="7B4C3B41"/>
    <w:rsid w:val="7B7E617B"/>
    <w:rsid w:val="7B930B0E"/>
    <w:rsid w:val="7BEE1377"/>
    <w:rsid w:val="7C4571B9"/>
    <w:rsid w:val="7C5465C7"/>
    <w:rsid w:val="7C55146B"/>
    <w:rsid w:val="7D074257"/>
    <w:rsid w:val="7D37747A"/>
    <w:rsid w:val="7D603AA1"/>
    <w:rsid w:val="7D7F22E2"/>
    <w:rsid w:val="7DDA4C03"/>
    <w:rsid w:val="7DF5442B"/>
    <w:rsid w:val="7E35496C"/>
    <w:rsid w:val="7E4126F6"/>
    <w:rsid w:val="7E5213EE"/>
    <w:rsid w:val="7E7FDB34"/>
    <w:rsid w:val="7F220FED"/>
    <w:rsid w:val="7FA52B5D"/>
    <w:rsid w:val="7FB22F90"/>
    <w:rsid w:val="7FD7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15"/>
        <o:r id="V:Rule2" type="connector" idref="#直接箭头连接符 5"/>
        <o:r id="V:Rule3" type="connector" idref="#直接箭头连接符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9"/>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6">
    <w:name w:val="heading 5"/>
    <w:basedOn w:val="1"/>
    <w:next w:val="1"/>
    <w:qFormat/>
    <w:uiPriority w:val="9"/>
    <w:pPr>
      <w:keepNext/>
      <w:keepLines/>
      <w:ind w:left="851" w:hanging="851"/>
      <w:outlineLvl w:val="4"/>
    </w:pPr>
    <w:rPr>
      <w:b/>
      <w:bCs/>
      <w:szCs w:val="28"/>
    </w:rPr>
  </w:style>
  <w:style w:type="character" w:default="1" w:styleId="20">
    <w:name w:val="Default Paragraph Font"/>
    <w:link w:val="21"/>
    <w:semiHidden/>
    <w:unhideWhenUsed/>
    <w:qFormat/>
    <w:uiPriority w:val="1"/>
    <w:rPr>
      <w:rFonts w:ascii="Verdana" w:hAnsi="Verdana" w:eastAsia="仿宋_GB2312"/>
      <w:kern w:val="0"/>
      <w:sz w:val="24"/>
      <w:szCs w:val="20"/>
      <w:lang w:eastAsia="en-US"/>
    </w:rPr>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2"/>
    <w:qFormat/>
    <w:uiPriority w:val="99"/>
    <w:pPr>
      <w:tabs>
        <w:tab w:val="center" w:pos="4153"/>
        <w:tab w:val="right" w:pos="8306"/>
      </w:tabs>
      <w:snapToGrid w:val="0"/>
      <w:jc w:val="left"/>
    </w:pPr>
    <w:rPr>
      <w:sz w:val="18"/>
    </w:rPr>
  </w:style>
  <w:style w:type="paragraph" w:styleId="7">
    <w:name w:val="table of authorities"/>
    <w:basedOn w:val="1"/>
    <w:next w:val="1"/>
    <w:qFormat/>
    <w:uiPriority w:val="99"/>
    <w:pPr>
      <w:ind w:left="420" w:leftChars="200"/>
    </w:pPr>
  </w:style>
  <w:style w:type="paragraph" w:styleId="8">
    <w:name w:val="Normal Indent"/>
    <w:basedOn w:val="1"/>
    <w:qFormat/>
    <w:uiPriority w:val="0"/>
    <w:pPr>
      <w:ind w:firstLine="420"/>
    </w:pPr>
  </w:style>
  <w:style w:type="paragraph" w:styleId="9">
    <w:name w:val="Body Text"/>
    <w:basedOn w:val="1"/>
    <w:next w:val="10"/>
    <w:unhideWhenUsed/>
    <w:qFormat/>
    <w:uiPriority w:val="99"/>
    <w:pPr>
      <w:jc w:val="center"/>
    </w:pPr>
    <w:rPr>
      <w:rFonts w:ascii="方正大标宋简体" w:hAnsi="宋体" w:eastAsia="方正大标宋简体"/>
      <w:sz w:val="36"/>
      <w:szCs w:val="36"/>
    </w:rPr>
  </w:style>
  <w:style w:type="paragraph" w:styleId="10">
    <w:name w:val="toc 5"/>
    <w:basedOn w:val="1"/>
    <w:next w:val="1"/>
    <w:unhideWhenUsed/>
    <w:qFormat/>
    <w:uiPriority w:val="39"/>
    <w:pPr>
      <w:ind w:left="1680" w:leftChars="800"/>
    </w:pPr>
  </w:style>
  <w:style w:type="paragraph" w:styleId="11">
    <w:name w:val="Plain Text"/>
    <w:basedOn w:val="1"/>
    <w:link w:val="38"/>
    <w:qFormat/>
    <w:uiPriority w:val="0"/>
    <w:rPr>
      <w:rFonts w:ascii="宋体" w:hAnsi="Courier New" w:eastAsia="宋体" w:cs="Courier New"/>
      <w:szCs w:val="21"/>
    </w:rPr>
  </w:style>
  <w:style w:type="paragraph" w:styleId="12">
    <w:name w:val="Date"/>
    <w:basedOn w:val="1"/>
    <w:next w:val="1"/>
    <w:link w:val="36"/>
    <w:qFormat/>
    <w:uiPriority w:val="0"/>
    <w:pPr>
      <w:ind w:left="100" w:leftChars="2500"/>
    </w:pPr>
  </w:style>
  <w:style w:type="paragraph" w:styleId="13">
    <w:name w:val="header"/>
    <w:basedOn w:val="1"/>
    <w:link w:val="4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2"/>
    <w:basedOn w:val="1"/>
    <w:qFormat/>
    <w:uiPriority w:val="0"/>
    <w:pPr>
      <w:snapToGrid w:val="0"/>
      <w:spacing w:line="540" w:lineRule="exact"/>
    </w:pPr>
    <w:rPr>
      <w:rFonts w:eastAsia="方正仿宋_GBK"/>
      <w:color w:val="000000"/>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jc w:val="left"/>
    </w:pPr>
    <w:rPr>
      <w:rFonts w:ascii="Times New Roman" w:hAnsi="Times New Roman" w:eastAsia="方正仿宋_GBK" w:cs="Times New Roman"/>
      <w:kern w:val="0"/>
      <w:sz w:val="18"/>
      <w:szCs w:val="18"/>
    </w:rPr>
  </w:style>
  <w:style w:type="paragraph" w:styleId="17">
    <w:name w:val="Title"/>
    <w:basedOn w:val="1"/>
    <w:next w:val="1"/>
    <w:qFormat/>
    <w:uiPriority w:val="10"/>
    <w:pPr>
      <w:spacing w:before="240" w:after="60"/>
      <w:jc w:val="center"/>
      <w:outlineLvl w:val="0"/>
    </w:pPr>
    <w:rPr>
      <w:rFonts w:ascii="Cambria" w:hAnsi="Cambria" w:cs="Times New Roman"/>
      <w:b/>
      <w:bCs/>
      <w:sz w:val="32"/>
      <w:szCs w:val="32"/>
    </w:rPr>
  </w:style>
  <w:style w:type="table" w:styleId="19">
    <w:name w:val="Table Grid"/>
    <w:basedOn w:val="1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 Char"/>
    <w:basedOn w:val="1"/>
    <w:link w:val="20"/>
    <w:qFormat/>
    <w:uiPriority w:val="0"/>
    <w:pPr>
      <w:widowControl/>
      <w:spacing w:after="160" w:line="240" w:lineRule="exact"/>
      <w:jc w:val="left"/>
    </w:pPr>
    <w:rPr>
      <w:rFonts w:ascii="Verdana" w:hAnsi="Verdana" w:eastAsia="仿宋_GB2312"/>
      <w:kern w:val="0"/>
      <w:sz w:val="24"/>
      <w:szCs w:val="20"/>
      <w:lang w:eastAsia="en-US"/>
    </w:rPr>
  </w:style>
  <w:style w:type="character" w:styleId="22">
    <w:name w:val="Strong"/>
    <w:basedOn w:val="20"/>
    <w:qFormat/>
    <w:uiPriority w:val="0"/>
    <w:rPr>
      <w:b/>
      <w:bCs/>
    </w:rPr>
  </w:style>
  <w:style w:type="character" w:styleId="23">
    <w:name w:val="page number"/>
    <w:basedOn w:val="20"/>
    <w:qFormat/>
    <w:uiPriority w:val="0"/>
  </w:style>
  <w:style w:type="character" w:styleId="24">
    <w:name w:val="FollowedHyperlink"/>
    <w:unhideWhenUsed/>
    <w:qFormat/>
    <w:uiPriority w:val="99"/>
    <w:rPr>
      <w:color w:val="000000"/>
      <w:u w:val="none"/>
    </w:rPr>
  </w:style>
  <w:style w:type="character" w:styleId="25">
    <w:name w:val="Emphasis"/>
    <w:qFormat/>
    <w:uiPriority w:val="0"/>
    <w:rPr>
      <w:i/>
      <w:iCs/>
    </w:rPr>
  </w:style>
  <w:style w:type="character" w:styleId="26">
    <w:name w:val="HTML Definition"/>
    <w:basedOn w:val="20"/>
    <w:qFormat/>
    <w:uiPriority w:val="0"/>
  </w:style>
  <w:style w:type="character" w:styleId="27">
    <w:name w:val="HTML Acronym"/>
    <w:basedOn w:val="20"/>
    <w:qFormat/>
    <w:uiPriority w:val="0"/>
  </w:style>
  <w:style w:type="character" w:styleId="28">
    <w:name w:val="HTML Variable"/>
    <w:basedOn w:val="20"/>
    <w:qFormat/>
    <w:uiPriority w:val="0"/>
  </w:style>
  <w:style w:type="character" w:styleId="29">
    <w:name w:val="Hyperlink"/>
    <w:basedOn w:val="20"/>
    <w:unhideWhenUsed/>
    <w:qFormat/>
    <w:uiPriority w:val="99"/>
    <w:rPr>
      <w:color w:val="000000"/>
      <w:u w:val="none"/>
    </w:rPr>
  </w:style>
  <w:style w:type="character" w:styleId="30">
    <w:name w:val="HTML Code"/>
    <w:basedOn w:val="20"/>
    <w:qFormat/>
    <w:uiPriority w:val="0"/>
    <w:rPr>
      <w:rFonts w:hint="eastAsia" w:ascii="微软雅黑" w:hAnsi="微软雅黑" w:eastAsia="微软雅黑" w:cs="微软雅黑"/>
      <w:color w:val="333333"/>
      <w:sz w:val="21"/>
      <w:szCs w:val="21"/>
    </w:rPr>
  </w:style>
  <w:style w:type="character" w:styleId="31">
    <w:name w:val="HTML Cite"/>
    <w:basedOn w:val="20"/>
    <w:qFormat/>
    <w:uiPriority w:val="0"/>
  </w:style>
  <w:style w:type="paragraph" w:customStyle="1" w:styleId="32">
    <w:name w:val="BodyText"/>
    <w:basedOn w:val="1"/>
    <w:qFormat/>
    <w:uiPriority w:val="0"/>
    <w:pPr>
      <w:spacing w:after="120" w:line="240" w:lineRule="auto"/>
      <w:jc w:val="both"/>
      <w:textAlignment w:val="baseline"/>
    </w:pPr>
  </w:style>
  <w:style w:type="paragraph" w:customStyle="1" w:styleId="33">
    <w:name w:val="UserStyle_0"/>
    <w:basedOn w:val="1"/>
    <w:next w:val="1"/>
    <w:qFormat/>
    <w:uiPriority w:val="0"/>
    <w:pPr>
      <w:ind w:left="1680"/>
      <w:textAlignment w:val="baseline"/>
    </w:pPr>
    <w:rPr>
      <w:rFonts w:ascii="Times New Roman" w:hAnsi="Times New Roman" w:eastAsia="宋体" w:cs="Times New Roman"/>
    </w:rPr>
  </w:style>
  <w:style w:type="paragraph" w:customStyle="1" w:styleId="34">
    <w:name w:val="无间隔1"/>
    <w:qFormat/>
    <w:uiPriority w:val="1"/>
    <w:pPr>
      <w:jc w:val="both"/>
    </w:pPr>
    <w:rPr>
      <w:rFonts w:ascii="Times New Roman" w:hAnsi="Times New Roman" w:eastAsia="Times New Roman" w:cs="Times New Roman"/>
      <w:sz w:val="21"/>
      <w:szCs w:val="22"/>
      <w:lang w:val="en-US" w:eastAsia="zh-CN" w:bidi="ar-SA"/>
    </w:rPr>
  </w:style>
  <w:style w:type="paragraph" w:customStyle="1" w:styleId="35">
    <w:name w:val="普通(网站)1"/>
    <w:basedOn w:val="1"/>
    <w:qFormat/>
    <w:uiPriority w:val="0"/>
    <w:rPr>
      <w:sz w:val="24"/>
      <w:szCs w:val="22"/>
    </w:rPr>
  </w:style>
  <w:style w:type="character" w:customStyle="1" w:styleId="36">
    <w:name w:val="日期 Char"/>
    <w:basedOn w:val="20"/>
    <w:link w:val="12"/>
    <w:qFormat/>
    <w:uiPriority w:val="0"/>
    <w:rPr>
      <w:rFonts w:asciiTheme="minorHAnsi" w:hAnsiTheme="minorHAnsi" w:eastAsiaTheme="minorEastAsia" w:cstheme="minorBidi"/>
      <w:kern w:val="2"/>
      <w:sz w:val="21"/>
      <w:szCs w:val="24"/>
    </w:rPr>
  </w:style>
  <w:style w:type="paragraph" w:styleId="37">
    <w:name w:val="List Paragraph"/>
    <w:basedOn w:val="1"/>
    <w:qFormat/>
    <w:uiPriority w:val="34"/>
    <w:pPr>
      <w:ind w:firstLine="420" w:firstLineChars="200"/>
    </w:pPr>
    <w:rPr>
      <w:szCs w:val="22"/>
    </w:rPr>
  </w:style>
  <w:style w:type="character" w:customStyle="1" w:styleId="38">
    <w:name w:val="纯文本 Char"/>
    <w:basedOn w:val="20"/>
    <w:link w:val="11"/>
    <w:qFormat/>
    <w:uiPriority w:val="0"/>
    <w:rPr>
      <w:rFonts w:ascii="宋体" w:hAnsi="Courier New" w:cs="Courier New"/>
      <w:kern w:val="2"/>
      <w:sz w:val="21"/>
      <w:szCs w:val="21"/>
    </w:rPr>
  </w:style>
  <w:style w:type="character" w:customStyle="1" w:styleId="39">
    <w:name w:val="标题 1 Char"/>
    <w:basedOn w:val="20"/>
    <w:link w:val="3"/>
    <w:qFormat/>
    <w:uiPriority w:val="0"/>
    <w:rPr>
      <w:rFonts w:ascii="宋体" w:hAnsi="宋体" w:cs="宋体"/>
      <w:b/>
      <w:bCs/>
      <w:kern w:val="36"/>
      <w:sz w:val="48"/>
      <w:szCs w:val="48"/>
    </w:rPr>
  </w:style>
  <w:style w:type="paragraph" w:customStyle="1" w:styleId="40">
    <w:name w:val="标准标题"/>
    <w:next w:val="1"/>
    <w:link w:val="41"/>
    <w:qFormat/>
    <w:uiPriority w:val="99"/>
    <w:pPr>
      <w:spacing w:line="700" w:lineRule="exact"/>
      <w:jc w:val="center"/>
    </w:pPr>
    <w:rPr>
      <w:rFonts w:ascii="方正小标宋_GBK" w:hAnsi="Cambria" w:eastAsia="方正小标宋_GBK" w:cs="Times New Roman"/>
      <w:bCs/>
      <w:kern w:val="2"/>
      <w:sz w:val="44"/>
      <w:szCs w:val="44"/>
      <w:lang w:val="en-US" w:eastAsia="zh-CN" w:bidi="ar-SA"/>
    </w:rPr>
  </w:style>
  <w:style w:type="character" w:customStyle="1" w:styleId="41">
    <w:name w:val="标准标题 Char"/>
    <w:basedOn w:val="20"/>
    <w:link w:val="40"/>
    <w:qFormat/>
    <w:uiPriority w:val="99"/>
    <w:rPr>
      <w:rFonts w:ascii="方正小标宋_GBK" w:hAnsi="Cambria" w:eastAsia="方正小标宋_GBK"/>
      <w:bCs/>
      <w:kern w:val="2"/>
      <w:sz w:val="44"/>
      <w:szCs w:val="44"/>
    </w:rPr>
  </w:style>
  <w:style w:type="character" w:customStyle="1" w:styleId="42">
    <w:name w:val="页脚 Char"/>
    <w:basedOn w:val="20"/>
    <w:link w:val="2"/>
    <w:qFormat/>
    <w:uiPriority w:val="99"/>
    <w:rPr>
      <w:rFonts w:asciiTheme="minorHAnsi" w:hAnsiTheme="minorHAnsi" w:eastAsiaTheme="minorEastAsia" w:cstheme="minorBidi"/>
      <w:kern w:val="2"/>
      <w:sz w:val="18"/>
      <w:szCs w:val="24"/>
    </w:rPr>
  </w:style>
  <w:style w:type="character" w:customStyle="1" w:styleId="43">
    <w:name w:val="页眉 Char"/>
    <w:basedOn w:val="20"/>
    <w:link w:val="13"/>
    <w:qFormat/>
    <w:uiPriority w:val="0"/>
    <w:rPr>
      <w:rFonts w:asciiTheme="minorHAnsi" w:hAnsiTheme="minorHAnsi" w:eastAsiaTheme="minorEastAsia" w:cstheme="minorBidi"/>
      <w:kern w:val="2"/>
      <w:sz w:val="18"/>
      <w:szCs w:val="24"/>
    </w:rPr>
  </w:style>
  <w:style w:type="character" w:customStyle="1" w:styleId="44">
    <w:name w:val="font51"/>
    <w:basedOn w:val="20"/>
    <w:qFormat/>
    <w:uiPriority w:val="0"/>
    <w:rPr>
      <w:rFonts w:hint="eastAsia" w:ascii="宋体" w:hAnsi="宋体" w:eastAsia="宋体" w:cs="宋体"/>
      <w:color w:val="000000"/>
      <w:sz w:val="24"/>
      <w:szCs w:val="24"/>
      <w:u w:val="none"/>
    </w:rPr>
  </w:style>
  <w:style w:type="character" w:customStyle="1" w:styleId="45">
    <w:name w:val="r"/>
    <w:basedOn w:val="20"/>
    <w:qFormat/>
    <w:uiPriority w:val="0"/>
  </w:style>
  <w:style w:type="character" w:customStyle="1" w:styleId="46">
    <w:name w:val="sp1"/>
    <w:basedOn w:val="20"/>
    <w:qFormat/>
    <w:uiPriority w:val="0"/>
  </w:style>
  <w:style w:type="character" w:customStyle="1" w:styleId="47">
    <w:name w:val="l"/>
    <w:basedOn w:val="20"/>
    <w:qFormat/>
    <w:uiPriority w:val="0"/>
  </w:style>
  <w:style w:type="character" w:customStyle="1" w:styleId="48">
    <w:name w:val="r1"/>
    <w:basedOn w:val="20"/>
    <w:qFormat/>
    <w:uiPriority w:val="0"/>
  </w:style>
  <w:style w:type="character" w:customStyle="1" w:styleId="49">
    <w:name w:val="l1"/>
    <w:basedOn w:val="20"/>
    <w:qFormat/>
    <w:uiPriority w:val="0"/>
  </w:style>
  <w:style w:type="character" w:customStyle="1" w:styleId="50">
    <w:name w:val="sp3"/>
    <w:basedOn w:val="20"/>
    <w:qFormat/>
    <w:uiPriority w:val="0"/>
  </w:style>
  <w:style w:type="character" w:customStyle="1" w:styleId="51">
    <w:name w:val="sp2"/>
    <w:basedOn w:val="20"/>
    <w:qFormat/>
    <w:uiPriority w:val="0"/>
  </w:style>
  <w:style w:type="character" w:customStyle="1" w:styleId="52">
    <w:name w:val="btn4"/>
    <w:basedOn w:val="20"/>
    <w:qFormat/>
    <w:uiPriority w:val="0"/>
  </w:style>
  <w:style w:type="paragraph" w:customStyle="1" w:styleId="5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54">
    <w:name w:val="列出段落1"/>
    <w:qFormat/>
    <w:uiPriority w:val="0"/>
    <w:pPr>
      <w:ind w:firstLine="420" w:firstLineChars="200"/>
    </w:pPr>
    <w:rPr>
      <w:rFonts w:ascii="Times New Roman" w:hAnsi="Times New Roman" w:eastAsia="宋体" w:cs="Calibri"/>
      <w:sz w:val="21"/>
      <w:szCs w:val="22"/>
      <w:lang w:val="en-US" w:eastAsia="zh-CN" w:bidi="ar-SA"/>
    </w:rPr>
  </w:style>
  <w:style w:type="paragraph" w:customStyle="1" w:styleId="55">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56">
    <w:name w:val="NormalCharacter"/>
    <w:semiHidden/>
    <w:qFormat/>
    <w:uiPriority w:val="0"/>
    <w:rPr>
      <w:rFonts w:ascii="Calibri" w:hAnsi="Calibri" w:eastAsia="宋体" w:cs="Times New Roman"/>
      <w:kern w:val="2"/>
      <w:sz w:val="28"/>
      <w:szCs w:val="24"/>
      <w:lang w:val="en-US" w:eastAsia="zh-CN" w:bidi="ar-SA"/>
    </w:rPr>
  </w:style>
  <w:style w:type="paragraph" w:customStyle="1" w:styleId="57">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textRotate="1"/>
    <customShpInfo spid="_x0000_s2051"/>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78</Words>
  <Characters>445</Characters>
  <Lines>3</Lines>
  <Paragraphs>1</Paragraphs>
  <TotalTime>0</TotalTime>
  <ScaleCrop>false</ScaleCrop>
  <LinksUpToDate>false</LinksUpToDate>
  <CharactersWithSpaces>522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杨倩怡</cp:lastModifiedBy>
  <cp:lastPrinted>2023-08-10T08:58:00Z</cp:lastPrinted>
  <dcterms:modified xsi:type="dcterms:W3CDTF">2024-12-26T01:52:34Z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A8581C36317241C98F3BFC28CD79AD65_12</vt:lpwstr>
  </property>
</Properties>
</file>