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outlineLvl w:val="0"/>
        <w:rPr>
          <w:rFonts w:hint="eastAsia" w:ascii="方正黑体_GBK" w:hAnsi="宋体" w:eastAsia="方正黑体_GBK"/>
          <w:color w:val="auto"/>
          <w:sz w:val="130"/>
          <w:szCs w:val="130"/>
        </w:rPr>
      </w:pPr>
      <w:r>
        <w:rPr>
          <w:rFonts w:hint="eastAsia" w:ascii="方正黑体_GBK" w:hAnsi="宋体" w:eastAsia="方正黑体_GBK"/>
          <w:color w:val="auto"/>
          <w:sz w:val="130"/>
          <w:szCs w:val="130"/>
          <w:lang w:val="en-US" w:eastAsia="zh-CN"/>
        </w:rPr>
        <w:t>竞争性磋商</w:t>
      </w:r>
      <w:r>
        <w:rPr>
          <w:rFonts w:hint="eastAsia" w:ascii="方正黑体_GBK" w:hAnsi="宋体" w:eastAsia="方正黑体_GBK"/>
          <w:color w:val="auto"/>
          <w:sz w:val="130"/>
          <w:szCs w:val="130"/>
        </w:rPr>
        <w:t>文件</w:t>
      </w:r>
    </w:p>
    <w:p>
      <w:pPr>
        <w:rPr>
          <w:rFonts w:hint="eastAsia" w:ascii="仿宋" w:hAnsi="仿宋" w:eastAsia="仿宋" w:cs="仿宋"/>
          <w:color w:val="auto"/>
          <w:sz w:val="36"/>
          <w:szCs w:val="36"/>
          <w:highlight w:val="none"/>
        </w:rPr>
      </w:pPr>
    </w:p>
    <w:p>
      <w:pPr>
        <w:rPr>
          <w:rFonts w:hint="eastAsia" w:ascii="仿宋" w:hAnsi="仿宋" w:eastAsia="仿宋" w:cs="仿宋"/>
          <w:color w:val="auto"/>
          <w:sz w:val="36"/>
          <w:szCs w:val="36"/>
          <w:highlight w:val="none"/>
        </w:rPr>
      </w:pPr>
    </w:p>
    <w:p>
      <w:pPr>
        <w:rPr>
          <w:rFonts w:hint="eastAsia" w:ascii="仿宋" w:hAnsi="仿宋" w:eastAsia="仿宋" w:cs="仿宋"/>
          <w:color w:val="auto"/>
          <w:sz w:val="36"/>
          <w:szCs w:val="36"/>
          <w:highlight w:val="none"/>
        </w:rPr>
      </w:pPr>
    </w:p>
    <w:p>
      <w:pPr>
        <w:rPr>
          <w:rFonts w:hint="eastAsia" w:ascii="仿宋" w:hAnsi="仿宋" w:eastAsia="仿宋" w:cs="仿宋"/>
          <w:color w:val="auto"/>
          <w:sz w:val="36"/>
          <w:szCs w:val="36"/>
          <w:highlight w:val="none"/>
        </w:rPr>
      </w:pPr>
    </w:p>
    <w:p>
      <w:pPr>
        <w:rPr>
          <w:rFonts w:hint="eastAsia" w:ascii="仿宋" w:hAnsi="仿宋" w:eastAsia="仿宋" w:cs="仿宋"/>
          <w:color w:val="auto"/>
          <w:sz w:val="36"/>
          <w:szCs w:val="36"/>
          <w:highlight w:val="none"/>
        </w:rPr>
      </w:pPr>
    </w:p>
    <w:p>
      <w:pPr>
        <w:rPr>
          <w:rFonts w:hint="eastAsia" w:ascii="仿宋" w:hAnsi="仿宋" w:eastAsia="仿宋" w:cs="仿宋"/>
          <w:color w:val="auto"/>
          <w:sz w:val="36"/>
          <w:szCs w:val="36"/>
          <w:highlight w:val="none"/>
        </w:rPr>
      </w:pPr>
    </w:p>
    <w:p>
      <w:pPr>
        <w:ind w:firstLine="720" w:firstLineChars="200"/>
        <w:rPr>
          <w:rFonts w:hint="eastAsia" w:ascii="方正黑体_GBK" w:hAnsi="方正黑体_GBK" w:eastAsia="方正黑体_GBK" w:cs="方正黑体_GBK"/>
          <w:color w:val="auto"/>
          <w:sz w:val="36"/>
          <w:szCs w:val="36"/>
          <w:highlight w:val="none"/>
          <w:lang w:val="en-US" w:eastAsia="zh-CN"/>
        </w:rPr>
      </w:pPr>
      <w:r>
        <w:rPr>
          <w:rFonts w:hint="eastAsia" w:ascii="方正黑体_GBK" w:hAnsi="方正黑体_GBK" w:eastAsia="方正黑体_GBK" w:cs="方正黑体_GBK"/>
          <w:color w:val="auto"/>
          <w:sz w:val="36"/>
          <w:szCs w:val="36"/>
          <w:highlight w:val="none"/>
        </w:rPr>
        <w:t>项目名称：</w:t>
      </w:r>
      <w:r>
        <w:rPr>
          <w:rFonts w:hint="eastAsia" w:ascii="方正黑体_GBK" w:hAnsi="方正黑体_GBK" w:eastAsia="方正黑体_GBK" w:cs="方正黑体_GBK"/>
          <w:color w:val="auto"/>
          <w:sz w:val="36"/>
          <w:szCs w:val="36"/>
          <w:highlight w:val="none"/>
          <w:lang w:val="en-US" w:eastAsia="zh-CN"/>
        </w:rPr>
        <w:t>渝北区2024年商贸行业安全培训项目</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spacing w:line="500" w:lineRule="exact"/>
        <w:jc w:val="center"/>
        <w:outlineLvl w:val="0"/>
        <w:rPr>
          <w:rFonts w:hint="eastAsia" w:ascii="方正小标宋_GBK" w:eastAsia="方正小标宋_GBK"/>
          <w:color w:val="auto"/>
          <w:sz w:val="36"/>
          <w:szCs w:val="36"/>
        </w:rPr>
      </w:pPr>
      <w:r>
        <w:rPr>
          <w:rFonts w:hint="eastAsia" w:ascii="方正小标宋_GBK" w:eastAsia="方正小标宋_GBK"/>
          <w:color w:val="auto"/>
          <w:sz w:val="36"/>
          <w:szCs w:val="36"/>
        </w:rPr>
        <w:t>采购人：</w:t>
      </w:r>
      <w:r>
        <w:rPr>
          <w:rFonts w:hint="eastAsia" w:ascii="方正小标宋_GBK" w:eastAsia="方正小标宋_GBK"/>
          <w:color w:val="auto"/>
          <w:sz w:val="36"/>
          <w:szCs w:val="36"/>
          <w:lang w:eastAsia="zh-CN"/>
        </w:rPr>
        <w:t>重庆市渝北区商务委员会</w:t>
      </w:r>
      <w:r>
        <w:rPr>
          <w:rFonts w:hint="eastAsia" w:ascii="方正小标宋_GBK" w:eastAsia="方正小标宋_GBK"/>
          <w:color w:val="auto"/>
          <w:sz w:val="36"/>
          <w:szCs w:val="36"/>
        </w:rPr>
        <w:t xml:space="preserve"> </w:t>
      </w:r>
    </w:p>
    <w:p>
      <w:pPr>
        <w:spacing w:line="500" w:lineRule="exact"/>
        <w:jc w:val="center"/>
        <w:outlineLvl w:val="0"/>
        <w:rPr>
          <w:rFonts w:hint="eastAsia" w:ascii="方正小标宋_GBK" w:eastAsia="方正小标宋_GBK"/>
          <w:color w:val="auto"/>
          <w:sz w:val="36"/>
          <w:szCs w:val="36"/>
        </w:rPr>
      </w:pPr>
    </w:p>
    <w:p>
      <w:pPr>
        <w:ind w:firstLine="2880" w:firstLineChars="800"/>
        <w:rPr>
          <w:rFonts w:hint="eastAsia" w:ascii="方正小标宋_GBK" w:hAnsi="宋体" w:eastAsia="方正小标宋_GBK"/>
          <w:color w:val="auto"/>
          <w:sz w:val="36"/>
          <w:szCs w:val="36"/>
        </w:rPr>
      </w:pPr>
      <w:r>
        <w:rPr>
          <w:rFonts w:hint="eastAsia" w:ascii="方正小标宋_GBK" w:hAnsi="宋体" w:eastAsia="方正小标宋_GBK"/>
          <w:color w:val="auto"/>
          <w:sz w:val="36"/>
          <w:szCs w:val="36"/>
        </w:rPr>
        <w:t>二〇二</w:t>
      </w:r>
      <w:r>
        <w:rPr>
          <w:rFonts w:hint="eastAsia" w:ascii="方正小标宋_GBK" w:hAnsi="宋体" w:eastAsia="方正小标宋_GBK"/>
          <w:color w:val="auto"/>
          <w:sz w:val="36"/>
          <w:szCs w:val="36"/>
          <w:lang w:val="en-US" w:eastAsia="zh-CN"/>
        </w:rPr>
        <w:t>四</w:t>
      </w:r>
      <w:r>
        <w:rPr>
          <w:rFonts w:hint="eastAsia" w:ascii="方正小标宋_GBK" w:hAnsi="宋体" w:eastAsia="方正小标宋_GBK"/>
          <w:color w:val="auto"/>
          <w:sz w:val="36"/>
          <w:szCs w:val="36"/>
        </w:rPr>
        <w:t>年</w:t>
      </w:r>
      <w:r>
        <w:rPr>
          <w:rFonts w:hint="eastAsia" w:ascii="方正小标宋_GBK" w:hAnsi="宋体" w:eastAsia="方正小标宋_GBK"/>
          <w:color w:val="auto"/>
          <w:sz w:val="36"/>
          <w:szCs w:val="36"/>
          <w:lang w:val="en-US" w:eastAsia="zh-CN"/>
        </w:rPr>
        <w:t>十一</w:t>
      </w:r>
      <w:r>
        <w:rPr>
          <w:rFonts w:hint="eastAsia" w:ascii="方正小标宋_GBK" w:hAnsi="宋体" w:eastAsia="方正小标宋_GBK"/>
          <w:color w:val="auto"/>
          <w:sz w:val="36"/>
          <w:szCs w:val="36"/>
        </w:rPr>
        <w:t>月</w:t>
      </w:r>
    </w:p>
    <w:p>
      <w:pPr>
        <w:ind w:firstLine="2880" w:firstLineChars="800"/>
        <w:rPr>
          <w:rFonts w:hint="eastAsia" w:ascii="方正小标宋_GBK" w:hAnsi="宋体" w:eastAsia="方正小标宋_GBK"/>
          <w:color w:val="auto"/>
          <w:sz w:val="36"/>
          <w:szCs w:val="36"/>
        </w:rPr>
      </w:pPr>
    </w:p>
    <w:p>
      <w:pPr>
        <w:ind w:firstLine="2880" w:firstLineChars="800"/>
        <w:rPr>
          <w:rFonts w:hint="eastAsia" w:ascii="方正小标宋_GBK" w:hAnsi="宋体" w:eastAsia="方正小标宋_GBK"/>
          <w:color w:val="auto"/>
          <w:sz w:val="36"/>
          <w:szCs w:val="36"/>
        </w:rPr>
      </w:pPr>
    </w:p>
    <w:p>
      <w:pPr>
        <w:ind w:firstLine="2880" w:firstLineChars="800"/>
        <w:rPr>
          <w:rFonts w:hint="eastAsia" w:ascii="方正小标宋_GBK" w:hAnsi="宋体" w:eastAsia="方正小标宋_GBK"/>
          <w:color w:val="auto"/>
          <w:sz w:val="36"/>
          <w:szCs w:val="36"/>
          <w:lang w:eastAsia="zh-CN"/>
        </w:rPr>
      </w:pPr>
    </w:p>
    <w:p>
      <w:pPr>
        <w:ind w:firstLine="2880" w:firstLineChars="800"/>
        <w:rPr>
          <w:rFonts w:hint="eastAsia" w:ascii="方正小标宋_GBK" w:hAnsi="宋体" w:eastAsia="方正小标宋_GBK"/>
          <w:color w:val="auto"/>
          <w:sz w:val="36"/>
          <w:szCs w:val="36"/>
        </w:rPr>
      </w:pPr>
    </w:p>
    <w:p>
      <w:pPr>
        <w:ind w:firstLine="2880" w:firstLineChars="800"/>
        <w:rPr>
          <w:rFonts w:hint="eastAsia" w:ascii="方正小标宋_GBK" w:hAnsi="宋体" w:eastAsia="方正小标宋_GBK"/>
          <w:color w:val="auto"/>
          <w:sz w:val="36"/>
          <w:szCs w:val="36"/>
        </w:rPr>
      </w:pPr>
    </w:p>
    <w:p>
      <w:pPr>
        <w:ind w:firstLine="2880" w:firstLineChars="800"/>
        <w:rPr>
          <w:rFonts w:hint="eastAsia" w:ascii="方正小标宋_GBK" w:hAnsi="宋体" w:eastAsia="方正小标宋_GBK"/>
          <w:color w:val="auto"/>
          <w:sz w:val="36"/>
          <w:szCs w:val="36"/>
        </w:rPr>
      </w:pPr>
    </w:p>
    <w:p>
      <w:pPr>
        <w:ind w:firstLine="2880" w:firstLineChars="800"/>
        <w:rPr>
          <w:rFonts w:hint="eastAsia" w:ascii="方正小标宋_GBK" w:hAnsi="宋体" w:eastAsia="方正小标宋_GBK"/>
          <w:color w:val="auto"/>
          <w:sz w:val="36"/>
          <w:szCs w:val="36"/>
        </w:rPr>
      </w:pPr>
    </w:p>
    <w:p>
      <w:pPr>
        <w:ind w:firstLine="2880" w:firstLineChars="800"/>
        <w:rPr>
          <w:rFonts w:hint="eastAsia" w:ascii="方正小标宋_GBK" w:hAnsi="宋体" w:eastAsia="方正小标宋_GBK"/>
          <w:color w:val="auto"/>
          <w:sz w:val="36"/>
          <w:szCs w:val="36"/>
        </w:rPr>
      </w:pPr>
    </w:p>
    <w:p>
      <w:pPr>
        <w:ind w:firstLine="2880" w:firstLineChars="800"/>
        <w:rPr>
          <w:rFonts w:hint="eastAsia" w:ascii="方正小标宋_GBK" w:hAnsi="宋体" w:eastAsia="方正小标宋_GBK"/>
          <w:color w:val="auto"/>
          <w:sz w:val="36"/>
          <w:szCs w:val="36"/>
        </w:rPr>
      </w:pPr>
    </w:p>
    <w:p>
      <w:pPr>
        <w:ind w:firstLine="2880" w:firstLineChars="800"/>
        <w:rPr>
          <w:rFonts w:hint="eastAsia" w:ascii="方正小标宋_GBK" w:hAnsi="宋体" w:eastAsia="方正小标宋_GBK"/>
          <w:color w:val="auto"/>
          <w:sz w:val="36"/>
          <w:szCs w:val="36"/>
        </w:rPr>
      </w:pPr>
    </w:p>
    <w:p>
      <w:pPr>
        <w:pStyle w:val="4"/>
        <w:spacing w:line="360" w:lineRule="auto"/>
        <w:jc w:val="center"/>
        <w:outlineLvl w:val="0"/>
        <w:rPr>
          <w:rFonts w:hint="eastAsia" w:ascii="方正小标宋_GBK" w:hAnsi="方正小标宋_GBK" w:eastAsia="方正小标宋_GBK" w:cs="方正小标宋_GBK"/>
          <w:b/>
          <w:bCs/>
          <w:color w:val="auto"/>
          <w:sz w:val="44"/>
          <w:szCs w:val="44"/>
          <w:highlight w:val="none"/>
        </w:rPr>
      </w:pPr>
      <w:bookmarkStart w:id="0" w:name="_Toc9676"/>
      <w:bookmarkStart w:id="1" w:name="_Toc9206"/>
      <w:r>
        <w:rPr>
          <w:rFonts w:hint="eastAsia" w:ascii="方正小标宋_GBK" w:hAnsi="方正小标宋_GBK" w:eastAsia="方正小标宋_GBK" w:cs="方正小标宋_GBK"/>
          <w:b/>
          <w:bCs/>
          <w:color w:val="auto"/>
          <w:sz w:val="44"/>
          <w:szCs w:val="44"/>
          <w:highlight w:val="none"/>
        </w:rPr>
        <w:t xml:space="preserve">第一篇  </w:t>
      </w:r>
      <w:r>
        <w:rPr>
          <w:rFonts w:hint="eastAsia" w:ascii="方正小标宋_GBK" w:hAnsi="方正小标宋_GBK" w:eastAsia="方正小标宋_GBK" w:cs="方正小标宋_GBK"/>
          <w:b/>
          <w:bCs/>
          <w:color w:val="auto"/>
          <w:sz w:val="44"/>
          <w:szCs w:val="44"/>
          <w:highlight w:val="none"/>
          <w:lang w:val="en-US" w:eastAsia="zh-CN"/>
        </w:rPr>
        <w:t>竞争性磋商</w:t>
      </w:r>
      <w:r>
        <w:rPr>
          <w:rFonts w:hint="eastAsia" w:ascii="方正小标宋_GBK" w:hAnsi="方正小标宋_GBK" w:eastAsia="方正小标宋_GBK" w:cs="方正小标宋_GBK"/>
          <w:b/>
          <w:bCs/>
          <w:color w:val="auto"/>
          <w:sz w:val="44"/>
          <w:szCs w:val="44"/>
          <w:highlight w:val="none"/>
        </w:rPr>
        <w:t>邀请书</w:t>
      </w:r>
      <w:bookmarkEnd w:id="0"/>
      <w:bookmarkEnd w:id="1"/>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napToGrid w:val="0"/>
          <w:color w:val="auto"/>
          <w:kern w:val="0"/>
          <w:sz w:val="32"/>
          <w:szCs w:val="32"/>
          <w:highlight w:val="none"/>
        </w:rPr>
      </w:pPr>
      <w:bookmarkStart w:id="2" w:name="_Toc7226"/>
      <w:bookmarkStart w:id="3" w:name="_Toc26821_WPSOffice_Level2"/>
      <w:bookmarkStart w:id="4" w:name="_Toc313893526"/>
      <w:bookmarkStart w:id="5" w:name="_Toc317775175"/>
      <w:bookmarkStart w:id="6" w:name="_Toc15449_WPSOffice_Level2"/>
      <w:r>
        <w:rPr>
          <w:rFonts w:hint="eastAsia" w:ascii="仿宋_GB2312" w:hAnsi="仿宋_GB2312" w:eastAsia="仿宋_GB2312" w:cs="仿宋_GB2312"/>
          <w:color w:val="auto"/>
          <w:sz w:val="32"/>
          <w:szCs w:val="32"/>
          <w:lang w:eastAsia="zh-CN"/>
        </w:rPr>
        <w:t>重庆市渝北区商务委员会（以下简称：采购人）对“</w:t>
      </w:r>
      <w:r>
        <w:rPr>
          <w:rFonts w:hint="eastAsia" w:ascii="仿宋_GB2312" w:hAnsi="仿宋_GB2312" w:eastAsia="仿宋_GB2312" w:cs="仿宋_GB2312"/>
          <w:snapToGrid w:val="0"/>
          <w:color w:val="auto"/>
          <w:kern w:val="0"/>
          <w:sz w:val="32"/>
          <w:szCs w:val="32"/>
          <w:highlight w:val="none"/>
          <w:lang w:val="en-US" w:eastAsia="zh-CN"/>
        </w:rPr>
        <w:t>渝北区2024年商贸行业安全培训</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sz w:val="32"/>
          <w:szCs w:val="32"/>
          <w:lang w:eastAsia="zh-CN"/>
        </w:rPr>
        <w:t>项目进行</w:t>
      </w:r>
      <w:r>
        <w:rPr>
          <w:rFonts w:hint="eastAsia" w:ascii="仿宋_GB2312" w:hAnsi="仿宋_GB2312" w:eastAsia="仿宋_GB2312" w:cs="仿宋_GB2312"/>
          <w:color w:val="auto"/>
          <w:sz w:val="32"/>
          <w:szCs w:val="32"/>
          <w:lang w:val="en-US" w:eastAsia="zh-CN"/>
        </w:rPr>
        <w:t>竞争性磋商</w:t>
      </w:r>
      <w:r>
        <w:rPr>
          <w:rFonts w:hint="eastAsia" w:ascii="仿宋_GB2312" w:hAnsi="仿宋_GB2312" w:eastAsia="仿宋_GB2312" w:cs="仿宋_GB2312"/>
          <w:color w:val="auto"/>
          <w:sz w:val="32"/>
          <w:szCs w:val="32"/>
          <w:lang w:eastAsia="zh-CN"/>
        </w:rPr>
        <w:t>。欢迎有资格的供应商前来参与</w:t>
      </w:r>
      <w:r>
        <w:rPr>
          <w:rFonts w:hint="eastAsia" w:ascii="仿宋_GB2312" w:hAnsi="仿宋_GB2312" w:eastAsia="仿宋_GB2312" w:cs="仿宋_GB2312"/>
          <w:color w:val="auto"/>
          <w:sz w:val="32"/>
          <w:szCs w:val="32"/>
          <w:lang w:val="en-US" w:eastAsia="zh-CN"/>
        </w:rPr>
        <w:t>竞争性磋商</w:t>
      </w:r>
      <w:r>
        <w:rPr>
          <w:rFonts w:hint="eastAsia" w:ascii="仿宋_GB2312" w:hAnsi="仿宋_GB2312" w:eastAsia="仿宋_GB2312" w:cs="仿宋_GB2312"/>
          <w:color w:val="auto"/>
          <w:sz w:val="32"/>
          <w:szCs w:val="32"/>
          <w:lang w:eastAsia="zh-CN"/>
        </w:rPr>
        <w:t>。</w:t>
      </w:r>
    </w:p>
    <w:p>
      <w:pPr>
        <w:pStyle w:val="5"/>
        <w:pageBreakBefore w:val="0"/>
        <w:widowControl w:val="0"/>
        <w:numPr>
          <w:ilvl w:val="0"/>
          <w:numId w:val="0"/>
        </w:numPr>
        <w:kinsoku/>
        <w:wordWrap/>
        <w:overflowPunct/>
        <w:topLinePunct w:val="0"/>
        <w:autoSpaceDE/>
        <w:autoSpaceDN/>
        <w:bidi w:val="0"/>
        <w:adjustRightInd/>
        <w:spacing w:before="0" w:after="0" w:line="560" w:lineRule="exact"/>
        <w:ind w:firstLine="643" w:firstLineChars="200"/>
        <w:textAlignment w:val="auto"/>
        <w:outlineLvl w:val="1"/>
        <w:rPr>
          <w:rFonts w:hint="eastAsia" w:ascii="方正黑体_GBK" w:hAnsi="方正黑体_GBK" w:eastAsia="方正黑体_GBK" w:cs="方正黑体_GBK"/>
          <w:b/>
          <w:bCs/>
          <w:color w:val="auto"/>
          <w:sz w:val="32"/>
          <w:szCs w:val="32"/>
          <w:highlight w:val="none"/>
        </w:rPr>
      </w:pPr>
      <w:bookmarkStart w:id="7" w:name="_Toc9918"/>
      <w:bookmarkStart w:id="8" w:name="_Toc5205"/>
      <w:r>
        <w:rPr>
          <w:rFonts w:hint="eastAsia" w:ascii="方正黑体_GBK" w:hAnsi="方正黑体_GBK" w:eastAsia="方正黑体_GBK" w:cs="方正黑体_GBK"/>
          <w:b/>
          <w:bCs/>
          <w:color w:val="auto"/>
          <w:sz w:val="32"/>
          <w:szCs w:val="32"/>
          <w:highlight w:val="none"/>
          <w:lang w:val="en-US" w:eastAsia="zh-CN"/>
        </w:rPr>
        <w:t>一、竞争性磋商</w:t>
      </w:r>
      <w:r>
        <w:rPr>
          <w:rFonts w:hint="eastAsia" w:ascii="方正黑体_GBK" w:hAnsi="方正黑体_GBK" w:eastAsia="方正黑体_GBK" w:cs="方正黑体_GBK"/>
          <w:b/>
          <w:bCs/>
          <w:color w:val="auto"/>
          <w:sz w:val="32"/>
          <w:szCs w:val="32"/>
          <w:highlight w:val="none"/>
        </w:rPr>
        <w:t>内容</w:t>
      </w:r>
      <w:bookmarkEnd w:id="2"/>
      <w:bookmarkEnd w:id="3"/>
      <w:bookmarkEnd w:id="4"/>
      <w:bookmarkEnd w:id="5"/>
      <w:bookmarkEnd w:id="6"/>
      <w:bookmarkEnd w:id="7"/>
      <w:bookmarkEnd w:id="8"/>
    </w:p>
    <w:p>
      <w:pPr>
        <w:numPr>
          <w:ilvl w:val="0"/>
          <w:numId w:val="0"/>
        </w:numPr>
        <w:rPr>
          <w:rFonts w:hint="eastAsia" w:ascii="仿宋" w:hAnsi="仿宋" w:eastAsia="仿宋" w:cs="仿宋"/>
          <w:sz w:val="24"/>
          <w:szCs w:val="24"/>
        </w:rPr>
      </w:pPr>
    </w:p>
    <w:tbl>
      <w:tblPr>
        <w:tblStyle w:val="14"/>
        <w:tblW w:w="93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1"/>
        <w:gridCol w:w="1800"/>
        <w:gridCol w:w="1935"/>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2931"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b/>
                <w:bCs/>
                <w:color w:val="auto"/>
                <w:kern w:val="0"/>
                <w:sz w:val="24"/>
                <w:szCs w:val="24"/>
                <w:highlight w:val="none"/>
              </w:rPr>
            </w:pPr>
            <w:bookmarkStart w:id="9" w:name="_Toc4832"/>
            <w:bookmarkStart w:id="10" w:name="_Toc9436_WPSOffice_Level2"/>
            <w:bookmarkStart w:id="11" w:name="_Toc17737_WPSOffice_Level2"/>
            <w:bookmarkStart w:id="12" w:name="_Toc373860293"/>
            <w:bookmarkStart w:id="13" w:name="_Toc317775178"/>
            <w:r>
              <w:rPr>
                <w:rFonts w:hint="eastAsia" w:ascii="仿宋" w:hAnsi="仿宋" w:eastAsia="仿宋" w:cs="仿宋"/>
                <w:b/>
                <w:bCs/>
                <w:color w:val="auto"/>
                <w:kern w:val="0"/>
                <w:sz w:val="24"/>
                <w:szCs w:val="24"/>
                <w:highlight w:val="none"/>
              </w:rPr>
              <w:t>项目名称</w:t>
            </w:r>
          </w:p>
        </w:tc>
        <w:tc>
          <w:tcPr>
            <w:tcW w:w="1800" w:type="dxa"/>
            <w:tcBorders>
              <w:top w:val="single" w:color="auto" w:sz="4" w:space="0"/>
              <w:left w:val="single" w:color="auto" w:sz="4" w:space="0"/>
              <w:right w:val="single" w:color="auto" w:sz="4" w:space="0"/>
            </w:tcBorders>
            <w:vAlign w:val="center"/>
          </w:tcPr>
          <w:p>
            <w:pP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最高限价</w:t>
            </w:r>
          </w:p>
          <w:p>
            <w:pP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（元）</w:t>
            </w:r>
          </w:p>
        </w:tc>
        <w:tc>
          <w:tcPr>
            <w:tcW w:w="1935" w:type="dxa"/>
            <w:tcBorders>
              <w:top w:val="single" w:color="auto" w:sz="4" w:space="0"/>
              <w:left w:val="single" w:color="auto" w:sz="4" w:space="0"/>
              <w:right w:val="single" w:color="auto" w:sz="4" w:space="0"/>
            </w:tcBorders>
            <w:vAlign w:val="center"/>
          </w:tcPr>
          <w:p>
            <w:pP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成交供应商数量</w:t>
            </w:r>
          </w:p>
          <w:p>
            <w:pPr>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（名）</w:t>
            </w:r>
          </w:p>
        </w:tc>
        <w:tc>
          <w:tcPr>
            <w:tcW w:w="2644" w:type="dxa"/>
            <w:tcBorders>
              <w:top w:val="single" w:color="auto" w:sz="4" w:space="0"/>
              <w:left w:val="single" w:color="auto" w:sz="4" w:space="0"/>
              <w:right w:val="single" w:color="auto" w:sz="4" w:space="0"/>
            </w:tcBorders>
            <w:vAlign w:val="center"/>
          </w:tcPr>
          <w:p>
            <w:pPr>
              <w:pStyle w:val="6"/>
              <w:pageBreakBefore w:val="0"/>
              <w:kinsoku/>
              <w:wordWrap/>
              <w:overflowPunct/>
              <w:topLinePunct w:val="0"/>
              <w:autoSpaceDE/>
              <w:autoSpaceDN/>
              <w:bidi w:val="0"/>
              <w:spacing w:line="420" w:lineRule="exact"/>
              <w:ind w:left="0" w:leftChars="0"/>
              <w:jc w:val="center"/>
              <w:textAlignment w:val="auto"/>
              <w:outlineLvl w:val="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bidi="ar-SA"/>
              </w:rPr>
              <w:t>竞争性磋商标的对应的中小企业划分标准所属行业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2931" w:type="dxa"/>
            <w:tcBorders>
              <w:top w:val="single" w:color="auto" w:sz="4" w:space="0"/>
              <w:left w:val="single" w:color="auto" w:sz="4" w:space="0"/>
              <w:right w:val="single" w:color="auto" w:sz="4" w:space="0"/>
            </w:tcBorders>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渝北区2024年商贸行业安全培训项目</w:t>
            </w:r>
          </w:p>
        </w:tc>
        <w:tc>
          <w:tcPr>
            <w:tcW w:w="1800" w:type="dxa"/>
            <w:tcBorders>
              <w:top w:val="single" w:color="auto" w:sz="4" w:space="0"/>
              <w:left w:val="single" w:color="auto" w:sz="4" w:space="0"/>
              <w:right w:val="single" w:color="auto" w:sz="4" w:space="0"/>
            </w:tcBorders>
            <w:vAlign w:val="center"/>
          </w:tcPr>
          <w:p>
            <w:pPr>
              <w:widowControl/>
              <w:jc w:val="center"/>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106000.00</w:t>
            </w:r>
          </w:p>
        </w:tc>
        <w:tc>
          <w:tcPr>
            <w:tcW w:w="1935"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1</w:t>
            </w:r>
          </w:p>
        </w:tc>
        <w:tc>
          <w:tcPr>
            <w:tcW w:w="2644" w:type="dxa"/>
            <w:tcBorders>
              <w:top w:val="single" w:color="auto" w:sz="4" w:space="0"/>
              <w:left w:val="single" w:color="auto" w:sz="4" w:space="0"/>
              <w:right w:val="single" w:color="auto" w:sz="4" w:space="0"/>
            </w:tcBorders>
            <w:vAlign w:val="center"/>
          </w:tcPr>
          <w:p>
            <w:pPr>
              <w:pStyle w:val="2"/>
              <w:pageBreakBefore w:val="0"/>
              <w:kinsoku/>
              <w:wordWrap/>
              <w:overflowPunct/>
              <w:topLinePunct w:val="0"/>
              <w:autoSpaceDE/>
              <w:autoSpaceDN/>
              <w:bidi w:val="0"/>
              <w:spacing w:line="420" w:lineRule="exact"/>
              <w:ind w:firstLine="0" w:firstLineChars="0"/>
              <w:jc w:val="center"/>
              <w:textAlignment w:val="auto"/>
              <w:outlineLvl w:val="0"/>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color w:val="FF0000"/>
                <w:kern w:val="2"/>
                <w:sz w:val="24"/>
                <w:szCs w:val="24"/>
                <w:highlight w:val="none"/>
                <w:lang w:val="en-US" w:eastAsia="zh-CN" w:bidi="ar-SA"/>
              </w:rPr>
              <w:t xml:space="preserve"> </w:t>
            </w:r>
            <w:r>
              <w:rPr>
                <w:rFonts w:hint="eastAsia" w:ascii="仿宋" w:hAnsi="仿宋" w:eastAsia="仿宋" w:cs="仿宋"/>
                <w:color w:val="auto"/>
                <w:kern w:val="2"/>
                <w:sz w:val="24"/>
                <w:szCs w:val="24"/>
                <w:highlight w:val="none"/>
                <w:lang w:val="en-US" w:eastAsia="zh-CN" w:bidi="ar-SA"/>
              </w:rPr>
              <w:t xml:space="preserve">其他未列明行业 </w:t>
            </w:r>
          </w:p>
        </w:tc>
      </w:tr>
      <w:bookmarkEnd w:id="9"/>
      <w:bookmarkEnd w:id="10"/>
      <w:bookmarkEnd w:id="11"/>
    </w:tbl>
    <w:p>
      <w:pPr>
        <w:pStyle w:val="5"/>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textAlignment w:val="auto"/>
        <w:outlineLvl w:val="1"/>
        <w:rPr>
          <w:rFonts w:hint="eastAsia" w:ascii="方正黑体_GBK" w:hAnsi="方正黑体_GBK" w:eastAsia="方正黑体_GBK" w:cs="方正黑体_GBK"/>
          <w:b/>
          <w:bCs/>
          <w:color w:val="auto"/>
          <w:sz w:val="32"/>
          <w:szCs w:val="32"/>
          <w:highlight w:val="none"/>
          <w:lang w:val="en-US" w:eastAsia="zh-CN"/>
        </w:rPr>
      </w:pPr>
      <w:bookmarkStart w:id="14" w:name="_Toc17660_WPSOffice_Level2"/>
      <w:bookmarkStart w:id="15" w:name="_Toc9328"/>
      <w:bookmarkStart w:id="16" w:name="_Toc28450"/>
      <w:bookmarkStart w:id="17" w:name="_Toc12319_WPSOffice_Level2"/>
      <w:bookmarkStart w:id="18" w:name="_Toc262"/>
      <w:r>
        <w:rPr>
          <w:rFonts w:hint="eastAsia" w:ascii="方正黑体_GBK" w:hAnsi="方正黑体_GBK" w:eastAsia="方正黑体_GBK" w:cs="方正黑体_GBK"/>
          <w:b/>
          <w:bCs/>
          <w:color w:val="auto"/>
          <w:sz w:val="32"/>
          <w:szCs w:val="32"/>
          <w:highlight w:val="none"/>
          <w:lang w:val="en-US" w:eastAsia="zh-CN"/>
        </w:rPr>
        <w:t>二、资金来源</w:t>
      </w:r>
    </w:p>
    <w:p>
      <w:pPr>
        <w:pStyle w:val="5"/>
        <w:pageBreakBefore w:val="0"/>
        <w:widowControl w:val="0"/>
        <w:kinsoku/>
        <w:wordWrap/>
        <w:overflowPunct/>
        <w:topLinePunct w:val="0"/>
        <w:autoSpaceDE/>
        <w:autoSpaceDN/>
        <w:bidi w:val="0"/>
        <w:adjustRightInd/>
        <w:snapToGrid/>
        <w:spacing w:before="0" w:after="0" w:line="560" w:lineRule="exact"/>
        <w:ind w:firstLine="640" w:firstLineChars="200"/>
        <w:textAlignment w:val="auto"/>
        <w:outlineLvl w:val="1"/>
        <w:rPr>
          <w:rFonts w:hint="eastAsia" w:ascii="仿宋" w:hAnsi="仿宋" w:eastAsia="仿宋" w:cs="仿宋"/>
          <w:b w:val="0"/>
          <w:color w:val="auto"/>
          <w:sz w:val="32"/>
          <w:szCs w:val="32"/>
          <w:highlight w:val="none"/>
          <w:lang w:val="en-US" w:eastAsia="zh-CN"/>
        </w:rPr>
      </w:pPr>
      <w:r>
        <w:rPr>
          <w:rFonts w:hint="eastAsia" w:ascii="仿宋" w:hAnsi="仿宋" w:eastAsia="仿宋" w:cs="仿宋"/>
          <w:b w:val="0"/>
          <w:color w:val="auto"/>
          <w:sz w:val="32"/>
          <w:szCs w:val="32"/>
          <w:highlight w:val="none"/>
          <w:lang w:val="en-US" w:eastAsia="zh-CN"/>
        </w:rPr>
        <w:t>自筹资金。</w:t>
      </w:r>
    </w:p>
    <w:p>
      <w:pPr>
        <w:pStyle w:val="5"/>
        <w:pageBreakBefore w:val="0"/>
        <w:widowControl w:val="0"/>
        <w:kinsoku/>
        <w:wordWrap/>
        <w:overflowPunct/>
        <w:topLinePunct w:val="0"/>
        <w:autoSpaceDE/>
        <w:autoSpaceDN/>
        <w:bidi w:val="0"/>
        <w:adjustRightInd/>
        <w:snapToGrid/>
        <w:spacing w:before="0" w:after="0" w:line="560" w:lineRule="exact"/>
        <w:ind w:firstLine="643" w:firstLineChars="200"/>
        <w:textAlignment w:val="auto"/>
        <w:outlineLvl w:val="1"/>
        <w:rPr>
          <w:rFonts w:hint="eastAsia" w:ascii="方正黑体_GBK" w:hAnsi="方正黑体_GBK" w:eastAsia="方正黑体_GBK" w:cs="方正黑体_GBK"/>
          <w:b/>
          <w:bCs/>
          <w:color w:val="auto"/>
          <w:sz w:val="32"/>
          <w:szCs w:val="32"/>
          <w:highlight w:val="none"/>
        </w:rPr>
      </w:pPr>
      <w:r>
        <w:rPr>
          <w:rFonts w:hint="eastAsia" w:ascii="方正黑体_GBK" w:hAnsi="方正黑体_GBK" w:eastAsia="方正黑体_GBK" w:cs="方正黑体_GBK"/>
          <w:b/>
          <w:bCs/>
          <w:color w:val="auto"/>
          <w:sz w:val="32"/>
          <w:szCs w:val="32"/>
          <w:highlight w:val="none"/>
          <w:lang w:val="en-US" w:eastAsia="zh-CN"/>
        </w:rPr>
        <w:t>三</w:t>
      </w:r>
      <w:r>
        <w:rPr>
          <w:rFonts w:hint="eastAsia" w:ascii="方正黑体_GBK" w:hAnsi="方正黑体_GBK" w:eastAsia="方正黑体_GBK" w:cs="方正黑体_GBK"/>
          <w:b/>
          <w:bCs/>
          <w:color w:val="auto"/>
          <w:sz w:val="32"/>
          <w:szCs w:val="32"/>
          <w:highlight w:val="none"/>
        </w:rPr>
        <w:t>、供应商资格条件</w:t>
      </w:r>
      <w:bookmarkEnd w:id="14"/>
      <w:bookmarkEnd w:id="15"/>
      <w:bookmarkEnd w:id="16"/>
      <w:bookmarkEnd w:id="17"/>
      <w:bookmarkEnd w:id="18"/>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bookmarkStart w:id="19" w:name="_Toc1649"/>
      <w:bookmarkStart w:id="20" w:name="_Toc22954_WPSOffice_Level2"/>
      <w:bookmarkStart w:id="21" w:name="_Toc31996_WPSOffice_Level2"/>
      <w:r>
        <w:rPr>
          <w:rFonts w:hint="eastAsia" w:ascii="仿宋" w:hAnsi="仿宋" w:eastAsia="仿宋" w:cs="仿宋"/>
          <w:color w:val="auto"/>
          <w:sz w:val="32"/>
          <w:szCs w:val="32"/>
          <w:highlight w:val="none"/>
        </w:rPr>
        <w:t>（一）基本条件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满足《中华人民共和国政府采购法》第二十二条规定；　</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具有独立承担民事责任的能力</w:t>
      </w:r>
      <w:r>
        <w:rPr>
          <w:rFonts w:hint="eastAsia" w:ascii="仿宋" w:hAnsi="仿宋" w:eastAsia="仿宋" w:cs="仿宋"/>
          <w:color w:val="auto"/>
          <w:sz w:val="32"/>
          <w:szCs w:val="32"/>
          <w:highlight w:val="none"/>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2、具有良好的商业信誉和健全的财务会计制度；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3、具备履行合同所必需的设备和专业技术能力；</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有</w:t>
      </w:r>
      <w:r>
        <w:rPr>
          <w:rFonts w:hint="eastAsia" w:ascii="仿宋" w:hAnsi="仿宋" w:eastAsia="仿宋" w:cs="仿宋"/>
          <w:color w:val="auto"/>
          <w:sz w:val="32"/>
          <w:szCs w:val="32"/>
          <w:highlight w:val="none"/>
        </w:rPr>
        <w:t>依法缴纳税收和社会保障资金的</w:t>
      </w:r>
      <w:r>
        <w:rPr>
          <w:rFonts w:hint="eastAsia" w:ascii="仿宋" w:hAnsi="仿宋" w:eastAsia="仿宋" w:cs="仿宋"/>
          <w:color w:val="auto"/>
          <w:sz w:val="32"/>
          <w:szCs w:val="32"/>
          <w:highlight w:val="none"/>
          <w:lang w:val="en-US" w:eastAsia="zh-CN"/>
        </w:rPr>
        <w:t>良好记录</w:t>
      </w:r>
      <w:r>
        <w:rPr>
          <w:rFonts w:hint="eastAsia" w:ascii="仿宋" w:hAnsi="仿宋" w:eastAsia="仿宋" w:cs="仿宋"/>
          <w:color w:val="auto"/>
          <w:sz w:val="32"/>
          <w:szCs w:val="32"/>
          <w:highlight w:val="none"/>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、参加政府采购活动前</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rPr>
        <w:t>年内</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在经营活动中没有重大违法记录；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、法律、行政法规规定的其他条件。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（二）本项目的特定资格要求：</w:t>
      </w:r>
      <w:r>
        <w:rPr>
          <w:rFonts w:hint="eastAsia" w:ascii="仿宋" w:hAnsi="仿宋" w:eastAsia="仿宋" w:cs="仿宋"/>
          <w:color w:val="000000" w:themeColor="text1"/>
          <w:sz w:val="32"/>
          <w:szCs w:val="32"/>
          <w:highlight w:val="none"/>
          <w:lang w:val="en-US" w:eastAsia="zh-CN"/>
          <w14:textFill>
            <w14:solidFill>
              <w14:schemeClr w14:val="tx1"/>
            </w14:solidFill>
          </w14:textFill>
        </w:rPr>
        <w:t>无</w:t>
      </w:r>
    </w:p>
    <w:p>
      <w:pPr>
        <w:pStyle w:val="5"/>
        <w:pageBreakBefore w:val="0"/>
        <w:widowControl w:val="0"/>
        <w:kinsoku/>
        <w:wordWrap/>
        <w:overflowPunct/>
        <w:topLinePunct w:val="0"/>
        <w:autoSpaceDE/>
        <w:autoSpaceDN/>
        <w:bidi w:val="0"/>
        <w:adjustRightInd/>
        <w:snapToGrid/>
        <w:spacing w:before="0" w:after="0" w:line="560" w:lineRule="exact"/>
        <w:ind w:firstLine="643" w:firstLineChars="200"/>
        <w:textAlignment w:val="auto"/>
        <w:outlineLvl w:val="1"/>
        <w:rPr>
          <w:rFonts w:hint="eastAsia" w:ascii="仿宋" w:hAnsi="仿宋" w:eastAsia="仿宋" w:cs="仿宋"/>
          <w:b/>
          <w:bCs/>
          <w:color w:val="auto"/>
          <w:sz w:val="32"/>
          <w:szCs w:val="32"/>
          <w:highlight w:val="none"/>
        </w:rPr>
      </w:pPr>
      <w:bookmarkStart w:id="22" w:name="_Toc6127"/>
      <w:bookmarkStart w:id="23" w:name="_Toc14928"/>
      <w:r>
        <w:rPr>
          <w:rFonts w:hint="eastAsia" w:ascii="方正黑体_GBK" w:hAnsi="方正黑体_GBK" w:eastAsia="方正黑体_GBK" w:cs="方正黑体_GBK"/>
          <w:b/>
          <w:bCs/>
          <w:color w:val="auto"/>
          <w:sz w:val="32"/>
          <w:szCs w:val="32"/>
          <w:highlight w:val="none"/>
          <w:lang w:val="en-US" w:eastAsia="zh-CN"/>
        </w:rPr>
        <w:t>四</w:t>
      </w:r>
      <w:r>
        <w:rPr>
          <w:rFonts w:hint="eastAsia" w:ascii="方正黑体_GBK" w:hAnsi="方正黑体_GBK" w:eastAsia="方正黑体_GBK" w:cs="方正黑体_GBK"/>
          <w:b/>
          <w:bCs/>
          <w:color w:val="auto"/>
          <w:sz w:val="32"/>
          <w:szCs w:val="32"/>
          <w:highlight w:val="none"/>
        </w:rPr>
        <w:t>、</w:t>
      </w:r>
      <w:r>
        <w:rPr>
          <w:rFonts w:hint="eastAsia" w:ascii="方正黑体_GBK" w:hAnsi="方正黑体_GBK" w:eastAsia="方正黑体_GBK" w:cs="方正黑体_GBK"/>
          <w:b/>
          <w:bCs/>
          <w:color w:val="auto"/>
          <w:sz w:val="32"/>
          <w:szCs w:val="32"/>
          <w:highlight w:val="none"/>
          <w:lang w:val="en-US" w:eastAsia="zh-CN"/>
        </w:rPr>
        <w:t>竞争性磋商</w:t>
      </w:r>
      <w:r>
        <w:rPr>
          <w:rFonts w:hint="eastAsia" w:ascii="方正黑体_GBK" w:hAnsi="方正黑体_GBK" w:eastAsia="方正黑体_GBK" w:cs="方正黑体_GBK"/>
          <w:b/>
          <w:bCs/>
          <w:color w:val="auto"/>
          <w:sz w:val="32"/>
          <w:szCs w:val="32"/>
          <w:highlight w:val="none"/>
        </w:rPr>
        <w:t>有关说明</w:t>
      </w:r>
      <w:bookmarkEnd w:id="12"/>
      <w:bookmarkEnd w:id="19"/>
      <w:bookmarkEnd w:id="20"/>
      <w:bookmarkEnd w:id="21"/>
      <w:bookmarkEnd w:id="22"/>
      <w:bookmarkEnd w:id="23"/>
    </w:p>
    <w:bookmarkEnd w:id="13"/>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bookmarkStart w:id="24" w:name="_Toc5942"/>
      <w:bookmarkStart w:id="25" w:name="_Toc480466699"/>
      <w:bookmarkStart w:id="26" w:name="_Toc4631_WPSOffice_Level2"/>
      <w:bookmarkStart w:id="27" w:name="_Toc11450_WPSOffice_Level2"/>
      <w:bookmarkStart w:id="28" w:name="_Toc26744"/>
      <w:bookmarkStart w:id="29" w:name="_Toc6333"/>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）凡有意参加</w:t>
      </w:r>
      <w:r>
        <w:rPr>
          <w:rFonts w:hint="eastAsia" w:ascii="仿宋_GB2312" w:hAnsi="仿宋_GB2312" w:eastAsia="仿宋_GB2312" w:cs="仿宋_GB2312"/>
          <w:color w:val="auto"/>
          <w:sz w:val="32"/>
          <w:szCs w:val="32"/>
          <w:lang w:val="en-US" w:eastAsia="zh-CN"/>
        </w:rPr>
        <w:t>竞争性磋商</w:t>
      </w:r>
      <w:r>
        <w:rPr>
          <w:rFonts w:hint="eastAsia" w:ascii="仿宋_GB2312" w:hAnsi="仿宋_GB2312" w:eastAsia="仿宋_GB2312" w:cs="仿宋_GB2312"/>
          <w:color w:val="auto"/>
          <w:sz w:val="32"/>
          <w:szCs w:val="32"/>
        </w:rPr>
        <w:t>的供应商，请在行采家（https://www.gec123.com/）网上下载本项目</w:t>
      </w:r>
      <w:r>
        <w:rPr>
          <w:rFonts w:hint="eastAsia" w:ascii="仿宋_GB2312" w:hAnsi="仿宋_GB2312" w:eastAsia="仿宋_GB2312" w:cs="仿宋_GB2312"/>
          <w:color w:val="auto"/>
          <w:sz w:val="32"/>
          <w:szCs w:val="32"/>
          <w:lang w:val="en-US" w:eastAsia="zh-CN"/>
        </w:rPr>
        <w:t>竞争性磋商</w:t>
      </w:r>
      <w:r>
        <w:rPr>
          <w:rFonts w:hint="eastAsia" w:ascii="仿宋_GB2312" w:hAnsi="仿宋_GB2312" w:eastAsia="仿宋_GB2312" w:cs="仿宋_GB2312"/>
          <w:color w:val="auto"/>
          <w:sz w:val="32"/>
          <w:szCs w:val="32"/>
        </w:rPr>
        <w:t>文件以及澄清等</w:t>
      </w:r>
      <w:r>
        <w:rPr>
          <w:rFonts w:hint="eastAsia" w:ascii="仿宋_GB2312" w:hAnsi="仿宋_GB2312" w:eastAsia="仿宋_GB2312" w:cs="仿宋_GB2312"/>
          <w:color w:val="auto"/>
          <w:sz w:val="32"/>
          <w:szCs w:val="32"/>
          <w:lang w:val="en-US" w:eastAsia="zh-CN"/>
        </w:rPr>
        <w:t>竞争性磋商</w:t>
      </w:r>
      <w:r>
        <w:rPr>
          <w:rFonts w:hint="eastAsia" w:ascii="仿宋_GB2312" w:hAnsi="仿宋_GB2312" w:eastAsia="仿宋_GB2312" w:cs="仿宋_GB2312"/>
          <w:color w:val="auto"/>
          <w:sz w:val="32"/>
          <w:szCs w:val="32"/>
        </w:rPr>
        <w:t>前公布的所有项目资料，无论供应商下载与否，均视为已知晓所有</w:t>
      </w:r>
      <w:r>
        <w:rPr>
          <w:rFonts w:hint="eastAsia" w:ascii="仿宋_GB2312" w:hAnsi="仿宋_GB2312" w:eastAsia="仿宋_GB2312" w:cs="仿宋_GB2312"/>
          <w:color w:val="auto"/>
          <w:sz w:val="32"/>
          <w:szCs w:val="32"/>
          <w:lang w:val="en-US" w:eastAsia="zh-CN"/>
        </w:rPr>
        <w:t>竞争性磋商</w:t>
      </w:r>
      <w:r>
        <w:rPr>
          <w:rFonts w:hint="eastAsia" w:ascii="仿宋_GB2312" w:hAnsi="仿宋_GB2312" w:eastAsia="仿宋_GB2312" w:cs="仿宋_GB2312"/>
          <w:color w:val="auto"/>
          <w:sz w:val="32"/>
          <w:szCs w:val="32"/>
        </w:rPr>
        <w:t>实质性要求内容。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竞争性磋商</w:t>
      </w:r>
      <w:r>
        <w:rPr>
          <w:rFonts w:hint="eastAsia" w:ascii="仿宋_GB2312" w:hAnsi="仿宋_GB2312" w:eastAsia="仿宋_GB2312" w:cs="仿宋_GB2312"/>
          <w:color w:val="auto"/>
          <w:sz w:val="32"/>
          <w:szCs w:val="32"/>
        </w:rPr>
        <w:t>公告期限：自采购公告发布之日起</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竞争性磋商</w:t>
      </w:r>
      <w:r>
        <w:rPr>
          <w:rFonts w:hint="eastAsia" w:ascii="仿宋_GB2312" w:hAnsi="仿宋_GB2312" w:eastAsia="仿宋_GB2312" w:cs="仿宋_GB2312"/>
          <w:color w:val="auto"/>
          <w:sz w:val="32"/>
          <w:szCs w:val="32"/>
        </w:rPr>
        <w:t xml:space="preserve">文件发售期限： </w:t>
      </w:r>
    </w:p>
    <w:p>
      <w:pPr>
        <w:pageBreakBefore w:val="0"/>
        <w:widowControl w:val="0"/>
        <w:kinsoku/>
        <w:wordWrap/>
        <w:overflowPunct/>
        <w:topLinePunct w:val="0"/>
        <w:autoSpaceDE/>
        <w:autoSpaceDN/>
        <w:bidi w:val="0"/>
        <w:adjustRightInd/>
        <w:snapToGrid/>
        <w:spacing w:line="560" w:lineRule="exact"/>
        <w:ind w:left="319" w:leftChars="152" w:firstLine="320" w:firstLineChars="1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竞争性磋商</w:t>
      </w:r>
      <w:r>
        <w:rPr>
          <w:rFonts w:hint="eastAsia" w:ascii="仿宋_GB2312" w:hAnsi="仿宋_GB2312" w:eastAsia="仿宋_GB2312" w:cs="仿宋_GB2312"/>
          <w:color w:val="auto"/>
          <w:sz w:val="32"/>
          <w:szCs w:val="32"/>
        </w:rPr>
        <w:t>文件发售期：</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日至</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2.报名方式：</w:t>
      </w:r>
      <w:r>
        <w:rPr>
          <w:rFonts w:hint="eastAsia" w:ascii="仿宋_GB2312" w:hAnsi="仿宋_GB2312" w:eastAsia="仿宋_GB2312" w:cs="仿宋_GB2312"/>
          <w:color w:val="auto"/>
          <w:sz w:val="32"/>
          <w:szCs w:val="32"/>
          <w:lang w:val="en-US" w:eastAsia="zh-CN"/>
        </w:rPr>
        <w:t>竞争性磋商</w:t>
      </w:r>
      <w:r>
        <w:rPr>
          <w:rFonts w:hint="eastAsia" w:ascii="仿宋_GB2312" w:hAnsi="仿宋_GB2312" w:eastAsia="仿宋_GB2312" w:cs="仿宋_GB2312"/>
          <w:color w:val="auto"/>
          <w:sz w:val="32"/>
          <w:szCs w:val="32"/>
        </w:rPr>
        <w:t>文件</w:t>
      </w:r>
      <w:r>
        <w:rPr>
          <w:rFonts w:hint="eastAsia" w:ascii="仿宋_GB2312" w:hAnsi="仿宋_GB2312" w:eastAsia="仿宋_GB2312" w:cs="仿宋_GB2312"/>
          <w:color w:val="auto"/>
          <w:sz w:val="32"/>
          <w:szCs w:val="32"/>
          <w:lang w:eastAsia="zh-CN"/>
        </w:rPr>
        <w:t>发售</w:t>
      </w:r>
      <w:r>
        <w:rPr>
          <w:rFonts w:hint="eastAsia" w:ascii="仿宋_GB2312" w:hAnsi="仿宋_GB2312" w:eastAsia="仿宋_GB2312" w:cs="仿宋_GB2312"/>
          <w:color w:val="auto"/>
          <w:sz w:val="32"/>
          <w:szCs w:val="32"/>
        </w:rPr>
        <w:t>期限内，供应商将《报名表》（加</w:t>
      </w:r>
      <w:r>
        <w:rPr>
          <w:rFonts w:hint="eastAsia" w:ascii="仿宋_GB2312" w:hAnsi="仿宋_GB2312" w:eastAsia="仿宋_GB2312" w:cs="仿宋_GB2312"/>
          <w:color w:val="auto"/>
          <w:sz w:val="32"/>
          <w:szCs w:val="32"/>
          <w:lang w:val="en-US" w:eastAsia="zh-CN"/>
        </w:rPr>
        <w:t>盖</w:t>
      </w:r>
      <w:r>
        <w:rPr>
          <w:rFonts w:hint="eastAsia" w:ascii="仿宋_GB2312" w:hAnsi="仿宋_GB2312" w:eastAsia="仿宋_GB2312" w:cs="仿宋_GB2312"/>
          <w:color w:val="auto"/>
          <w:sz w:val="32"/>
          <w:szCs w:val="32"/>
        </w:rPr>
        <w:t>供应商公章）扫描后发送至</w:t>
      </w:r>
      <w:r>
        <w:rPr>
          <w:rFonts w:hint="eastAsia" w:ascii="仿宋_GB2312" w:hAnsi="仿宋_GB2312" w:eastAsia="仿宋_GB2312" w:cs="仿宋_GB2312"/>
          <w:color w:val="auto"/>
          <w:sz w:val="32"/>
          <w:szCs w:val="32"/>
          <w:lang w:val="en-US" w:eastAsia="zh-CN"/>
        </w:rPr>
        <w:t>838357658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qq</w:t>
      </w:r>
      <w:r>
        <w:rPr>
          <w:rFonts w:hint="eastAsia" w:ascii="仿宋_GB2312" w:hAnsi="仿宋_GB2312" w:eastAsia="仿宋_GB2312" w:cs="仿宋_GB2312"/>
          <w:color w:val="auto"/>
          <w:sz w:val="32"/>
          <w:szCs w:val="32"/>
        </w:rPr>
        <w:t>.com（邮箱），</w:t>
      </w:r>
      <w:r>
        <w:rPr>
          <w:rFonts w:hint="eastAsia" w:ascii="仿宋_GB2312" w:hAnsi="仿宋_GB2312" w:eastAsia="仿宋_GB2312" w:cs="仿宋_GB2312"/>
          <w:color w:val="auto"/>
          <w:sz w:val="32"/>
          <w:szCs w:val="32"/>
          <w:lang w:eastAsia="zh-CN"/>
        </w:rPr>
        <w:t>并电话通知</w:t>
      </w:r>
      <w:r>
        <w:rPr>
          <w:rFonts w:hint="eastAsia" w:ascii="仿宋_GB2312" w:hAnsi="仿宋_GB2312" w:eastAsia="仿宋_GB2312" w:cs="仿宋_GB2312"/>
          <w:color w:val="auto"/>
          <w:sz w:val="32"/>
          <w:szCs w:val="32"/>
          <w:lang w:val="en-US" w:eastAsia="zh-CN"/>
        </w:rPr>
        <w:t>67822312、67829983，否则视为无效</w:t>
      </w:r>
      <w:r>
        <w:rPr>
          <w:rFonts w:hint="eastAsia" w:ascii="仿宋_GB2312" w:hAnsi="仿宋_GB2312" w:eastAsia="仿宋_GB2312" w:cs="仿宋_GB2312"/>
          <w:color w:val="auto"/>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）递交响应文件地点：</w:t>
      </w:r>
      <w:r>
        <w:rPr>
          <w:rFonts w:hint="eastAsia" w:ascii="仿宋_GB2312" w:hAnsi="仿宋_GB2312" w:eastAsia="仿宋_GB2312" w:cs="仿宋_GB2312"/>
          <w:color w:val="auto"/>
          <w:sz w:val="32"/>
          <w:szCs w:val="32"/>
          <w:lang w:eastAsia="zh-CN"/>
        </w:rPr>
        <w:t>重庆市渝北区商务委员会6楼会议室（双龙大道156号新华酒店旁）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）响应文件递交</w:t>
      </w:r>
      <w:r>
        <w:rPr>
          <w:rFonts w:hint="eastAsia" w:ascii="仿宋_GB2312" w:hAnsi="仿宋_GB2312" w:eastAsia="仿宋_GB2312" w:cs="仿宋_GB2312"/>
          <w:color w:val="auto"/>
          <w:sz w:val="32"/>
          <w:szCs w:val="32"/>
          <w:lang w:eastAsia="zh-CN"/>
        </w:rPr>
        <w:t>开始</w:t>
      </w:r>
      <w:r>
        <w:rPr>
          <w:rFonts w:hint="eastAsia" w:ascii="仿宋_GB2312" w:hAnsi="仿宋_GB2312" w:eastAsia="仿宋_GB2312" w:cs="仿宋_GB2312"/>
          <w:color w:val="auto"/>
          <w:sz w:val="32"/>
          <w:szCs w:val="32"/>
        </w:rPr>
        <w:t>时间：20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日北京时间</w:t>
      </w:r>
      <w:r>
        <w:rPr>
          <w:rFonts w:hint="eastAsia" w:ascii="仿宋_GB2312" w:hAnsi="仿宋_GB2312" w:eastAsia="仿宋_GB2312" w:cs="仿宋_GB2312"/>
          <w:color w:val="auto"/>
          <w:sz w:val="32"/>
          <w:szCs w:val="32"/>
          <w:lang w:val="en-US" w:eastAsia="zh-CN"/>
        </w:rPr>
        <w:t xml:space="preserve">9:00 </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（六）响应文件递交截止时间：20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日北京时间</w:t>
      </w:r>
      <w:r>
        <w:rPr>
          <w:rFonts w:hint="eastAsia" w:ascii="仿宋_GB2312" w:hAnsi="仿宋_GB2312" w:eastAsia="仿宋_GB2312" w:cs="仿宋_GB2312"/>
          <w:color w:val="auto"/>
          <w:sz w:val="32"/>
          <w:szCs w:val="32"/>
          <w:lang w:val="en-US" w:eastAsia="zh-CN"/>
        </w:rPr>
        <w:t xml:space="preserve">18:00 </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（七）</w:t>
      </w:r>
      <w:r>
        <w:rPr>
          <w:rFonts w:hint="eastAsia" w:ascii="仿宋_GB2312" w:hAnsi="仿宋_GB2312" w:eastAsia="仿宋_GB2312" w:cs="仿宋_GB2312"/>
          <w:color w:val="auto"/>
          <w:sz w:val="32"/>
          <w:szCs w:val="32"/>
          <w:lang w:val="en-US" w:eastAsia="zh-CN"/>
        </w:rPr>
        <w:t>竞争性磋商</w:t>
      </w:r>
      <w:r>
        <w:rPr>
          <w:rFonts w:hint="eastAsia" w:ascii="仿宋_GB2312" w:hAnsi="仿宋_GB2312" w:eastAsia="仿宋_GB2312" w:cs="仿宋_GB2312"/>
          <w:color w:val="auto"/>
          <w:sz w:val="32"/>
          <w:szCs w:val="32"/>
        </w:rPr>
        <w:t>开始时间：20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日北京时间</w:t>
      </w:r>
      <w:r>
        <w:rPr>
          <w:rFonts w:hint="eastAsia" w:ascii="仿宋_GB2312" w:hAnsi="仿宋_GB2312" w:eastAsia="仿宋_GB2312" w:cs="仿宋_GB2312"/>
          <w:color w:val="auto"/>
          <w:sz w:val="32"/>
          <w:szCs w:val="32"/>
          <w:lang w:val="en-US" w:eastAsia="zh-CN"/>
        </w:rPr>
        <w:t xml:space="preserve">10:00   </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color w:val="auto"/>
          <w:sz w:val="32"/>
          <w:szCs w:val="32"/>
          <w:lang w:eastAsia="zh-CN"/>
        </w:rPr>
      </w:pPr>
      <w:bookmarkStart w:id="30" w:name="_Toc14541"/>
      <w:bookmarkStart w:id="31" w:name="_Toc7284"/>
      <w:bookmarkStart w:id="32" w:name="_Toc30895"/>
      <w:bookmarkStart w:id="33" w:name="_Toc18100"/>
      <w:bookmarkStart w:id="34" w:name="_Toc9290"/>
      <w:bookmarkStart w:id="35" w:name="_Toc524"/>
      <w:bookmarkStart w:id="36" w:name="_Toc75793500"/>
      <w:bookmarkStart w:id="37" w:name="_Toc106030376"/>
      <w:bookmarkStart w:id="38" w:name="_Toc12090"/>
      <w:bookmarkStart w:id="39" w:name="_Toc12663"/>
      <w:bookmarkStart w:id="40" w:name="_Toc15717"/>
      <w:bookmarkStart w:id="41" w:name="_Toc23960"/>
      <w:bookmarkStart w:id="42" w:name="_Toc7836"/>
      <w:bookmarkStart w:id="43" w:name="_Toc11844"/>
      <w:bookmarkStart w:id="44" w:name="_Toc25854"/>
      <w:bookmarkStart w:id="45" w:name="_Toc22111"/>
      <w:bookmarkStart w:id="46" w:name="_Toc3476"/>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lang w:val="en-US" w:eastAsia="zh-CN"/>
        </w:rPr>
        <w:t>竞争性磋商</w:t>
      </w:r>
      <w:r>
        <w:rPr>
          <w:rFonts w:hint="eastAsia" w:ascii="仿宋_GB2312" w:hAnsi="仿宋_GB2312" w:eastAsia="仿宋_GB2312" w:cs="仿宋_GB2312"/>
          <w:color w:val="auto"/>
          <w:sz w:val="32"/>
          <w:szCs w:val="32"/>
          <w:lang w:eastAsia="zh-CN"/>
        </w:rPr>
        <w:t>地点：重庆市渝北区商务委员会6楼会议室（双龙大道156号新华酒店旁）</w:t>
      </w:r>
    </w:p>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Pr>
        <w:pStyle w:val="4"/>
        <w:pageBreakBefore w:val="0"/>
        <w:widowControl w:val="0"/>
        <w:kinsoku/>
        <w:wordWrap/>
        <w:overflowPunct/>
        <w:topLinePunct w:val="0"/>
        <w:autoSpaceDE/>
        <w:autoSpaceDN/>
        <w:bidi w:val="0"/>
        <w:adjustRightInd w:val="0"/>
        <w:snapToGrid w:val="0"/>
        <w:spacing w:before="0" w:after="0" w:line="560" w:lineRule="exact"/>
        <w:ind w:firstLine="643" w:firstLineChars="200"/>
        <w:textAlignment w:val="auto"/>
        <w:rPr>
          <w:rFonts w:hint="eastAsia" w:ascii="方正黑体_GBK" w:hAnsi="方正黑体_GBK" w:eastAsia="方正黑体_GBK" w:cs="方正黑体_GBK"/>
          <w:color w:val="auto"/>
          <w:sz w:val="32"/>
          <w:szCs w:val="32"/>
        </w:rPr>
      </w:pPr>
      <w:bookmarkStart w:id="47" w:name="_Toc373860294"/>
      <w:bookmarkStart w:id="48" w:name="_Toc76462321"/>
      <w:bookmarkStart w:id="49" w:name="_Toc18784"/>
      <w:bookmarkStart w:id="50" w:name="_Toc12747"/>
      <w:bookmarkStart w:id="51" w:name="_Toc4869"/>
      <w:bookmarkStart w:id="52" w:name="_Toc106030875"/>
      <w:r>
        <w:rPr>
          <w:rFonts w:hint="eastAsia" w:ascii="方正黑体_GBK" w:hAnsi="方正黑体_GBK" w:eastAsia="方正黑体_GBK" w:cs="方正黑体_GBK"/>
          <w:color w:val="auto"/>
          <w:sz w:val="32"/>
          <w:szCs w:val="32"/>
          <w:lang w:eastAsia="zh-CN"/>
        </w:rPr>
        <w:t>五</w:t>
      </w:r>
      <w:r>
        <w:rPr>
          <w:rFonts w:hint="eastAsia" w:ascii="方正黑体_GBK" w:hAnsi="方正黑体_GBK" w:eastAsia="方正黑体_GBK" w:cs="方正黑体_GBK"/>
          <w:color w:val="auto"/>
          <w:sz w:val="32"/>
          <w:szCs w:val="32"/>
        </w:rPr>
        <w:t>、</w:t>
      </w:r>
      <w:bookmarkEnd w:id="47"/>
      <w:bookmarkStart w:id="53" w:name="_Toc479668114"/>
      <w:bookmarkStart w:id="54" w:name="_Toc480466698"/>
      <w:r>
        <w:rPr>
          <w:rFonts w:hint="eastAsia" w:ascii="方正黑体_GBK" w:hAnsi="方正黑体_GBK" w:eastAsia="方正黑体_GBK" w:cs="方正黑体_GBK"/>
          <w:color w:val="auto"/>
          <w:sz w:val="32"/>
          <w:szCs w:val="32"/>
        </w:rPr>
        <w:t>采购项目</w:t>
      </w:r>
      <w:r>
        <w:rPr>
          <w:rFonts w:hint="eastAsia" w:ascii="方正黑体_GBK" w:hAnsi="方正黑体_GBK" w:eastAsia="方正黑体_GBK" w:cs="方正黑体_GBK"/>
          <w:color w:val="auto"/>
          <w:sz w:val="32"/>
          <w:szCs w:val="32"/>
          <w:lang w:eastAsia="zh-CN"/>
        </w:rPr>
        <w:t>参照</w:t>
      </w:r>
      <w:r>
        <w:rPr>
          <w:rFonts w:hint="eastAsia" w:ascii="方正黑体_GBK" w:hAnsi="方正黑体_GBK" w:eastAsia="方正黑体_GBK" w:cs="方正黑体_GBK"/>
          <w:color w:val="auto"/>
          <w:sz w:val="32"/>
          <w:szCs w:val="32"/>
        </w:rPr>
        <w:t>落实的政府采购政策</w:t>
      </w:r>
      <w:bookmarkEnd w:id="48"/>
      <w:bookmarkEnd w:id="49"/>
      <w:bookmarkEnd w:id="50"/>
      <w:bookmarkEnd w:id="51"/>
      <w:bookmarkEnd w:id="52"/>
      <w:bookmarkEnd w:id="53"/>
      <w:bookmarkEnd w:id="54"/>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参照</w:t>
      </w:r>
      <w:r>
        <w:rPr>
          <w:rFonts w:hint="eastAsia" w:ascii="仿宋_GB2312" w:hAnsi="仿宋_GB2312" w:eastAsia="仿宋_GB2312" w:cs="仿宋_GB2312"/>
          <w:color w:val="auto"/>
          <w:sz w:val="32"/>
          <w:szCs w:val="32"/>
        </w:rPr>
        <w:t>《财政部 生态环境部关于印发环境标志产品政府采购品目清单的通知》（财库〔2019〕18号）和《财政部 发展改革委关于印发节能产品政府采购品目清单的通知》（财库〔2019〕19号）的</w:t>
      </w:r>
      <w:r>
        <w:rPr>
          <w:rFonts w:hint="eastAsia" w:ascii="仿宋_GB2312" w:hAnsi="仿宋_GB2312" w:eastAsia="仿宋_GB2312" w:cs="仿宋_GB2312"/>
          <w:color w:val="auto"/>
          <w:sz w:val="32"/>
          <w:szCs w:val="32"/>
          <w:lang w:eastAsia="zh-CN"/>
        </w:rPr>
        <w:t>部分</w:t>
      </w:r>
      <w:r>
        <w:rPr>
          <w:rFonts w:hint="eastAsia" w:ascii="仿宋_GB2312" w:hAnsi="仿宋_GB2312" w:eastAsia="仿宋_GB2312" w:cs="仿宋_GB2312"/>
          <w:color w:val="auto"/>
          <w:sz w:val="32"/>
          <w:szCs w:val="32"/>
        </w:rPr>
        <w:t>规定，落实国家节能环保政策。</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参照</w:t>
      </w:r>
      <w:r>
        <w:rPr>
          <w:rFonts w:hint="eastAsia" w:ascii="仿宋_GB2312" w:hAnsi="仿宋_GB2312" w:eastAsia="仿宋_GB2312" w:cs="仿宋_GB2312"/>
          <w:color w:val="auto"/>
          <w:sz w:val="32"/>
          <w:szCs w:val="32"/>
        </w:rPr>
        <w:t>财政部、工业和信息化部关于印发《政府采购促进中小企业发展管理办法》的通知（财库〔2020〕46号）的</w:t>
      </w:r>
      <w:r>
        <w:rPr>
          <w:rFonts w:hint="eastAsia" w:ascii="仿宋_GB2312" w:hAnsi="仿宋_GB2312" w:eastAsia="仿宋_GB2312" w:cs="仿宋_GB2312"/>
          <w:color w:val="auto"/>
          <w:sz w:val="32"/>
          <w:szCs w:val="32"/>
          <w:lang w:eastAsia="zh-CN"/>
        </w:rPr>
        <w:t>部分</w:t>
      </w:r>
      <w:r>
        <w:rPr>
          <w:rFonts w:hint="eastAsia" w:ascii="仿宋_GB2312" w:hAnsi="仿宋_GB2312" w:eastAsia="仿宋_GB2312" w:cs="仿宋_GB2312"/>
          <w:color w:val="auto"/>
          <w:sz w:val="32"/>
          <w:szCs w:val="32"/>
        </w:rPr>
        <w:t>规定，落实促进中小企业发展政策。</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eastAsia="zh-CN"/>
        </w:rPr>
        <w:t>参照</w:t>
      </w:r>
      <w:r>
        <w:rPr>
          <w:rFonts w:hint="eastAsia" w:ascii="仿宋_GB2312" w:hAnsi="仿宋_GB2312" w:eastAsia="仿宋_GB2312" w:cs="仿宋_GB2312"/>
          <w:color w:val="auto"/>
          <w:sz w:val="32"/>
          <w:szCs w:val="32"/>
        </w:rPr>
        <w:t>《财政部、司法部关于政府采购支持监狱企业发展有关问题的通知》（财库〔2014〕68号）的</w:t>
      </w:r>
      <w:r>
        <w:rPr>
          <w:rFonts w:hint="eastAsia" w:ascii="仿宋_GB2312" w:hAnsi="仿宋_GB2312" w:eastAsia="仿宋_GB2312" w:cs="仿宋_GB2312"/>
          <w:color w:val="auto"/>
          <w:sz w:val="32"/>
          <w:szCs w:val="32"/>
          <w:lang w:eastAsia="zh-CN"/>
        </w:rPr>
        <w:t>部分</w:t>
      </w:r>
      <w:r>
        <w:rPr>
          <w:rFonts w:hint="eastAsia" w:ascii="仿宋_GB2312" w:hAnsi="仿宋_GB2312" w:eastAsia="仿宋_GB2312" w:cs="仿宋_GB2312"/>
          <w:color w:val="auto"/>
          <w:sz w:val="32"/>
          <w:szCs w:val="32"/>
        </w:rPr>
        <w:t>规定，落实支持监狱企业发展政策。</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eastAsia="zh-CN"/>
        </w:rPr>
        <w:t>参照</w:t>
      </w:r>
      <w:r>
        <w:rPr>
          <w:rFonts w:hint="eastAsia" w:ascii="仿宋_GB2312" w:hAnsi="仿宋_GB2312" w:eastAsia="仿宋_GB2312" w:cs="仿宋_GB2312"/>
          <w:color w:val="auto"/>
          <w:sz w:val="32"/>
          <w:szCs w:val="32"/>
        </w:rPr>
        <w:t>《三部门联合发布关于促进残疾人就业政府采购政策的通知》（财库〔2017〕 141号）的</w:t>
      </w:r>
      <w:r>
        <w:rPr>
          <w:rFonts w:hint="eastAsia" w:ascii="仿宋_GB2312" w:hAnsi="仿宋_GB2312" w:eastAsia="仿宋_GB2312" w:cs="仿宋_GB2312"/>
          <w:color w:val="auto"/>
          <w:sz w:val="32"/>
          <w:szCs w:val="32"/>
          <w:lang w:eastAsia="zh-CN"/>
        </w:rPr>
        <w:t>部分</w:t>
      </w:r>
      <w:r>
        <w:rPr>
          <w:rFonts w:hint="eastAsia" w:ascii="仿宋_GB2312" w:hAnsi="仿宋_GB2312" w:eastAsia="仿宋_GB2312" w:cs="仿宋_GB2312"/>
          <w:color w:val="auto"/>
          <w:sz w:val="32"/>
          <w:szCs w:val="32"/>
        </w:rPr>
        <w:t>规定，落实支持残疾人福利性单位发展政策。</w:t>
      </w:r>
    </w:p>
    <w:p>
      <w:pPr>
        <w:pStyle w:val="4"/>
        <w:pageBreakBefore w:val="0"/>
        <w:widowControl w:val="0"/>
        <w:kinsoku/>
        <w:wordWrap/>
        <w:overflowPunct/>
        <w:topLinePunct w:val="0"/>
        <w:autoSpaceDE/>
        <w:autoSpaceDN/>
        <w:bidi w:val="0"/>
        <w:adjustRightInd w:val="0"/>
        <w:snapToGrid w:val="0"/>
        <w:spacing w:before="0" w:after="0" w:line="560" w:lineRule="exact"/>
        <w:ind w:firstLine="643" w:firstLineChars="200"/>
        <w:textAlignment w:val="auto"/>
        <w:rPr>
          <w:rFonts w:hint="eastAsia" w:ascii="仿宋_GB2312" w:hAnsi="仿宋_GB2312" w:eastAsia="仿宋_GB2312" w:cs="仿宋_GB2312"/>
          <w:color w:val="auto"/>
          <w:sz w:val="32"/>
          <w:szCs w:val="32"/>
        </w:rPr>
      </w:pPr>
      <w:bookmarkStart w:id="55" w:name="_Toc3184"/>
      <w:bookmarkStart w:id="56" w:name="_Toc106030876"/>
      <w:bookmarkStart w:id="57" w:name="_Toc11939"/>
      <w:bookmarkStart w:id="58" w:name="_Toc76462322"/>
      <w:bookmarkStart w:id="59" w:name="_Toc30802"/>
      <w:r>
        <w:rPr>
          <w:rFonts w:hint="eastAsia" w:ascii="方正黑体_GBK" w:hAnsi="方正黑体_GBK" w:eastAsia="方正黑体_GBK" w:cs="方正黑体_GBK"/>
          <w:color w:val="auto"/>
          <w:sz w:val="32"/>
          <w:szCs w:val="32"/>
          <w:lang w:eastAsia="zh-CN"/>
        </w:rPr>
        <w:t>六</w:t>
      </w:r>
      <w:r>
        <w:rPr>
          <w:rFonts w:hint="eastAsia" w:ascii="方正黑体_GBK" w:hAnsi="方正黑体_GBK" w:eastAsia="方正黑体_GBK" w:cs="方正黑体_GBK"/>
          <w:color w:val="auto"/>
          <w:sz w:val="32"/>
          <w:szCs w:val="32"/>
        </w:rPr>
        <w:t>、其它有关规定</w:t>
      </w:r>
      <w:bookmarkEnd w:id="55"/>
      <w:bookmarkEnd w:id="56"/>
      <w:bookmarkEnd w:id="57"/>
      <w:bookmarkEnd w:id="58"/>
      <w:bookmarkEnd w:id="59"/>
    </w:p>
    <w:p>
      <w:pPr>
        <w:pageBreakBefore w:val="0"/>
        <w:widowControl w:val="0"/>
        <w:kinsoku/>
        <w:wordWrap/>
        <w:overflowPunct/>
        <w:topLinePunct w:val="0"/>
        <w:autoSpaceDE/>
        <w:autoSpaceDN/>
        <w:bidi w:val="0"/>
        <w:snapToGrid w:val="0"/>
        <w:spacing w:line="560" w:lineRule="exact"/>
        <w:ind w:firstLine="480" w:firstLineChars="1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（一）单位负责人为同一人或者存在直接控股、管理关系的不同供应商，不得参加同一合同项（包）下的政府采购活动，否则均为无效响应。</w:t>
      </w:r>
    </w:p>
    <w:p>
      <w:pPr>
        <w:pageBreakBefore w:val="0"/>
        <w:widowControl w:val="0"/>
        <w:kinsoku/>
        <w:wordWrap/>
        <w:overflowPunct/>
        <w:topLinePunct w:val="0"/>
        <w:autoSpaceDE/>
        <w:autoSpaceDN/>
        <w:bidi w:val="0"/>
        <w:snapToGrid w:val="0"/>
        <w:spacing w:line="560" w:lineRule="exact"/>
        <w:ind w:firstLine="480" w:firstLineChars="1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（二）为采购项目提供整体设计、规范编制或者项目管理、监理、检测等服务的供应商，不得再参加该采购项目的其他采购活动。</w:t>
      </w:r>
    </w:p>
    <w:p>
      <w:pPr>
        <w:pageBreakBefore w:val="0"/>
        <w:widowControl w:val="0"/>
        <w:kinsoku/>
        <w:wordWrap/>
        <w:overflowPunct/>
        <w:topLinePunct w:val="0"/>
        <w:autoSpaceDE/>
        <w:autoSpaceDN/>
        <w:bidi w:val="0"/>
        <w:snapToGrid w:val="0"/>
        <w:spacing w:line="560" w:lineRule="exact"/>
        <w:ind w:firstLine="480" w:firstLineChars="1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（三）本项目的澄清文件（如果有）一律在行采家（https://www.gec123.com/）上发布，请各供应商注意下载；无论供应商下载或领取与否，均视同供应商已知晓本项目澄清文件（如果有）的内容。</w:t>
      </w:r>
    </w:p>
    <w:p>
      <w:pPr>
        <w:pageBreakBefore w:val="0"/>
        <w:widowControl w:val="0"/>
        <w:kinsoku/>
        <w:wordWrap/>
        <w:overflowPunct/>
        <w:topLinePunct w:val="0"/>
        <w:autoSpaceDE/>
        <w:autoSpaceDN/>
        <w:bidi w:val="0"/>
        <w:snapToGrid w:val="0"/>
        <w:spacing w:line="560" w:lineRule="exact"/>
        <w:ind w:firstLine="480" w:firstLineChars="1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（四）超过响应文件截止时间递交的响应文件，恕不接收。</w:t>
      </w:r>
    </w:p>
    <w:p>
      <w:pPr>
        <w:pageBreakBefore w:val="0"/>
        <w:widowControl w:val="0"/>
        <w:kinsoku/>
        <w:wordWrap/>
        <w:overflowPunct/>
        <w:topLinePunct w:val="0"/>
        <w:autoSpaceDE/>
        <w:autoSpaceDN/>
        <w:bidi w:val="0"/>
        <w:snapToGrid w:val="0"/>
        <w:spacing w:line="560" w:lineRule="exact"/>
        <w:ind w:firstLine="480" w:firstLineChars="150"/>
        <w:textAlignment w:val="auto"/>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color w:val="auto"/>
          <w:sz w:val="32"/>
          <w:szCs w:val="32"/>
        </w:rPr>
        <w:t>本项目</w:t>
      </w:r>
      <w:r>
        <w:rPr>
          <w:rFonts w:hint="eastAsia" w:ascii="仿宋_GB2312" w:hAnsi="仿宋_GB2312" w:eastAsia="仿宋_GB2312" w:cs="仿宋_GB2312"/>
          <w:b/>
          <w:color w:val="auto"/>
          <w:sz w:val="32"/>
          <w:szCs w:val="32"/>
          <w:lang w:val="en-US" w:eastAsia="zh-CN"/>
        </w:rPr>
        <w:t>不</w:t>
      </w:r>
      <w:r>
        <w:rPr>
          <w:rFonts w:hint="eastAsia" w:ascii="仿宋_GB2312" w:hAnsi="仿宋_GB2312" w:eastAsia="仿宋_GB2312" w:cs="仿宋_GB2312"/>
          <w:b/>
          <w:color w:val="auto"/>
          <w:sz w:val="32"/>
          <w:szCs w:val="32"/>
        </w:rPr>
        <w:t>接受联合体参与</w:t>
      </w:r>
      <w:r>
        <w:rPr>
          <w:rFonts w:hint="eastAsia" w:ascii="仿宋_GB2312" w:hAnsi="仿宋_GB2312" w:eastAsia="仿宋_GB2312" w:cs="仿宋_GB2312"/>
          <w:b/>
          <w:color w:val="auto"/>
          <w:sz w:val="32"/>
          <w:szCs w:val="32"/>
          <w:lang w:val="en-US" w:eastAsia="zh-CN"/>
        </w:rPr>
        <w:t>竞争性磋商。</w:t>
      </w:r>
    </w:p>
    <w:p>
      <w:pPr>
        <w:pageBreakBefore w:val="0"/>
        <w:widowControl w:val="0"/>
        <w:kinsoku/>
        <w:wordWrap/>
        <w:overflowPunct/>
        <w:topLinePunct w:val="0"/>
        <w:autoSpaceDE/>
        <w:autoSpaceDN/>
        <w:bidi w:val="0"/>
        <w:snapToGrid w:val="0"/>
        <w:spacing w:line="560" w:lineRule="exact"/>
        <w:ind w:firstLine="480" w:firstLineChars="15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i w:val="0"/>
          <w:iCs w:val="0"/>
          <w:color w:val="auto"/>
          <w:sz w:val="32"/>
          <w:szCs w:val="32"/>
        </w:rPr>
        <w:t>本项目不接受合同分包，否则按无效处理</w:t>
      </w:r>
      <w:r>
        <w:rPr>
          <w:rFonts w:hint="eastAsia" w:ascii="仿宋_GB2312" w:hAnsi="仿宋_GB2312" w:eastAsia="仿宋_GB2312" w:cs="仿宋_GB2312"/>
          <w:b/>
          <w:i w:val="0"/>
          <w:iCs w:val="0"/>
          <w:color w:val="auto"/>
          <w:sz w:val="32"/>
          <w:szCs w:val="32"/>
          <w:lang w:eastAsia="zh-CN"/>
        </w:rPr>
        <w:t>。</w:t>
      </w:r>
    </w:p>
    <w:p>
      <w:pPr>
        <w:pageBreakBefore w:val="0"/>
        <w:widowControl w:val="0"/>
        <w:kinsoku/>
        <w:wordWrap/>
        <w:overflowPunct/>
        <w:topLinePunct w:val="0"/>
        <w:autoSpaceDE/>
        <w:autoSpaceDN/>
        <w:bidi w:val="0"/>
        <w:snapToGrid w:val="0"/>
        <w:spacing w:line="560" w:lineRule="exact"/>
        <w:ind w:firstLine="480" w:firstLineChars="1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w:t>
      </w:r>
      <w:bookmarkStart w:id="60" w:name="_Toc480466700"/>
      <w:r>
        <w:rPr>
          <w:rFonts w:hint="eastAsia" w:ascii="仿宋_GB2312" w:hAnsi="仿宋_GB2312" w:eastAsia="仿宋_GB2312" w:cs="仿宋_GB2312"/>
          <w:color w:val="auto"/>
          <w:sz w:val="32"/>
          <w:szCs w:val="32"/>
          <w:lang w:eastAsia="zh-CN"/>
        </w:rPr>
        <w:t>参照</w:t>
      </w:r>
      <w:r>
        <w:rPr>
          <w:rFonts w:hint="eastAsia" w:ascii="仿宋_GB2312" w:hAnsi="仿宋_GB2312" w:eastAsia="仿宋_GB2312" w:cs="仿宋_GB2312"/>
          <w:color w:val="auto"/>
          <w:sz w:val="32"/>
          <w:szCs w:val="32"/>
        </w:rPr>
        <w:t>《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w:t>
      </w:r>
      <w:r>
        <w:rPr>
          <w:rFonts w:hint="eastAsia" w:ascii="仿宋_GB2312" w:hAnsi="仿宋_GB2312" w:eastAsia="仿宋_GB2312" w:cs="仿宋_GB2312"/>
          <w:color w:val="auto"/>
          <w:sz w:val="32"/>
          <w:szCs w:val="32"/>
          <w:lang w:eastAsia="zh-CN"/>
        </w:rPr>
        <w:t>本项目</w:t>
      </w:r>
      <w:r>
        <w:rPr>
          <w:rFonts w:hint="eastAsia" w:ascii="仿宋_GB2312" w:hAnsi="仿宋_GB2312" w:eastAsia="仿宋_GB2312" w:cs="仿宋_GB2312"/>
          <w:color w:val="auto"/>
          <w:sz w:val="32"/>
          <w:szCs w:val="32"/>
        </w:rPr>
        <w:t>采购活动。</w:t>
      </w:r>
    </w:p>
    <w:p>
      <w:pPr>
        <w:pStyle w:val="4"/>
        <w:pageBreakBefore w:val="0"/>
        <w:widowControl w:val="0"/>
        <w:kinsoku/>
        <w:wordWrap/>
        <w:overflowPunct/>
        <w:topLinePunct w:val="0"/>
        <w:autoSpaceDE/>
        <w:autoSpaceDN/>
        <w:bidi w:val="0"/>
        <w:adjustRightInd w:val="0"/>
        <w:snapToGrid w:val="0"/>
        <w:spacing w:before="0" w:after="0" w:line="560" w:lineRule="exact"/>
        <w:ind w:firstLine="643" w:firstLineChars="200"/>
        <w:textAlignment w:val="auto"/>
        <w:rPr>
          <w:rFonts w:hint="eastAsia" w:ascii="方正黑体_GBK" w:hAnsi="方正黑体_GBK" w:eastAsia="方正黑体_GBK" w:cs="方正黑体_GBK"/>
          <w:color w:val="auto"/>
          <w:sz w:val="32"/>
          <w:szCs w:val="32"/>
        </w:rPr>
      </w:pPr>
      <w:bookmarkStart w:id="61" w:name="_Toc28172"/>
      <w:bookmarkStart w:id="62" w:name="_Toc32225"/>
      <w:bookmarkStart w:id="63" w:name="_Toc30506"/>
      <w:bookmarkStart w:id="64" w:name="_Toc76462323"/>
      <w:bookmarkStart w:id="65" w:name="_Toc106030877"/>
      <w:r>
        <w:rPr>
          <w:rFonts w:hint="eastAsia" w:ascii="方正黑体_GBK" w:hAnsi="方正黑体_GBK" w:eastAsia="方正黑体_GBK" w:cs="方正黑体_GBK"/>
          <w:color w:val="auto"/>
          <w:sz w:val="32"/>
          <w:szCs w:val="32"/>
          <w:lang w:eastAsia="zh-CN"/>
        </w:rPr>
        <w:t>七</w:t>
      </w:r>
      <w:r>
        <w:rPr>
          <w:rFonts w:hint="eastAsia" w:ascii="方正黑体_GBK" w:hAnsi="方正黑体_GBK" w:eastAsia="方正黑体_GBK" w:cs="方正黑体_GBK"/>
          <w:color w:val="auto"/>
          <w:sz w:val="32"/>
          <w:szCs w:val="32"/>
        </w:rPr>
        <w:t>、联系方式</w:t>
      </w:r>
      <w:bookmarkEnd w:id="60"/>
      <w:bookmarkEnd w:id="61"/>
      <w:bookmarkEnd w:id="62"/>
      <w:bookmarkEnd w:id="63"/>
      <w:bookmarkEnd w:id="64"/>
      <w:bookmarkEnd w:id="65"/>
    </w:p>
    <w:p>
      <w:pPr>
        <w:pageBreakBefore w:val="0"/>
        <w:widowControl w:val="0"/>
        <w:kinsoku/>
        <w:wordWrap/>
        <w:overflowPunct/>
        <w:topLinePunct w:val="0"/>
        <w:autoSpaceDE/>
        <w:autoSpaceDN/>
        <w:bidi w:val="0"/>
        <w:snapToGrid w:val="0"/>
        <w:spacing w:line="560" w:lineRule="exact"/>
        <w:ind w:firstLine="480" w:firstLineChars="1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（一）采购人：</w:t>
      </w:r>
      <w:r>
        <w:rPr>
          <w:rFonts w:hint="eastAsia" w:ascii="仿宋_GB2312" w:hAnsi="仿宋_GB2312" w:eastAsia="仿宋_GB2312" w:cs="仿宋_GB2312"/>
          <w:color w:val="auto"/>
          <w:sz w:val="32"/>
          <w:szCs w:val="32"/>
          <w:lang w:eastAsia="zh-CN"/>
        </w:rPr>
        <w:t>重庆市渝北区商务委员会</w:t>
      </w:r>
      <w:r>
        <w:rPr>
          <w:rFonts w:hint="eastAsia" w:ascii="仿宋_GB2312" w:hAnsi="仿宋_GB2312" w:eastAsia="仿宋_GB2312" w:cs="仿宋_GB2312"/>
          <w:color w:val="auto"/>
          <w:sz w:val="32"/>
          <w:szCs w:val="32"/>
        </w:rPr>
        <w:t xml:space="preserve"> </w:t>
      </w:r>
    </w:p>
    <w:p>
      <w:pPr>
        <w:pageBreakBefore w:val="0"/>
        <w:widowControl w:val="0"/>
        <w:kinsoku/>
        <w:wordWrap/>
        <w:overflowPunct/>
        <w:topLinePunct w:val="0"/>
        <w:autoSpaceDE/>
        <w:autoSpaceDN/>
        <w:bidi w:val="0"/>
        <w:snapToGrid w:val="0"/>
        <w:spacing w:line="560" w:lineRule="exact"/>
        <w:ind w:firstLine="480" w:firstLineChars="1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 xml:space="preserve"> 倪老师  向老师</w:t>
      </w:r>
    </w:p>
    <w:p>
      <w:pPr>
        <w:pageBreakBefore w:val="0"/>
        <w:widowControl w:val="0"/>
        <w:kinsoku/>
        <w:wordWrap/>
        <w:overflowPunct/>
        <w:topLinePunct w:val="0"/>
        <w:autoSpaceDE/>
        <w:autoSpaceDN/>
        <w:bidi w:val="0"/>
        <w:snapToGrid w:val="0"/>
        <w:spacing w:line="560" w:lineRule="exact"/>
        <w:ind w:firstLine="480" w:firstLineChars="1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lang w:val="en-US" w:eastAsia="zh-CN"/>
        </w:rPr>
        <w:t>67822312  67829983</w:t>
      </w:r>
    </w:p>
    <w:p>
      <w:pPr>
        <w:pageBreakBefore w:val="0"/>
        <w:widowControl w:val="0"/>
        <w:kinsoku/>
        <w:wordWrap/>
        <w:overflowPunct/>
        <w:topLinePunct w:val="0"/>
        <w:autoSpaceDE/>
        <w:autoSpaceDN/>
        <w:bidi w:val="0"/>
        <w:snapToGrid w:val="0"/>
        <w:spacing w:line="560" w:lineRule="exact"/>
        <w:ind w:firstLine="480" w:firstLineChars="150"/>
        <w:textAlignment w:val="auto"/>
        <w:rPr>
          <w:rFonts w:hint="eastAsia" w:ascii="方正小标宋_GBK" w:hAnsi="方正小标宋_GBK" w:eastAsia="方正小标宋_GBK" w:cs="方正小标宋_GBK"/>
          <w:b/>
          <w:bCs/>
          <w:color w:val="auto"/>
          <w:sz w:val="44"/>
          <w:szCs w:val="44"/>
          <w:highlight w:val="none"/>
        </w:rPr>
      </w:pPr>
      <w:r>
        <w:rPr>
          <w:rFonts w:hint="eastAsia" w:ascii="仿宋_GB2312" w:hAnsi="仿宋_GB2312" w:eastAsia="仿宋_GB2312" w:cs="仿宋_GB2312"/>
          <w:color w:val="auto"/>
          <w:sz w:val="32"/>
          <w:szCs w:val="32"/>
        </w:rPr>
        <w:t>地  址：重庆市渝北区</w:t>
      </w:r>
      <w:r>
        <w:rPr>
          <w:rFonts w:hint="eastAsia" w:ascii="仿宋_GB2312" w:hAnsi="仿宋_GB2312" w:eastAsia="仿宋_GB2312" w:cs="仿宋_GB2312"/>
          <w:color w:val="auto"/>
          <w:sz w:val="32"/>
          <w:szCs w:val="32"/>
          <w:lang w:val="en-US" w:eastAsia="zh-CN"/>
        </w:rPr>
        <w:t>双龙大道156</w:t>
      </w:r>
      <w:r>
        <w:rPr>
          <w:rFonts w:hint="eastAsia" w:ascii="仿宋_GB2312" w:hAnsi="仿宋_GB2312" w:eastAsia="仿宋_GB2312" w:cs="仿宋_GB2312"/>
          <w:color w:val="auto"/>
          <w:sz w:val="32"/>
          <w:szCs w:val="32"/>
        </w:rPr>
        <w:t>号</w:t>
      </w:r>
      <w:bookmarkStart w:id="66" w:name="_Toc5513"/>
      <w:bookmarkStart w:id="67" w:name="_Toc24716"/>
    </w:p>
    <w:p>
      <w:pPr>
        <w:pStyle w:val="4"/>
        <w:spacing w:before="0" w:after="0" w:line="360" w:lineRule="auto"/>
        <w:jc w:val="center"/>
        <w:outlineLvl w:val="0"/>
        <w:rPr>
          <w:rFonts w:hint="eastAsia" w:ascii="仿宋" w:hAnsi="仿宋" w:eastAsia="仿宋" w:cs="仿宋"/>
          <w:b/>
          <w:bCs/>
          <w:color w:val="auto"/>
          <w:sz w:val="36"/>
          <w:szCs w:val="36"/>
          <w:highlight w:val="none"/>
        </w:rPr>
      </w:pPr>
      <w:r>
        <w:rPr>
          <w:rFonts w:hint="eastAsia" w:ascii="方正小标宋_GBK" w:hAnsi="方正小标宋_GBK" w:eastAsia="方正小标宋_GBK" w:cs="方正小标宋_GBK"/>
          <w:b/>
          <w:bCs/>
          <w:color w:val="auto"/>
          <w:sz w:val="44"/>
          <w:szCs w:val="44"/>
          <w:highlight w:val="none"/>
        </w:rPr>
        <w:t>第二篇  项目技术需求</w:t>
      </w:r>
      <w:bookmarkEnd w:id="66"/>
      <w:bookmarkEnd w:id="67"/>
    </w:p>
    <w:p>
      <w:pPr>
        <w:wordWrap w:val="0"/>
        <w:spacing w:line="360" w:lineRule="auto"/>
        <w:ind w:firstLine="480"/>
        <w:jc w:val="both"/>
        <w:rPr>
          <w:rFonts w:hint="eastAsia" w:ascii="仿宋" w:hAnsi="仿宋" w:eastAsia="仿宋" w:cs="仿宋"/>
          <w:b/>
          <w:bCs/>
          <w:sz w:val="32"/>
          <w:szCs w:val="32"/>
          <w:highlight w:val="none"/>
        </w:rPr>
      </w:pPr>
      <w:bookmarkStart w:id="68" w:name="_Toc2501"/>
      <w:r>
        <w:rPr>
          <w:rFonts w:hint="eastAsia" w:ascii="方正黑体_GBK" w:hAnsi="方正黑体_GBK" w:eastAsia="方正黑体_GBK" w:cs="方正黑体_GBK"/>
          <w:b/>
          <w:bCs/>
          <w:sz w:val="32"/>
          <w:szCs w:val="32"/>
          <w:highlight w:val="none"/>
        </w:rPr>
        <w:t>一、项目名称</w:t>
      </w:r>
      <w:bookmarkEnd w:id="68"/>
    </w:p>
    <w:p>
      <w:pPr>
        <w:wordWrap w:val="0"/>
        <w:spacing w:line="360" w:lineRule="auto"/>
        <w:ind w:firstLine="480"/>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渝北区2024年商贸行业安全</w:t>
      </w:r>
      <w:r>
        <w:rPr>
          <w:rFonts w:hint="eastAsia" w:ascii="仿宋" w:hAnsi="仿宋" w:eastAsia="仿宋" w:cs="仿宋"/>
          <w:sz w:val="32"/>
          <w:szCs w:val="32"/>
          <w:highlight w:val="none"/>
        </w:rPr>
        <w:t>培训项目</w:t>
      </w:r>
    </w:p>
    <w:p>
      <w:pPr>
        <w:wordWrap w:val="0"/>
        <w:spacing w:line="360" w:lineRule="auto"/>
        <w:ind w:firstLine="480"/>
        <w:jc w:val="both"/>
        <w:rPr>
          <w:rFonts w:hint="eastAsia" w:ascii="方正黑体_GBK" w:hAnsi="方正黑体_GBK" w:eastAsia="方正黑体_GBK" w:cs="方正黑体_GBK"/>
          <w:b/>
          <w:bCs/>
          <w:sz w:val="32"/>
          <w:szCs w:val="32"/>
          <w:highlight w:val="none"/>
        </w:rPr>
      </w:pPr>
      <w:bookmarkStart w:id="69" w:name="_Toc10846"/>
      <w:r>
        <w:rPr>
          <w:rFonts w:hint="eastAsia" w:ascii="方正黑体_GBK" w:hAnsi="方正黑体_GBK" w:eastAsia="方正黑体_GBK" w:cs="方正黑体_GBK"/>
          <w:b/>
          <w:bCs/>
          <w:sz w:val="32"/>
          <w:szCs w:val="32"/>
          <w:highlight w:val="none"/>
        </w:rPr>
        <w:t>二、服务期限</w:t>
      </w:r>
      <w:bookmarkEnd w:id="69"/>
    </w:p>
    <w:p>
      <w:pPr>
        <w:wordWrap w:val="0"/>
        <w:spacing w:line="360" w:lineRule="auto"/>
        <w:ind w:firstLine="48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采购人指定时间。</w:t>
      </w:r>
    </w:p>
    <w:p>
      <w:pPr>
        <w:wordWrap w:val="0"/>
        <w:spacing w:line="360" w:lineRule="auto"/>
        <w:ind w:firstLine="480"/>
        <w:jc w:val="both"/>
        <w:rPr>
          <w:rFonts w:hint="eastAsia" w:ascii="方正黑体_GBK" w:hAnsi="方正黑体_GBK" w:eastAsia="方正黑体_GBK" w:cs="方正黑体_GBK"/>
          <w:b/>
          <w:bCs/>
          <w:sz w:val="32"/>
          <w:szCs w:val="32"/>
          <w:highlight w:val="none"/>
        </w:rPr>
      </w:pPr>
      <w:bookmarkStart w:id="70" w:name="_Toc4118"/>
      <w:r>
        <w:rPr>
          <w:rFonts w:hint="eastAsia" w:ascii="方正黑体_GBK" w:hAnsi="方正黑体_GBK" w:eastAsia="方正黑体_GBK" w:cs="方正黑体_GBK"/>
          <w:b/>
          <w:bCs/>
          <w:sz w:val="32"/>
          <w:szCs w:val="32"/>
          <w:highlight w:val="none"/>
        </w:rPr>
        <w:t>三、项目概况</w:t>
      </w:r>
      <w:bookmarkEnd w:id="70"/>
    </w:p>
    <w:p>
      <w:pPr>
        <w:wordWrap w:val="0"/>
        <w:spacing w:line="360" w:lineRule="auto"/>
        <w:ind w:firstLine="48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区内限上商务企业、规上物流企业、物流园区主要负责人、安全负责人和安全生产管理人员</w:t>
      </w:r>
      <w:r>
        <w:rPr>
          <w:rFonts w:hint="eastAsia" w:ascii="仿宋" w:hAnsi="仿宋" w:eastAsia="仿宋" w:cs="仿宋"/>
          <w:sz w:val="32"/>
          <w:szCs w:val="32"/>
          <w:highlight w:val="none"/>
          <w:lang w:val="en-US" w:eastAsia="zh-CN"/>
        </w:rPr>
        <w:t>培训</w:t>
      </w:r>
      <w:r>
        <w:rPr>
          <w:rFonts w:hint="eastAsia" w:ascii="仿宋" w:hAnsi="仿宋" w:eastAsia="仿宋" w:cs="仿宋"/>
          <w:sz w:val="32"/>
          <w:szCs w:val="32"/>
          <w:highlight w:val="none"/>
        </w:rPr>
        <w:t>。培训人数暂定</w:t>
      </w:r>
      <w:r>
        <w:rPr>
          <w:rFonts w:hint="eastAsia" w:ascii="仿宋" w:hAnsi="仿宋" w:eastAsia="仿宋" w:cs="仿宋"/>
          <w:sz w:val="32"/>
          <w:szCs w:val="32"/>
          <w:highlight w:val="none"/>
          <w:lang w:val="en-US" w:eastAsia="zh-CN"/>
        </w:rPr>
        <w:t>250</w:t>
      </w:r>
      <w:r>
        <w:rPr>
          <w:rFonts w:hint="eastAsia" w:ascii="仿宋" w:hAnsi="仿宋" w:eastAsia="仿宋" w:cs="仿宋"/>
          <w:sz w:val="32"/>
          <w:szCs w:val="32"/>
          <w:highlight w:val="none"/>
        </w:rPr>
        <w:t>人次，</w:t>
      </w:r>
      <w:r>
        <w:rPr>
          <w:rFonts w:hint="eastAsia" w:ascii="仿宋" w:hAnsi="仿宋" w:eastAsia="仿宋" w:cs="仿宋"/>
          <w:color w:val="C00000"/>
          <w:sz w:val="32"/>
          <w:szCs w:val="32"/>
          <w:highlight w:val="none"/>
          <w:lang w:val="en-US" w:eastAsia="zh-CN"/>
        </w:rPr>
        <w:t>超出250人</w:t>
      </w:r>
      <w:r>
        <w:rPr>
          <w:rFonts w:hint="eastAsia" w:ascii="仿宋" w:hAnsi="仿宋" w:eastAsia="仿宋" w:cs="仿宋"/>
          <w:sz w:val="32"/>
          <w:szCs w:val="32"/>
          <w:highlight w:val="none"/>
        </w:rPr>
        <w:t>支付及结算以实际</w:t>
      </w:r>
      <w:r>
        <w:rPr>
          <w:rFonts w:hint="eastAsia" w:ascii="仿宋" w:hAnsi="仿宋" w:eastAsia="仿宋" w:cs="仿宋"/>
          <w:sz w:val="32"/>
          <w:szCs w:val="32"/>
          <w:highlight w:val="none"/>
          <w:lang w:val="en-US" w:eastAsia="zh-CN"/>
        </w:rPr>
        <w:t>参</w:t>
      </w:r>
      <w:r>
        <w:rPr>
          <w:rFonts w:hint="eastAsia" w:ascii="仿宋" w:hAnsi="仿宋" w:eastAsia="仿宋" w:cs="仿宋"/>
          <w:sz w:val="32"/>
          <w:szCs w:val="32"/>
          <w:highlight w:val="none"/>
        </w:rPr>
        <w:t>培为准</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超出250人按超出人数每人400元的培训费支付。</w:t>
      </w:r>
    </w:p>
    <w:p>
      <w:pPr>
        <w:wordWrap w:val="0"/>
        <w:spacing w:line="360" w:lineRule="auto"/>
        <w:ind w:firstLine="480"/>
        <w:jc w:val="both"/>
        <w:rPr>
          <w:rFonts w:hint="eastAsia" w:ascii="方正黑体_GBK" w:hAnsi="方正黑体_GBK" w:eastAsia="方正黑体_GBK" w:cs="方正黑体_GBK"/>
          <w:b/>
          <w:bCs/>
          <w:sz w:val="32"/>
          <w:szCs w:val="32"/>
          <w:highlight w:val="none"/>
        </w:rPr>
      </w:pPr>
      <w:bookmarkStart w:id="71" w:name="_Toc5584"/>
      <w:r>
        <w:rPr>
          <w:rFonts w:hint="eastAsia" w:ascii="方正黑体_GBK" w:hAnsi="方正黑体_GBK" w:eastAsia="方正黑体_GBK" w:cs="方正黑体_GBK"/>
          <w:b/>
          <w:bCs/>
          <w:sz w:val="32"/>
          <w:szCs w:val="32"/>
          <w:highlight w:val="none"/>
        </w:rPr>
        <w:t>四、培训人数</w:t>
      </w:r>
      <w:bookmarkEnd w:id="71"/>
    </w:p>
    <w:p>
      <w:pPr>
        <w:wordWrap w:val="0"/>
        <w:spacing w:line="360" w:lineRule="auto"/>
        <w:ind w:firstLine="480"/>
        <w:jc w:val="both"/>
        <w:rPr>
          <w:rFonts w:hint="default" w:ascii="仿宋" w:hAnsi="仿宋" w:eastAsia="仿宋" w:cs="仿宋"/>
          <w:sz w:val="32"/>
          <w:szCs w:val="32"/>
          <w:highlight w:val="none"/>
          <w:lang w:val="en-US" w:eastAsia="zh-CN"/>
        </w:rPr>
      </w:pPr>
      <w:bookmarkStart w:id="72" w:name="_Toc30636"/>
      <w:r>
        <w:rPr>
          <w:rFonts w:hint="eastAsia" w:ascii="仿宋" w:hAnsi="仿宋" w:eastAsia="仿宋" w:cs="仿宋"/>
          <w:sz w:val="32"/>
          <w:szCs w:val="32"/>
          <w:highlight w:val="none"/>
          <w:lang w:val="en-US" w:eastAsia="zh-CN"/>
        </w:rPr>
        <w:t>暂定250人，</w:t>
      </w:r>
      <w:r>
        <w:rPr>
          <w:rFonts w:hint="eastAsia" w:ascii="仿宋" w:hAnsi="仿宋" w:eastAsia="仿宋" w:cs="仿宋"/>
          <w:color w:val="C00000"/>
          <w:sz w:val="32"/>
          <w:szCs w:val="32"/>
          <w:highlight w:val="none"/>
          <w:lang w:val="en-US" w:eastAsia="zh-CN"/>
        </w:rPr>
        <w:t>超出250人</w:t>
      </w:r>
      <w:r>
        <w:rPr>
          <w:rFonts w:hint="eastAsia" w:ascii="仿宋" w:hAnsi="仿宋" w:eastAsia="仿宋" w:cs="仿宋"/>
          <w:sz w:val="32"/>
          <w:szCs w:val="32"/>
          <w:highlight w:val="none"/>
          <w:lang w:val="en-US" w:eastAsia="zh-CN"/>
        </w:rPr>
        <w:t>支付及结算以实际参培为准。</w:t>
      </w:r>
    </w:p>
    <w:p>
      <w:pPr>
        <w:wordWrap w:val="0"/>
        <w:spacing w:line="360" w:lineRule="auto"/>
        <w:ind w:firstLine="480"/>
        <w:jc w:val="both"/>
        <w:rPr>
          <w:rFonts w:hint="eastAsia" w:ascii="方正黑体_GBK" w:hAnsi="方正黑体_GBK" w:eastAsia="方正黑体_GBK" w:cs="方正黑体_GBK"/>
          <w:b/>
          <w:bCs/>
          <w:sz w:val="32"/>
          <w:szCs w:val="32"/>
          <w:highlight w:val="none"/>
        </w:rPr>
      </w:pPr>
      <w:r>
        <w:rPr>
          <w:rFonts w:hint="eastAsia" w:ascii="方正黑体_GBK" w:hAnsi="方正黑体_GBK" w:eastAsia="方正黑体_GBK" w:cs="方正黑体_GBK"/>
          <w:b/>
          <w:bCs/>
          <w:sz w:val="32"/>
          <w:szCs w:val="32"/>
          <w:highlight w:val="none"/>
        </w:rPr>
        <w:t>五、项目实施地点</w:t>
      </w:r>
      <w:bookmarkEnd w:id="72"/>
    </w:p>
    <w:p>
      <w:pPr>
        <w:wordWrap w:val="0"/>
        <w:spacing w:line="360" w:lineRule="auto"/>
        <w:ind w:firstLine="480"/>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采购人指定地点</w:t>
      </w:r>
      <w:r>
        <w:rPr>
          <w:rFonts w:hint="eastAsia" w:ascii="仿宋" w:hAnsi="仿宋" w:eastAsia="仿宋" w:cs="仿宋"/>
          <w:sz w:val="32"/>
          <w:szCs w:val="32"/>
          <w:highlight w:val="none"/>
        </w:rPr>
        <w:t>。</w:t>
      </w:r>
    </w:p>
    <w:p>
      <w:pPr>
        <w:wordWrap w:val="0"/>
        <w:spacing w:line="360" w:lineRule="auto"/>
        <w:ind w:firstLine="480"/>
        <w:jc w:val="both"/>
        <w:rPr>
          <w:rFonts w:hint="eastAsia" w:ascii="方正黑体_GBK" w:hAnsi="方正黑体_GBK" w:eastAsia="方正黑体_GBK" w:cs="方正黑体_GBK"/>
          <w:b/>
          <w:bCs/>
          <w:sz w:val="32"/>
          <w:szCs w:val="32"/>
          <w:highlight w:val="none"/>
        </w:rPr>
      </w:pPr>
      <w:bookmarkStart w:id="73" w:name="_Toc29164"/>
      <w:r>
        <w:rPr>
          <w:rFonts w:hint="eastAsia" w:ascii="方正黑体_GBK" w:hAnsi="方正黑体_GBK" w:eastAsia="方正黑体_GBK" w:cs="方正黑体_GBK"/>
          <w:b/>
          <w:bCs/>
          <w:sz w:val="32"/>
          <w:szCs w:val="32"/>
          <w:highlight w:val="none"/>
        </w:rPr>
        <w:t>六、服务方式</w:t>
      </w:r>
      <w:bookmarkEnd w:id="73"/>
    </w:p>
    <w:p>
      <w:pPr>
        <w:wordWrap w:val="0"/>
        <w:spacing w:line="360" w:lineRule="auto"/>
        <w:ind w:firstLine="48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（一）招标人根据实际培训需求提供培训计划</w:t>
      </w:r>
    </w:p>
    <w:p>
      <w:pPr>
        <w:wordWrap w:val="0"/>
        <w:spacing w:line="360" w:lineRule="auto"/>
        <w:ind w:firstLine="48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区内限上商务企业、规上物流企业、物流园区主要负责人、安全负责人和安全生产管理人员</w:t>
      </w:r>
      <w:r>
        <w:rPr>
          <w:rFonts w:hint="eastAsia" w:ascii="仿宋" w:hAnsi="仿宋" w:eastAsia="仿宋" w:cs="仿宋"/>
          <w:sz w:val="32"/>
          <w:szCs w:val="32"/>
          <w:highlight w:val="none"/>
          <w:lang w:val="en-US" w:eastAsia="zh-CN"/>
        </w:rPr>
        <w:t>的安全培训计划</w:t>
      </w:r>
      <w:r>
        <w:rPr>
          <w:rFonts w:hint="eastAsia" w:ascii="仿宋" w:hAnsi="仿宋" w:eastAsia="仿宋" w:cs="仿宋"/>
          <w:sz w:val="32"/>
          <w:szCs w:val="32"/>
          <w:highlight w:val="none"/>
        </w:rPr>
        <w:t>。</w:t>
      </w:r>
    </w:p>
    <w:p>
      <w:pPr>
        <w:wordWrap w:val="0"/>
        <w:spacing w:line="360" w:lineRule="auto"/>
        <w:ind w:firstLine="48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（二）中标人须提供以下服务：</w:t>
      </w:r>
    </w:p>
    <w:p>
      <w:pPr>
        <w:wordWrap w:val="0"/>
        <w:spacing w:line="360" w:lineRule="auto"/>
        <w:ind w:firstLine="48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1、提供培训所需的设施设备、考试设施设备，配备相应师资和培训管理人员，完成学员培训、报名考试和档案登记等工作。</w:t>
      </w:r>
    </w:p>
    <w:p>
      <w:pPr>
        <w:wordWrap w:val="0"/>
        <w:spacing w:line="360" w:lineRule="auto"/>
        <w:ind w:firstLine="48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2、应保障学员有良好、安全的教学环境，并对培训期间学员及培训管理人员安全负责（因个人行为造成自身伤害、因违反培训单位相关规定及国家法律法规造成自身伤害、不可抗力的自然灾害因素除外）。</w:t>
      </w:r>
    </w:p>
    <w:p>
      <w:pPr>
        <w:wordWrap w:val="0"/>
        <w:spacing w:line="360" w:lineRule="auto"/>
        <w:ind w:firstLine="48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3、为参训学员和管理人员提供培训考试期间免费午餐。</w:t>
      </w:r>
    </w:p>
    <w:p>
      <w:pPr>
        <w:wordWrap w:val="0"/>
        <w:spacing w:line="360" w:lineRule="auto"/>
        <w:ind w:firstLine="48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4、向招标人提供培训方案课程表及日程安排表，制作考勤表并要求学员签字。</w:t>
      </w:r>
    </w:p>
    <w:p>
      <w:pPr>
        <w:wordWrap w:val="0"/>
        <w:spacing w:line="360" w:lineRule="auto"/>
        <w:ind w:firstLine="480"/>
        <w:jc w:val="both"/>
        <w:rPr>
          <w:rFonts w:hint="eastAsia" w:ascii="仿宋_GB2312" w:hAnsi="仿宋_GB2312" w:eastAsia="仿宋_GB2312" w:cs="仿宋_GB2312"/>
          <w:sz w:val="32"/>
          <w:szCs w:val="32"/>
          <w:lang w:eastAsia="zh-CN"/>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、按照招标人的培训要求，制定并落实好培训计划，按与招标人确认的培训方案组织合适培训教师，按时、按质按量完成培训目标。</w:t>
      </w:r>
    </w:p>
    <w:p>
      <w:pPr>
        <w:spacing w:line="375" w:lineRule="atLeast"/>
        <w:jc w:val="center"/>
        <w:outlineLvl w:val="0"/>
        <w:rPr>
          <w:rFonts w:hint="eastAsia" w:ascii="方正小标宋_GBK" w:hAnsi="方正小标宋_GBK" w:eastAsia="方正小标宋_GBK" w:cs="方正小标宋_GBK"/>
          <w:b/>
          <w:bCs/>
          <w:color w:val="auto"/>
          <w:sz w:val="44"/>
          <w:szCs w:val="44"/>
          <w:highlight w:val="none"/>
        </w:rPr>
      </w:pPr>
      <w:r>
        <w:rPr>
          <w:rFonts w:hint="eastAsia" w:ascii="方正小标宋_GBK" w:hAnsi="方正小标宋_GBK" w:eastAsia="方正小标宋_GBK" w:cs="方正小标宋_GBK"/>
          <w:b/>
          <w:bCs/>
          <w:color w:val="auto"/>
          <w:sz w:val="44"/>
          <w:szCs w:val="44"/>
          <w:highlight w:val="none"/>
        </w:rPr>
        <w:t>第三篇  项目商务需求</w:t>
      </w:r>
    </w:p>
    <w:p>
      <w:pPr>
        <w:pStyle w:val="5"/>
        <w:spacing w:before="0" w:after="0" w:line="360" w:lineRule="auto"/>
        <w:outlineLvl w:val="1"/>
        <w:rPr>
          <w:rFonts w:hint="eastAsia" w:ascii="仿宋" w:hAnsi="仿宋" w:eastAsia="仿宋" w:cs="仿宋"/>
          <w:b/>
          <w:bCs/>
          <w:snapToGrid w:val="0"/>
          <w:color w:val="auto"/>
          <w:kern w:val="0"/>
          <w:sz w:val="32"/>
          <w:szCs w:val="32"/>
          <w:highlight w:val="none"/>
        </w:rPr>
      </w:pPr>
      <w:bookmarkStart w:id="74" w:name="_Toc32502_WPSOffice_Level2"/>
      <w:bookmarkStart w:id="75" w:name="_Toc32729"/>
      <w:bookmarkStart w:id="76" w:name="_Toc25630"/>
      <w:bookmarkStart w:id="77" w:name="_Toc344475120"/>
      <w:bookmarkStart w:id="78" w:name="_Toc18209_WPSOffice_Level2"/>
    </w:p>
    <w:bookmarkEnd w:id="74"/>
    <w:bookmarkEnd w:id="75"/>
    <w:bookmarkEnd w:id="76"/>
    <w:bookmarkEnd w:id="77"/>
    <w:bookmarkEnd w:id="78"/>
    <w:p>
      <w:pPr>
        <w:wordWrap w:val="0"/>
        <w:spacing w:line="360" w:lineRule="auto"/>
        <w:ind w:firstLine="480"/>
        <w:jc w:val="both"/>
        <w:rPr>
          <w:rFonts w:hint="eastAsia" w:ascii="仿宋" w:hAnsi="仿宋" w:eastAsia="仿宋" w:cs="仿宋"/>
          <w:b w:val="0"/>
          <w:bCs w:val="0"/>
          <w:sz w:val="32"/>
          <w:szCs w:val="32"/>
          <w:highlight w:val="none"/>
        </w:rPr>
      </w:pPr>
      <w:bookmarkStart w:id="79" w:name="_Toc11642"/>
      <w:bookmarkStart w:id="80" w:name="_Toc10031"/>
      <w:bookmarkStart w:id="81" w:name="_Toc134721546"/>
      <w:bookmarkStart w:id="82" w:name="_Toc25361"/>
      <w:bookmarkStart w:id="83" w:name="_Toc16833"/>
      <w:bookmarkStart w:id="84" w:name="_Toc17144"/>
      <w:bookmarkStart w:id="85" w:name="_Toc113094903"/>
      <w:bookmarkStart w:id="86" w:name="_Toc143850066"/>
      <w:r>
        <w:rPr>
          <w:rFonts w:hint="eastAsia" w:ascii="方正黑体_GBK" w:hAnsi="方正黑体_GBK" w:eastAsia="方正黑体_GBK" w:cs="方正黑体_GBK"/>
          <w:b w:val="0"/>
          <w:bCs w:val="0"/>
          <w:sz w:val="32"/>
          <w:szCs w:val="32"/>
          <w:highlight w:val="none"/>
        </w:rPr>
        <w:t>一、</w:t>
      </w:r>
      <w:bookmarkEnd w:id="79"/>
      <w:bookmarkEnd w:id="80"/>
      <w:bookmarkEnd w:id="81"/>
      <w:bookmarkEnd w:id="82"/>
      <w:bookmarkEnd w:id="83"/>
      <w:bookmarkEnd w:id="84"/>
      <w:bookmarkEnd w:id="85"/>
      <w:r>
        <w:rPr>
          <w:rFonts w:hint="eastAsia" w:ascii="方正黑体_GBK" w:hAnsi="方正黑体_GBK" w:eastAsia="方正黑体_GBK" w:cs="方正黑体_GBK"/>
          <w:b w:val="0"/>
          <w:bCs w:val="0"/>
          <w:sz w:val="32"/>
          <w:szCs w:val="32"/>
          <w:highlight w:val="none"/>
        </w:rPr>
        <w:t>服务期、地点</w:t>
      </w:r>
      <w:bookmarkEnd w:id="86"/>
      <w:r>
        <w:rPr>
          <w:rFonts w:hint="eastAsia" w:ascii="仿宋" w:hAnsi="仿宋" w:eastAsia="仿宋" w:cs="仿宋"/>
          <w:b w:val="0"/>
          <w:bCs w:val="0"/>
          <w:sz w:val="32"/>
          <w:szCs w:val="32"/>
          <w:highlight w:val="none"/>
        </w:rPr>
        <w:t xml:space="preserve"> </w:t>
      </w:r>
    </w:p>
    <w:p>
      <w:pPr>
        <w:wordWrap w:val="0"/>
        <w:spacing w:line="360" w:lineRule="auto"/>
        <w:ind w:firstLine="480"/>
        <w:jc w:val="both"/>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（一）服务时间</w:t>
      </w:r>
    </w:p>
    <w:p>
      <w:pPr>
        <w:wordWrap w:val="0"/>
        <w:spacing w:line="360" w:lineRule="auto"/>
        <w:ind w:firstLine="48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采购人指定时间。</w:t>
      </w:r>
    </w:p>
    <w:p>
      <w:pPr>
        <w:wordWrap w:val="0"/>
        <w:spacing w:line="360" w:lineRule="auto"/>
        <w:ind w:firstLine="480"/>
        <w:jc w:val="both"/>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（二）</w:t>
      </w:r>
      <w:r>
        <w:rPr>
          <w:rFonts w:hint="eastAsia" w:ascii="仿宋" w:hAnsi="仿宋" w:eastAsia="仿宋" w:cs="仿宋"/>
          <w:b w:val="0"/>
          <w:bCs w:val="0"/>
          <w:sz w:val="32"/>
          <w:szCs w:val="32"/>
          <w:highlight w:val="none"/>
          <w:lang w:val="en-US" w:eastAsia="zh-CN"/>
        </w:rPr>
        <w:t>服务</w:t>
      </w:r>
      <w:r>
        <w:rPr>
          <w:rFonts w:hint="eastAsia" w:ascii="仿宋" w:hAnsi="仿宋" w:eastAsia="仿宋" w:cs="仿宋"/>
          <w:b w:val="0"/>
          <w:bCs w:val="0"/>
          <w:sz w:val="32"/>
          <w:szCs w:val="32"/>
          <w:highlight w:val="none"/>
        </w:rPr>
        <w:t>地点</w:t>
      </w:r>
    </w:p>
    <w:p>
      <w:pPr>
        <w:wordWrap w:val="0"/>
        <w:spacing w:line="360" w:lineRule="auto"/>
        <w:ind w:firstLine="480"/>
        <w:jc w:val="both"/>
        <w:rPr>
          <w:rFonts w:hint="eastAsia" w:ascii="仿宋" w:hAnsi="仿宋" w:eastAsia="仿宋" w:cs="仿宋"/>
          <w:sz w:val="32"/>
          <w:szCs w:val="32"/>
          <w:highlight w:val="none"/>
        </w:rPr>
      </w:pPr>
      <w:bookmarkStart w:id="87" w:name="_Toc113094905"/>
      <w:bookmarkStart w:id="88" w:name="_Toc25091"/>
      <w:bookmarkStart w:id="89" w:name="_Toc143850067"/>
      <w:bookmarkStart w:id="90" w:name="_Toc134721548"/>
      <w:bookmarkStart w:id="91" w:name="_Toc32601"/>
      <w:bookmarkStart w:id="92" w:name="_Toc23170"/>
      <w:bookmarkStart w:id="93" w:name="_Toc344475122"/>
      <w:bookmarkStart w:id="94" w:name="_Toc25825"/>
      <w:bookmarkStart w:id="95" w:name="_Toc485108790"/>
      <w:r>
        <w:rPr>
          <w:rFonts w:hint="eastAsia" w:ascii="仿宋" w:hAnsi="仿宋" w:eastAsia="仿宋" w:cs="仿宋"/>
          <w:sz w:val="32"/>
          <w:szCs w:val="32"/>
          <w:highlight w:val="none"/>
          <w:lang w:val="en-US" w:eastAsia="zh-CN"/>
        </w:rPr>
        <w:t>采购人指定地点</w:t>
      </w:r>
      <w:r>
        <w:rPr>
          <w:rFonts w:hint="eastAsia" w:ascii="仿宋" w:hAnsi="仿宋" w:eastAsia="仿宋" w:cs="仿宋"/>
          <w:sz w:val="32"/>
          <w:szCs w:val="32"/>
          <w:highlight w:val="none"/>
        </w:rPr>
        <w:t>。</w:t>
      </w:r>
    </w:p>
    <w:p>
      <w:pPr>
        <w:wordWrap w:val="0"/>
        <w:spacing w:line="360" w:lineRule="auto"/>
        <w:ind w:firstLine="480"/>
        <w:jc w:val="both"/>
        <w:rPr>
          <w:rFonts w:hint="eastAsia" w:ascii="方正黑体_GBK" w:hAnsi="方正黑体_GBK" w:eastAsia="方正黑体_GBK" w:cs="方正黑体_GBK"/>
          <w:b w:val="0"/>
          <w:bCs w:val="0"/>
          <w:sz w:val="32"/>
          <w:szCs w:val="32"/>
          <w:highlight w:val="none"/>
        </w:rPr>
      </w:pPr>
      <w:r>
        <w:rPr>
          <w:rFonts w:hint="eastAsia" w:ascii="方正黑体_GBK" w:hAnsi="方正黑体_GBK" w:eastAsia="方正黑体_GBK" w:cs="方正黑体_GBK"/>
          <w:b w:val="0"/>
          <w:bCs w:val="0"/>
          <w:sz w:val="32"/>
          <w:szCs w:val="32"/>
          <w:highlight w:val="none"/>
        </w:rPr>
        <w:t>二、报价要求</w:t>
      </w:r>
      <w:bookmarkEnd w:id="87"/>
      <w:bookmarkEnd w:id="88"/>
      <w:bookmarkEnd w:id="89"/>
      <w:bookmarkEnd w:id="90"/>
      <w:bookmarkEnd w:id="91"/>
    </w:p>
    <w:p>
      <w:pPr>
        <w:wordWrap w:val="0"/>
        <w:spacing w:line="360" w:lineRule="auto"/>
        <w:ind w:firstLine="480"/>
        <w:jc w:val="both"/>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项目为人民币报价，报价包括完成本项目所需的服务费、人工管理费、利润及应缴纳的税费等，实行包干价。供应商根据本项目的实际情况与自身现实情况，并充分考虑不确定性因素可能导致的风险自行填报，若因供应商原因造成的漏报、错报而导致本项目无法履行的，由供应商负责，采购人不会再承担任何费用。</w:t>
      </w:r>
    </w:p>
    <w:p>
      <w:pPr>
        <w:wordWrap w:val="0"/>
        <w:spacing w:line="360" w:lineRule="auto"/>
        <w:ind w:firstLine="480"/>
        <w:jc w:val="both"/>
        <w:rPr>
          <w:rFonts w:hint="eastAsia" w:ascii="仿宋" w:hAnsi="仿宋" w:eastAsia="仿宋" w:cs="仿宋"/>
          <w:b w:val="0"/>
          <w:bCs w:val="0"/>
          <w:sz w:val="32"/>
          <w:szCs w:val="32"/>
          <w:highlight w:val="none"/>
        </w:rPr>
      </w:pPr>
      <w:bookmarkStart w:id="96" w:name="_Toc5337"/>
      <w:bookmarkStart w:id="97" w:name="_Toc16540"/>
      <w:bookmarkStart w:id="98" w:name="_Toc143850068"/>
      <w:bookmarkStart w:id="99" w:name="_Toc113094906"/>
      <w:bookmarkStart w:id="100" w:name="_Toc134721549"/>
      <w:bookmarkStart w:id="101" w:name="_Toc10830"/>
      <w:r>
        <w:rPr>
          <w:rFonts w:hint="eastAsia" w:ascii="方正黑体_GBK" w:hAnsi="方正黑体_GBK" w:eastAsia="方正黑体_GBK" w:cs="方正黑体_GBK"/>
          <w:b w:val="0"/>
          <w:bCs w:val="0"/>
          <w:sz w:val="32"/>
          <w:szCs w:val="32"/>
          <w:highlight w:val="none"/>
        </w:rPr>
        <w:t>三、付款方式</w:t>
      </w:r>
      <w:bookmarkEnd w:id="92"/>
      <w:bookmarkEnd w:id="93"/>
      <w:bookmarkEnd w:id="94"/>
      <w:bookmarkEnd w:id="95"/>
      <w:bookmarkEnd w:id="96"/>
      <w:bookmarkEnd w:id="97"/>
      <w:bookmarkEnd w:id="98"/>
      <w:bookmarkEnd w:id="99"/>
      <w:bookmarkEnd w:id="100"/>
      <w:bookmarkEnd w:id="101"/>
    </w:p>
    <w:p>
      <w:pPr>
        <w:wordWrap w:val="0"/>
        <w:spacing w:line="360" w:lineRule="auto"/>
        <w:ind w:firstLine="480"/>
        <w:jc w:val="both"/>
        <w:rPr>
          <w:rFonts w:hint="eastAsia" w:ascii="仿宋" w:hAnsi="仿宋" w:eastAsia="仿宋" w:cs="仿宋"/>
          <w:b w:val="0"/>
          <w:bCs w:val="0"/>
          <w:sz w:val="32"/>
          <w:szCs w:val="32"/>
          <w:highlight w:val="none"/>
        </w:rPr>
      </w:pPr>
      <w:bookmarkStart w:id="102" w:name="_Toc10766"/>
      <w:bookmarkStart w:id="103" w:name="_Toc10195"/>
      <w:bookmarkStart w:id="104" w:name="_Toc31036"/>
      <w:bookmarkStart w:id="105" w:name="_Toc13890"/>
      <w:bookmarkStart w:id="106" w:name="_Toc113094907"/>
      <w:r>
        <w:rPr>
          <w:rFonts w:hint="eastAsia" w:ascii="仿宋" w:hAnsi="仿宋" w:eastAsia="仿宋" w:cs="仿宋"/>
          <w:b w:val="0"/>
          <w:bCs w:val="0"/>
          <w:sz w:val="32"/>
          <w:szCs w:val="32"/>
          <w:highlight w:val="none"/>
        </w:rPr>
        <w:t>1、转账方式：银行转账</w:t>
      </w:r>
    </w:p>
    <w:p>
      <w:pPr>
        <w:wordWrap w:val="0"/>
        <w:spacing w:line="360" w:lineRule="auto"/>
        <w:ind w:firstLine="480"/>
        <w:jc w:val="both"/>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付款方式：在培训完成后，中标人应提供培训的总人数及项目对账表，由双方进行对账，经双方完成对账确认培训费用后，招标人收到中标人开具符合招标人要求的合法有效的发票和书面支付申请，经招标人确认后，原则上60个工作日内支付培训费用。如果因中标人提供不合规发票造成招标人税费等损失的，中标人应等额赔偿。</w:t>
      </w:r>
    </w:p>
    <w:p>
      <w:pPr>
        <w:wordWrap w:val="0"/>
        <w:spacing w:line="360" w:lineRule="auto"/>
        <w:ind w:firstLine="480"/>
        <w:jc w:val="both"/>
        <w:rPr>
          <w:rFonts w:hint="eastAsia" w:ascii="方正黑体_GBK" w:hAnsi="方正黑体_GBK" w:eastAsia="方正黑体_GBK" w:cs="方正黑体_GBK"/>
          <w:b w:val="0"/>
          <w:bCs w:val="0"/>
          <w:sz w:val="32"/>
          <w:szCs w:val="32"/>
          <w:highlight w:val="none"/>
        </w:rPr>
      </w:pPr>
      <w:bookmarkStart w:id="107" w:name="_Toc143850069"/>
      <w:r>
        <w:rPr>
          <w:rFonts w:hint="eastAsia" w:ascii="方正黑体_GBK" w:hAnsi="方正黑体_GBK" w:eastAsia="方正黑体_GBK" w:cs="方正黑体_GBK"/>
          <w:b w:val="0"/>
          <w:bCs w:val="0"/>
          <w:sz w:val="32"/>
          <w:szCs w:val="32"/>
          <w:highlight w:val="none"/>
        </w:rPr>
        <w:t>四、知识产权</w:t>
      </w:r>
      <w:bookmarkEnd w:id="102"/>
      <w:bookmarkEnd w:id="103"/>
      <w:bookmarkEnd w:id="104"/>
      <w:bookmarkEnd w:id="105"/>
      <w:bookmarkEnd w:id="106"/>
      <w:bookmarkEnd w:id="107"/>
    </w:p>
    <w:p>
      <w:pPr>
        <w:wordWrap w:val="0"/>
        <w:spacing w:line="360" w:lineRule="auto"/>
        <w:ind w:firstLine="480"/>
        <w:jc w:val="both"/>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采购人在中华人民共和国境内使用供应商提供的货物及服务时免受第三方提出的侵犯其专利权或其它知识产权的起诉。如果第三方提出侵权指控，成交供应商应承担由此而引起的一切法律责任和费用。涉及软件开发等服务类项目知识产权的，知识产权归采购人所有。</w:t>
      </w:r>
    </w:p>
    <w:p>
      <w:pPr>
        <w:wordWrap w:val="0"/>
        <w:spacing w:line="360" w:lineRule="auto"/>
        <w:ind w:firstLine="480"/>
        <w:jc w:val="both"/>
        <w:rPr>
          <w:rFonts w:hint="eastAsia" w:ascii="仿宋" w:hAnsi="仿宋" w:eastAsia="仿宋" w:cs="仿宋"/>
          <w:b w:val="0"/>
          <w:bCs w:val="0"/>
          <w:sz w:val="32"/>
          <w:szCs w:val="32"/>
          <w:highlight w:val="none"/>
        </w:rPr>
      </w:pPr>
      <w:bookmarkStart w:id="108" w:name="_Toc16176"/>
      <w:bookmarkStart w:id="109" w:name="_Toc143850070"/>
      <w:bookmarkStart w:id="110" w:name="_Toc134721550"/>
      <w:bookmarkStart w:id="111" w:name="_Toc30367"/>
      <w:bookmarkStart w:id="112" w:name="_Toc15230"/>
      <w:bookmarkStart w:id="113" w:name="_Toc113094908"/>
      <w:bookmarkStart w:id="114" w:name="_Toc24180"/>
      <w:bookmarkStart w:id="115" w:name="_Toc15080"/>
      <w:r>
        <w:rPr>
          <w:rFonts w:hint="eastAsia" w:ascii="方正黑体_GBK" w:hAnsi="方正黑体_GBK" w:eastAsia="方正黑体_GBK" w:cs="方正黑体_GBK"/>
          <w:b w:val="0"/>
          <w:bCs w:val="0"/>
          <w:sz w:val="32"/>
          <w:szCs w:val="32"/>
          <w:highlight w:val="none"/>
        </w:rPr>
        <w:t>五、其他</w:t>
      </w:r>
      <w:bookmarkEnd w:id="108"/>
      <w:bookmarkEnd w:id="109"/>
      <w:bookmarkEnd w:id="110"/>
      <w:bookmarkEnd w:id="111"/>
      <w:bookmarkEnd w:id="112"/>
      <w:bookmarkEnd w:id="113"/>
      <w:bookmarkEnd w:id="114"/>
      <w:bookmarkEnd w:id="115"/>
    </w:p>
    <w:p>
      <w:pPr>
        <w:wordWrap w:val="0"/>
        <w:spacing w:line="360" w:lineRule="auto"/>
        <w:ind w:firstLine="480"/>
        <w:jc w:val="both"/>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（一）</w:t>
      </w:r>
      <w:bookmarkStart w:id="116" w:name="_Toc16195"/>
      <w:r>
        <w:rPr>
          <w:rFonts w:hint="eastAsia" w:ascii="仿宋" w:hAnsi="仿宋" w:eastAsia="仿宋" w:cs="仿宋"/>
          <w:b w:val="0"/>
          <w:bCs w:val="0"/>
          <w:sz w:val="32"/>
          <w:szCs w:val="32"/>
          <w:highlight w:val="none"/>
        </w:rPr>
        <w:t>成交候选人或成交供应商放弃成交项目，无正当理由不与采购人签订合同，在签订合同时向采购人提出附加条件或者更改合同实质性内容，或者拒不提交履约担保的，取消其成交资格，保证金不予退还，给采购人的损失超过保证金数额的，成交候选人或成交供应商</w:t>
      </w:r>
      <w:bookmarkEnd w:id="116"/>
      <w:r>
        <w:rPr>
          <w:rFonts w:hint="eastAsia" w:ascii="仿宋" w:hAnsi="仿宋" w:eastAsia="仿宋" w:cs="仿宋"/>
          <w:b w:val="0"/>
          <w:bCs w:val="0"/>
          <w:sz w:val="32"/>
          <w:szCs w:val="32"/>
          <w:highlight w:val="none"/>
        </w:rPr>
        <w:t>应对超过部分予以赔偿。供应商应对上述采购要求在响应文件中无条件予以响应。</w:t>
      </w:r>
    </w:p>
    <w:p>
      <w:pPr>
        <w:wordWrap w:val="0"/>
        <w:spacing w:line="360" w:lineRule="auto"/>
        <w:ind w:firstLine="480"/>
        <w:jc w:val="both"/>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（二）其他未尽事宜由供需双方在采购合同中详细约定。</w:t>
      </w:r>
      <w:bookmarkStart w:id="117" w:name="_Toc17202"/>
    </w:p>
    <w:p>
      <w:pPr>
        <w:wordWrap w:val="0"/>
        <w:spacing w:line="360" w:lineRule="auto"/>
        <w:ind w:firstLine="480"/>
        <w:jc w:val="center"/>
        <w:rPr>
          <w:rFonts w:hint="eastAsia" w:ascii="方正小标宋_GBK" w:hAnsi="方正小标宋_GBK" w:eastAsia="方正小标宋_GBK" w:cs="方正小标宋_GBK"/>
          <w:b w:val="0"/>
          <w:color w:val="auto"/>
          <w:sz w:val="44"/>
          <w:szCs w:val="44"/>
        </w:rPr>
      </w:pPr>
      <w:r>
        <w:rPr>
          <w:rFonts w:hint="eastAsia" w:ascii="方正小标宋_GBK" w:hAnsi="方正小标宋_GBK" w:eastAsia="方正小标宋_GBK" w:cs="方正小标宋_GBK"/>
          <w:b w:val="0"/>
          <w:color w:val="auto"/>
          <w:sz w:val="44"/>
          <w:szCs w:val="44"/>
        </w:rPr>
        <w:t xml:space="preserve">第四篇  </w:t>
      </w:r>
      <w:r>
        <w:rPr>
          <w:rFonts w:hint="eastAsia" w:ascii="方正小标宋_GBK" w:hAnsi="方正小标宋_GBK" w:eastAsia="方正小标宋_GBK" w:cs="方正小标宋_GBK"/>
          <w:b w:val="0"/>
          <w:color w:val="auto"/>
          <w:sz w:val="44"/>
          <w:szCs w:val="44"/>
          <w:lang w:val="en-US" w:eastAsia="zh-CN"/>
        </w:rPr>
        <w:t>竞争性磋商</w:t>
      </w:r>
      <w:r>
        <w:rPr>
          <w:rFonts w:hint="eastAsia" w:ascii="方正小标宋_GBK" w:hAnsi="方正小标宋_GBK" w:eastAsia="方正小标宋_GBK" w:cs="方正小标宋_GBK"/>
          <w:b w:val="0"/>
          <w:color w:val="auto"/>
          <w:sz w:val="44"/>
          <w:szCs w:val="44"/>
        </w:rPr>
        <w:t>程序及方法、评审标准、无效响应和采购终止</w:t>
      </w:r>
      <w:bookmarkEnd w:id="117"/>
    </w:p>
    <w:p>
      <w:pPr>
        <w:pStyle w:val="4"/>
        <w:adjustRightInd w:val="0"/>
        <w:snapToGrid w:val="0"/>
        <w:spacing w:before="0" w:after="0" w:line="400" w:lineRule="exact"/>
        <w:ind w:firstLine="643" w:firstLineChars="200"/>
        <w:rPr>
          <w:rFonts w:hint="eastAsia" w:ascii="方正黑体_GBK" w:hAnsi="方正黑体_GBK" w:eastAsia="方正黑体_GBK" w:cs="方正黑体_GBK"/>
          <w:color w:val="auto"/>
          <w:sz w:val="32"/>
          <w:szCs w:val="32"/>
        </w:rPr>
      </w:pPr>
      <w:bookmarkStart w:id="118" w:name="_Toc15577"/>
      <w:bookmarkStart w:id="119" w:name="_Toc30423"/>
      <w:bookmarkStart w:id="120" w:name="_Toc76462333"/>
      <w:bookmarkStart w:id="121" w:name="_Toc106030888"/>
      <w:bookmarkStart w:id="122" w:name="_Toc19981"/>
    </w:p>
    <w:p>
      <w:pPr>
        <w:pStyle w:val="4"/>
        <w:adjustRightInd w:val="0"/>
        <w:snapToGrid w:val="0"/>
        <w:spacing w:before="0" w:after="0" w:line="400" w:lineRule="exact"/>
        <w:ind w:firstLine="643" w:firstLineChars="200"/>
        <w:rPr>
          <w:rFonts w:hint="eastAsia" w:ascii="方正仿宋_GBK" w:hAnsi="宋体" w:eastAsia="方正仿宋_GBK"/>
          <w:color w:val="auto"/>
          <w:sz w:val="24"/>
        </w:rPr>
      </w:pPr>
      <w:r>
        <w:rPr>
          <w:rFonts w:hint="eastAsia" w:ascii="方正黑体_GBK" w:hAnsi="方正黑体_GBK" w:eastAsia="方正黑体_GBK" w:cs="方正黑体_GBK"/>
          <w:color w:val="auto"/>
          <w:sz w:val="32"/>
          <w:szCs w:val="32"/>
        </w:rPr>
        <w:t>一、</w:t>
      </w:r>
      <w:r>
        <w:rPr>
          <w:rFonts w:hint="eastAsia" w:ascii="方正黑体_GBK" w:hAnsi="方正黑体_GBK" w:eastAsia="方正黑体_GBK" w:cs="方正黑体_GBK"/>
          <w:color w:val="auto"/>
          <w:sz w:val="32"/>
          <w:szCs w:val="32"/>
          <w:lang w:val="en-US" w:eastAsia="zh-CN"/>
        </w:rPr>
        <w:t>竞争性磋商</w:t>
      </w:r>
      <w:r>
        <w:rPr>
          <w:rFonts w:hint="eastAsia" w:ascii="方正黑体_GBK" w:hAnsi="方正黑体_GBK" w:eastAsia="方正黑体_GBK" w:cs="方正黑体_GBK"/>
          <w:color w:val="auto"/>
          <w:sz w:val="32"/>
          <w:szCs w:val="32"/>
        </w:rPr>
        <w:t>程序及方法</w:t>
      </w:r>
      <w:bookmarkEnd w:id="118"/>
      <w:bookmarkEnd w:id="119"/>
      <w:bookmarkEnd w:id="120"/>
      <w:bookmarkEnd w:id="121"/>
      <w:bookmarkEnd w:id="122"/>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（一）</w:t>
      </w:r>
      <w:r>
        <w:rPr>
          <w:rFonts w:hint="eastAsia" w:ascii="方正仿宋_GBK" w:hAnsi="宋体" w:eastAsia="方正仿宋_GBK"/>
          <w:color w:val="auto"/>
          <w:sz w:val="32"/>
          <w:szCs w:val="32"/>
          <w:lang w:val="en-US" w:eastAsia="zh-CN"/>
        </w:rPr>
        <w:t>按</w:t>
      </w:r>
      <w:r>
        <w:rPr>
          <w:rFonts w:hint="eastAsia" w:ascii="仿宋_GB2312" w:hAnsi="仿宋_GB2312" w:eastAsia="仿宋_GB2312" w:cs="仿宋_GB2312"/>
          <w:color w:val="auto"/>
          <w:sz w:val="32"/>
          <w:szCs w:val="32"/>
          <w:lang w:val="en-US" w:eastAsia="zh-CN"/>
        </w:rPr>
        <w:t>竞争性磋商</w:t>
      </w:r>
      <w:r>
        <w:rPr>
          <w:rFonts w:hint="eastAsia" w:ascii="方正仿宋_GBK" w:hAnsi="宋体" w:eastAsia="方正仿宋_GBK"/>
          <w:color w:val="auto"/>
          <w:sz w:val="32"/>
          <w:szCs w:val="32"/>
        </w:rPr>
        <w:t>文件规定的时间和地点进行，供应商须有法定代表人（或其授权代表）或自然人参加并签到。</w:t>
      </w:r>
      <w:r>
        <w:rPr>
          <w:rFonts w:hint="eastAsia" w:ascii="方正仿宋_GBK" w:hAnsi="宋体" w:eastAsia="方正仿宋_GBK" w:cs="宋体"/>
          <w:color w:val="auto"/>
          <w:kern w:val="0"/>
          <w:sz w:val="32"/>
          <w:szCs w:val="32"/>
          <w:lang w:val="en-US" w:eastAsia="zh-CN"/>
        </w:rPr>
        <w:t>竞争性磋商</w:t>
      </w:r>
      <w:r>
        <w:rPr>
          <w:rFonts w:hint="eastAsia" w:ascii="方正仿宋_GBK" w:hAnsi="宋体" w:eastAsia="方正仿宋_GBK"/>
          <w:color w:val="auto"/>
          <w:sz w:val="32"/>
          <w:szCs w:val="32"/>
          <w:lang w:eastAsia="zh-CN"/>
        </w:rPr>
        <w:t>采购</w:t>
      </w:r>
      <w:r>
        <w:rPr>
          <w:rFonts w:hint="eastAsia" w:ascii="方正仿宋_GBK" w:hAnsi="宋体" w:eastAsia="方正仿宋_GBK"/>
          <w:color w:val="auto"/>
          <w:sz w:val="32"/>
          <w:szCs w:val="32"/>
        </w:rPr>
        <w:t>以抽签的形式确定顺序，由本项目依法组建的</w:t>
      </w:r>
      <w:r>
        <w:rPr>
          <w:rFonts w:hint="eastAsia" w:ascii="方正仿宋_GBK" w:hAnsi="宋体" w:eastAsia="方正仿宋_GBK" w:cs="宋体"/>
          <w:color w:val="auto"/>
          <w:kern w:val="0"/>
          <w:sz w:val="32"/>
          <w:szCs w:val="32"/>
          <w:lang w:val="en-US" w:eastAsia="zh-CN"/>
        </w:rPr>
        <w:t>竞争性磋商</w:t>
      </w:r>
      <w:r>
        <w:rPr>
          <w:rFonts w:hint="eastAsia" w:ascii="方正仿宋_GBK" w:hAnsi="宋体" w:eastAsia="方正仿宋_GBK"/>
          <w:color w:val="auto"/>
          <w:sz w:val="32"/>
          <w:szCs w:val="32"/>
          <w:lang w:eastAsia="zh-CN"/>
        </w:rPr>
        <w:t>采购</w:t>
      </w:r>
      <w:r>
        <w:rPr>
          <w:rFonts w:hint="eastAsia" w:ascii="方正仿宋_GBK" w:hAnsi="宋体" w:eastAsia="方正仿宋_GBK"/>
          <w:color w:val="auto"/>
          <w:sz w:val="32"/>
          <w:szCs w:val="32"/>
        </w:rPr>
        <w:t>小组（以下简称</w:t>
      </w:r>
      <w:r>
        <w:rPr>
          <w:rFonts w:hint="eastAsia" w:ascii="方正仿宋_GBK" w:hAnsi="宋体" w:eastAsia="方正仿宋_GBK"/>
          <w:color w:val="auto"/>
          <w:sz w:val="32"/>
          <w:szCs w:val="32"/>
          <w:lang w:val="en-US" w:eastAsia="zh-CN"/>
        </w:rPr>
        <w:t>采购</w:t>
      </w:r>
      <w:r>
        <w:rPr>
          <w:rFonts w:hint="eastAsia" w:ascii="方正仿宋_GBK" w:hAnsi="宋体" w:eastAsia="方正仿宋_GBK"/>
          <w:color w:val="auto"/>
          <w:sz w:val="32"/>
          <w:szCs w:val="32"/>
        </w:rPr>
        <w:t>小组）分别与各供应商进行</w:t>
      </w:r>
      <w:r>
        <w:rPr>
          <w:rFonts w:hint="eastAsia" w:ascii="方正仿宋_GBK" w:hAnsi="宋体" w:eastAsia="方正仿宋_GBK" w:cs="宋体"/>
          <w:color w:val="auto"/>
          <w:kern w:val="0"/>
          <w:sz w:val="32"/>
          <w:szCs w:val="32"/>
          <w:lang w:val="en-US" w:eastAsia="zh-CN"/>
        </w:rPr>
        <w:t>竞争性磋商</w:t>
      </w:r>
      <w:r>
        <w:rPr>
          <w:rFonts w:hint="eastAsia" w:ascii="方正仿宋_GBK" w:hAnsi="宋体" w:eastAsia="方正仿宋_GBK"/>
          <w:color w:val="auto"/>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（二）</w:t>
      </w:r>
      <w:r>
        <w:rPr>
          <w:rFonts w:hint="eastAsia" w:ascii="方正仿宋_GBK" w:hAnsi="宋体" w:eastAsia="方正仿宋_GBK"/>
          <w:color w:val="auto"/>
          <w:sz w:val="32"/>
          <w:szCs w:val="32"/>
          <w:lang w:val="en-US" w:eastAsia="zh-CN"/>
        </w:rPr>
        <w:t>采购</w:t>
      </w:r>
      <w:r>
        <w:rPr>
          <w:rFonts w:hint="eastAsia" w:ascii="方正仿宋_GBK" w:hAnsi="宋体" w:eastAsia="方正仿宋_GBK"/>
          <w:color w:val="auto"/>
          <w:sz w:val="32"/>
          <w:szCs w:val="32"/>
        </w:rPr>
        <w:t>小组对各供应商的资格条件、响应文件的有效性、完整性和响应程度进行审查。各供应商只有在完全符合要求的前提下，才能参与正式</w:t>
      </w:r>
      <w:r>
        <w:rPr>
          <w:rFonts w:hint="eastAsia" w:ascii="仿宋_GB2312" w:hAnsi="仿宋_GB2312" w:eastAsia="仿宋_GB2312" w:cs="仿宋_GB2312"/>
          <w:color w:val="auto"/>
          <w:sz w:val="32"/>
          <w:szCs w:val="32"/>
          <w:lang w:val="en-US" w:eastAsia="zh-CN"/>
        </w:rPr>
        <w:t>竞争性磋商</w:t>
      </w:r>
      <w:r>
        <w:rPr>
          <w:rFonts w:hint="eastAsia" w:ascii="方正仿宋_GBK" w:hAnsi="宋体" w:eastAsia="方正仿宋_GBK"/>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方正仿宋_GBK" w:hAnsi="宋体" w:eastAsia="方正仿宋_GBK" w:cs="宋体"/>
          <w:color w:val="auto"/>
          <w:kern w:val="0"/>
          <w:sz w:val="24"/>
          <w:szCs w:val="24"/>
        </w:rPr>
      </w:pPr>
      <w:r>
        <w:rPr>
          <w:rFonts w:hint="eastAsia" w:ascii="方正仿宋_GBK" w:hAnsi="宋体" w:eastAsia="方正仿宋_GBK"/>
          <w:color w:val="auto"/>
          <w:sz w:val="32"/>
          <w:szCs w:val="32"/>
        </w:rPr>
        <w:t>1.</w:t>
      </w:r>
      <w:r>
        <w:rPr>
          <w:rFonts w:hint="eastAsia" w:ascii="方正仿宋_GBK" w:hAnsi="宋体" w:eastAsia="方正仿宋_GBK" w:cs="宋体"/>
          <w:color w:val="auto"/>
          <w:kern w:val="0"/>
          <w:sz w:val="32"/>
          <w:szCs w:val="32"/>
        </w:rPr>
        <w:t>资格性审查。依据法律法规和</w:t>
      </w:r>
      <w:r>
        <w:rPr>
          <w:rFonts w:hint="eastAsia" w:ascii="方正仿宋_GBK" w:hAnsi="宋体" w:eastAsia="方正仿宋_GBK" w:cs="宋体"/>
          <w:color w:val="auto"/>
          <w:kern w:val="0"/>
          <w:sz w:val="32"/>
          <w:szCs w:val="32"/>
          <w:lang w:val="en-US" w:eastAsia="zh-CN"/>
        </w:rPr>
        <w:t>竞争性磋商</w:t>
      </w:r>
      <w:r>
        <w:rPr>
          <w:rFonts w:hint="eastAsia" w:ascii="方正仿宋_GBK" w:hAnsi="宋体" w:eastAsia="方正仿宋_GBK" w:cs="宋体"/>
          <w:color w:val="auto"/>
          <w:kern w:val="0"/>
          <w:sz w:val="32"/>
          <w:szCs w:val="32"/>
        </w:rPr>
        <w:t>文件的规定，对响应文件中的资格证明等进行审查，以确定供应商是否具备</w:t>
      </w:r>
      <w:r>
        <w:rPr>
          <w:rFonts w:hint="eastAsia" w:ascii="仿宋_GB2312" w:hAnsi="仿宋_GB2312" w:eastAsia="仿宋_GB2312" w:cs="仿宋_GB2312"/>
          <w:color w:val="auto"/>
          <w:sz w:val="32"/>
          <w:szCs w:val="32"/>
          <w:lang w:val="en-US" w:eastAsia="zh-CN"/>
        </w:rPr>
        <w:t>竞争性磋商</w:t>
      </w:r>
      <w:r>
        <w:rPr>
          <w:rFonts w:hint="eastAsia" w:ascii="方正仿宋_GBK" w:hAnsi="宋体" w:eastAsia="方正仿宋_GBK" w:cs="宋体"/>
          <w:color w:val="auto"/>
          <w:kern w:val="0"/>
          <w:sz w:val="32"/>
          <w:szCs w:val="32"/>
        </w:rPr>
        <w:t>资格。资格性审查资料表如下：</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255"/>
        <w:gridCol w:w="4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96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检查因素</w:t>
            </w:r>
          </w:p>
        </w:tc>
        <w:tc>
          <w:tcPr>
            <w:tcW w:w="48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1" w:hRule="atLeast"/>
        </w:trPr>
        <w:tc>
          <w:tcPr>
            <w:tcW w:w="817" w:type="dxa"/>
            <w:vMerge w:val="restart"/>
            <w:noWrap w:val="0"/>
            <w:vAlign w:val="center"/>
          </w:tcPr>
          <w:p>
            <w:pPr>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（一）</w:t>
            </w:r>
          </w:p>
        </w:tc>
        <w:tc>
          <w:tcPr>
            <w:tcW w:w="709" w:type="dxa"/>
            <w:vMerge w:val="restart"/>
            <w:noWrap w:val="0"/>
            <w:vAlign w:val="center"/>
          </w:tcPr>
          <w:p>
            <w:pPr>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val="zh-CN"/>
              </w:rPr>
              <w:t>《中华人民共和国政府采购法》第二十二条规定</w:t>
            </w:r>
          </w:p>
        </w:tc>
        <w:tc>
          <w:tcPr>
            <w:tcW w:w="3255" w:type="dxa"/>
            <w:noWrap w:val="0"/>
            <w:vAlign w:val="center"/>
          </w:tcPr>
          <w:p>
            <w:pP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1.具有独立承担民事责任的能力</w:t>
            </w:r>
          </w:p>
        </w:tc>
        <w:tc>
          <w:tcPr>
            <w:tcW w:w="4847" w:type="dxa"/>
            <w:noWrap w:val="0"/>
            <w:vAlign w:val="center"/>
          </w:tcPr>
          <w:p>
            <w:pP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 xml:space="preserve">1.供应商法人营业执照（副本）或事业单位法人证书（副本）或个体工商户营业执照或有效的自然人身份证明或社会团体法人登记证书（提供复印件）。 </w:t>
            </w:r>
          </w:p>
          <w:p>
            <w:pP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817" w:type="dxa"/>
            <w:vMerge w:val="continue"/>
            <w:noWrap w:val="0"/>
            <w:vAlign w:val="center"/>
          </w:tcPr>
          <w:p>
            <w:pPr>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pPr>
              <w:rPr>
                <w:rFonts w:hint="eastAsia" w:ascii="方正仿宋_GBK" w:hAnsi="方正仿宋_GBK" w:eastAsia="方正仿宋_GBK" w:cs="方正仿宋_GBK"/>
                <w:color w:val="auto"/>
                <w:sz w:val="21"/>
                <w:szCs w:val="21"/>
                <w:highlight w:val="none"/>
                <w:lang w:val="zh-CN"/>
              </w:rPr>
            </w:pPr>
          </w:p>
        </w:tc>
        <w:tc>
          <w:tcPr>
            <w:tcW w:w="3255" w:type="dxa"/>
            <w:noWrap w:val="0"/>
            <w:vAlign w:val="center"/>
          </w:tcPr>
          <w:p>
            <w:pP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zh-CN"/>
              </w:rPr>
              <w:t>2.</w:t>
            </w:r>
            <w:r>
              <w:rPr>
                <w:rFonts w:hint="eastAsia" w:ascii="方正仿宋_GBK" w:hAnsi="方正仿宋_GBK" w:eastAsia="方正仿宋_GBK" w:cs="方正仿宋_GBK"/>
                <w:color w:val="auto"/>
                <w:sz w:val="21"/>
                <w:szCs w:val="21"/>
                <w:highlight w:val="none"/>
              </w:rPr>
              <w:t>具有良好的商业信誉和健全的财务会计制度</w:t>
            </w:r>
          </w:p>
        </w:tc>
        <w:tc>
          <w:tcPr>
            <w:tcW w:w="4847" w:type="dxa"/>
            <w:vMerge w:val="restart"/>
            <w:noWrap w:val="0"/>
            <w:vAlign w:val="center"/>
          </w:tcPr>
          <w:p>
            <w:pP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color w:val="auto"/>
                <w:sz w:val="21"/>
                <w:szCs w:val="21"/>
                <w:highlight w:val="none"/>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817" w:type="dxa"/>
            <w:vMerge w:val="continue"/>
            <w:noWrap w:val="0"/>
            <w:vAlign w:val="center"/>
          </w:tcPr>
          <w:p>
            <w:pPr>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pPr>
              <w:rPr>
                <w:rFonts w:hint="eastAsia" w:ascii="方正仿宋_GBK" w:hAnsi="方正仿宋_GBK" w:eastAsia="方正仿宋_GBK" w:cs="方正仿宋_GBK"/>
                <w:color w:val="auto"/>
                <w:sz w:val="21"/>
                <w:szCs w:val="21"/>
                <w:highlight w:val="none"/>
                <w:lang w:val="zh-CN"/>
              </w:rPr>
            </w:pPr>
          </w:p>
        </w:tc>
        <w:tc>
          <w:tcPr>
            <w:tcW w:w="3255" w:type="dxa"/>
            <w:noWrap w:val="0"/>
            <w:vAlign w:val="center"/>
          </w:tcPr>
          <w:p>
            <w:pPr>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val="zh-CN"/>
              </w:rPr>
              <w:t>3.具有履行合同所必需的设备和专业技术能力</w:t>
            </w:r>
          </w:p>
        </w:tc>
        <w:tc>
          <w:tcPr>
            <w:tcW w:w="4847" w:type="dxa"/>
            <w:vMerge w:val="continue"/>
            <w:noWrap w:val="0"/>
            <w:vAlign w:val="center"/>
          </w:tcPr>
          <w:p>
            <w:pPr>
              <w:rPr>
                <w:rFonts w:hint="eastAsia" w:ascii="方正仿宋_GBK" w:hAnsi="方正仿宋_GBK" w:eastAsia="方正仿宋_GBK" w:cs="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817" w:type="dxa"/>
            <w:vMerge w:val="continue"/>
            <w:noWrap w:val="0"/>
            <w:vAlign w:val="center"/>
          </w:tcPr>
          <w:p>
            <w:pPr>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pPr>
              <w:rPr>
                <w:rFonts w:hint="eastAsia" w:ascii="方正仿宋_GBK" w:hAnsi="方正仿宋_GBK" w:eastAsia="方正仿宋_GBK" w:cs="方正仿宋_GBK"/>
                <w:color w:val="auto"/>
                <w:sz w:val="21"/>
                <w:szCs w:val="21"/>
                <w:highlight w:val="none"/>
                <w:lang w:val="zh-CN"/>
              </w:rPr>
            </w:pPr>
          </w:p>
        </w:tc>
        <w:tc>
          <w:tcPr>
            <w:tcW w:w="3255" w:type="dxa"/>
            <w:noWrap w:val="0"/>
            <w:vAlign w:val="center"/>
          </w:tcPr>
          <w:p>
            <w:pPr>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val="zh-CN"/>
              </w:rPr>
              <w:t>4.有依法缴纳税收和社会保障金的良好记录</w:t>
            </w:r>
          </w:p>
        </w:tc>
        <w:tc>
          <w:tcPr>
            <w:tcW w:w="4847" w:type="dxa"/>
            <w:vMerge w:val="continue"/>
            <w:noWrap w:val="0"/>
            <w:vAlign w:val="center"/>
          </w:tcPr>
          <w:p>
            <w:pPr>
              <w:rPr>
                <w:rFonts w:hint="eastAsia" w:ascii="方正仿宋_GBK" w:hAnsi="方正仿宋_GBK" w:eastAsia="方正仿宋_GBK" w:cs="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817" w:type="dxa"/>
            <w:vMerge w:val="continue"/>
            <w:noWrap w:val="0"/>
            <w:vAlign w:val="center"/>
          </w:tcPr>
          <w:p>
            <w:pPr>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pPr>
              <w:rPr>
                <w:rFonts w:hint="eastAsia" w:ascii="方正仿宋_GBK" w:hAnsi="方正仿宋_GBK" w:eastAsia="方正仿宋_GBK" w:cs="方正仿宋_GBK"/>
                <w:color w:val="auto"/>
                <w:sz w:val="21"/>
                <w:szCs w:val="21"/>
                <w:highlight w:val="none"/>
                <w:lang w:val="zh-CN"/>
              </w:rPr>
            </w:pPr>
          </w:p>
        </w:tc>
        <w:tc>
          <w:tcPr>
            <w:tcW w:w="3255" w:type="dxa"/>
            <w:noWrap w:val="0"/>
            <w:vAlign w:val="center"/>
          </w:tcPr>
          <w:p>
            <w:pPr>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rPr>
              <w:t>5.参加政府采购活动前三年内，在经营活动中没有重大违法记录</w:t>
            </w:r>
          </w:p>
        </w:tc>
        <w:tc>
          <w:tcPr>
            <w:tcW w:w="4847" w:type="dxa"/>
            <w:vMerge w:val="continue"/>
            <w:noWrap w:val="0"/>
            <w:vAlign w:val="center"/>
          </w:tcPr>
          <w:p>
            <w:pPr>
              <w:rPr>
                <w:rFonts w:hint="eastAsia" w:ascii="方正仿宋_GBK" w:hAnsi="方正仿宋_GBK" w:eastAsia="方正仿宋_GBK" w:cs="方正仿宋_GBK"/>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817" w:type="dxa"/>
            <w:vMerge w:val="continue"/>
            <w:noWrap w:val="0"/>
            <w:vAlign w:val="center"/>
          </w:tcPr>
          <w:p>
            <w:pPr>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pPr>
              <w:rPr>
                <w:rFonts w:hint="eastAsia" w:ascii="方正仿宋_GBK" w:hAnsi="方正仿宋_GBK" w:eastAsia="方正仿宋_GBK" w:cs="方正仿宋_GBK"/>
                <w:color w:val="auto"/>
                <w:sz w:val="21"/>
                <w:szCs w:val="21"/>
                <w:highlight w:val="none"/>
              </w:rPr>
            </w:pPr>
          </w:p>
        </w:tc>
        <w:tc>
          <w:tcPr>
            <w:tcW w:w="3255" w:type="dxa"/>
            <w:noWrap w:val="0"/>
            <w:vAlign w:val="center"/>
          </w:tcPr>
          <w:p>
            <w:pP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6.法律、行政法规规定的其他条件</w:t>
            </w:r>
          </w:p>
        </w:tc>
        <w:tc>
          <w:tcPr>
            <w:tcW w:w="4847" w:type="dxa"/>
            <w:noWrap w:val="0"/>
            <w:vAlign w:val="center"/>
          </w:tcPr>
          <w:p>
            <w:pPr>
              <w:rPr>
                <w:rFonts w:hint="eastAsia" w:ascii="方正仿宋_GBK" w:hAnsi="方正仿宋_GBK" w:eastAsia="方正仿宋_GBK" w:cs="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817" w:type="dxa"/>
            <w:vMerge w:val="continue"/>
            <w:noWrap w:val="0"/>
            <w:vAlign w:val="center"/>
          </w:tcPr>
          <w:p>
            <w:pPr>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pPr>
              <w:rPr>
                <w:rFonts w:hint="eastAsia" w:ascii="方正仿宋_GBK" w:hAnsi="方正仿宋_GBK" w:eastAsia="方正仿宋_GBK" w:cs="方正仿宋_GBK"/>
                <w:color w:val="auto"/>
                <w:sz w:val="21"/>
                <w:szCs w:val="21"/>
                <w:highlight w:val="none"/>
              </w:rPr>
            </w:pPr>
          </w:p>
        </w:tc>
        <w:tc>
          <w:tcPr>
            <w:tcW w:w="3255" w:type="dxa"/>
            <w:noWrap w:val="0"/>
            <w:vAlign w:val="center"/>
          </w:tcPr>
          <w:p>
            <w:pP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7.本项目的特定资格要求</w:t>
            </w:r>
          </w:p>
        </w:tc>
        <w:tc>
          <w:tcPr>
            <w:tcW w:w="4847" w:type="dxa"/>
            <w:noWrap w:val="0"/>
            <w:vAlign w:val="center"/>
          </w:tcPr>
          <w:p>
            <w:pP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按“第一篇三、供应商资格要求（二）本项目的特定资格要求”的要求提交（如果有）。</w:t>
            </w:r>
          </w:p>
        </w:tc>
      </w:tr>
    </w:tbl>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w:t>
      </w:r>
      <w:r>
        <w:rPr>
          <w:rFonts w:hint="eastAsia" w:ascii="仿宋_GB2312" w:hAnsi="仿宋_GB2312" w:eastAsia="仿宋_GB2312" w:cs="仿宋_GB2312"/>
          <w:color w:val="auto"/>
          <w:kern w:val="0"/>
          <w:sz w:val="32"/>
          <w:szCs w:val="32"/>
          <w:lang w:eastAsia="zh-CN"/>
        </w:rPr>
        <w:t>参</w:t>
      </w:r>
      <w:r>
        <w:rPr>
          <w:rFonts w:hint="eastAsia" w:ascii="仿宋_GB2312" w:hAnsi="仿宋_GB2312" w:eastAsia="仿宋_GB2312" w:cs="仿宋_GB2312"/>
          <w:color w:val="auto"/>
          <w:kern w:val="0"/>
          <w:sz w:val="32"/>
          <w:szCs w:val="32"/>
        </w:rPr>
        <w:t>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2.符合性审查。依据</w:t>
      </w:r>
      <w:r>
        <w:rPr>
          <w:rFonts w:hint="eastAsia" w:ascii="方正仿宋_GBK" w:hAnsi="宋体" w:eastAsia="方正仿宋_GBK" w:cs="宋体"/>
          <w:color w:val="auto"/>
          <w:kern w:val="0"/>
          <w:sz w:val="32"/>
          <w:szCs w:val="32"/>
          <w:lang w:val="en-US" w:eastAsia="zh-CN"/>
        </w:rPr>
        <w:t>竞争性磋商</w:t>
      </w:r>
      <w:r>
        <w:rPr>
          <w:rFonts w:hint="eastAsia" w:ascii="仿宋_GB2312" w:hAnsi="仿宋_GB2312" w:eastAsia="仿宋_GB2312" w:cs="仿宋_GB2312"/>
          <w:color w:val="auto"/>
          <w:kern w:val="0"/>
          <w:sz w:val="32"/>
          <w:szCs w:val="32"/>
        </w:rPr>
        <w:t>文件的规定，从响应文件的有效性、完整性和对</w:t>
      </w:r>
      <w:r>
        <w:rPr>
          <w:rFonts w:hint="eastAsia" w:ascii="仿宋_GB2312" w:hAnsi="仿宋_GB2312" w:eastAsia="仿宋_GB2312" w:cs="仿宋_GB2312"/>
          <w:color w:val="auto"/>
          <w:sz w:val="32"/>
          <w:szCs w:val="32"/>
          <w:lang w:val="en-US" w:eastAsia="zh-CN"/>
        </w:rPr>
        <w:t>竞争性磋商</w:t>
      </w:r>
      <w:r>
        <w:rPr>
          <w:rFonts w:hint="eastAsia" w:ascii="仿宋_GB2312" w:hAnsi="仿宋_GB2312" w:eastAsia="仿宋_GB2312" w:cs="仿宋_GB2312"/>
          <w:color w:val="auto"/>
          <w:kern w:val="0"/>
          <w:sz w:val="32"/>
          <w:szCs w:val="32"/>
        </w:rPr>
        <w:t>文件的响应程度进行审查，以确定是否对</w:t>
      </w:r>
      <w:r>
        <w:rPr>
          <w:rFonts w:hint="eastAsia" w:ascii="方正仿宋_GBK" w:hAnsi="宋体" w:eastAsia="方正仿宋_GBK" w:cs="宋体"/>
          <w:color w:val="auto"/>
          <w:kern w:val="0"/>
          <w:sz w:val="32"/>
          <w:szCs w:val="32"/>
          <w:lang w:val="en-US" w:eastAsia="zh-CN"/>
        </w:rPr>
        <w:t>竞争性磋商</w:t>
      </w:r>
      <w:r>
        <w:rPr>
          <w:rFonts w:hint="eastAsia" w:ascii="仿宋_GB2312" w:hAnsi="仿宋_GB2312" w:eastAsia="仿宋_GB2312" w:cs="仿宋_GB2312"/>
          <w:color w:val="auto"/>
          <w:kern w:val="0"/>
          <w:sz w:val="32"/>
          <w:szCs w:val="32"/>
        </w:rPr>
        <w:t>文件的实质性要求作出响应。符合性审查资料表如下：</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675" w:type="dxa"/>
            <w:noWrap w:val="0"/>
            <w:vAlign w:val="center"/>
          </w:tcPr>
          <w:p>
            <w:pPr>
              <w:spacing w:line="240" w:lineRule="exact"/>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序号</w:t>
            </w:r>
          </w:p>
        </w:tc>
        <w:tc>
          <w:tcPr>
            <w:tcW w:w="3544" w:type="dxa"/>
            <w:gridSpan w:val="2"/>
            <w:noWrap w:val="0"/>
            <w:vAlign w:val="center"/>
          </w:tcPr>
          <w:p>
            <w:pPr>
              <w:spacing w:line="240" w:lineRule="exact"/>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评审因素</w:t>
            </w:r>
          </w:p>
        </w:tc>
        <w:tc>
          <w:tcPr>
            <w:tcW w:w="5409" w:type="dxa"/>
            <w:noWrap w:val="0"/>
            <w:vAlign w:val="center"/>
          </w:tcPr>
          <w:p>
            <w:pPr>
              <w:spacing w:line="240" w:lineRule="exact"/>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675" w:type="dxa"/>
            <w:vMerge w:val="restart"/>
            <w:noWrap w:val="0"/>
            <w:vAlign w:val="center"/>
          </w:tcPr>
          <w:p>
            <w:pPr>
              <w:spacing w:line="240" w:lineRule="exact"/>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w:t>
            </w:r>
          </w:p>
        </w:tc>
        <w:tc>
          <w:tcPr>
            <w:tcW w:w="1560" w:type="dxa"/>
            <w:vMerge w:val="restart"/>
            <w:noWrap w:val="0"/>
            <w:vAlign w:val="center"/>
          </w:tcPr>
          <w:p>
            <w:pPr>
              <w:spacing w:line="24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有效性审查</w:t>
            </w:r>
          </w:p>
        </w:tc>
        <w:tc>
          <w:tcPr>
            <w:tcW w:w="1984" w:type="dxa"/>
            <w:noWrap w:val="0"/>
            <w:vAlign w:val="center"/>
          </w:tcPr>
          <w:p>
            <w:pPr>
              <w:spacing w:line="24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响应文件签署</w:t>
            </w:r>
          </w:p>
        </w:tc>
        <w:tc>
          <w:tcPr>
            <w:tcW w:w="5409" w:type="dxa"/>
            <w:noWrap w:val="0"/>
            <w:vAlign w:val="center"/>
          </w:tcPr>
          <w:p>
            <w:pPr>
              <w:spacing w:line="24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675" w:type="dxa"/>
            <w:vMerge w:val="continue"/>
            <w:noWrap w:val="0"/>
            <w:vAlign w:val="center"/>
          </w:tcPr>
          <w:p>
            <w:pPr>
              <w:spacing w:line="240" w:lineRule="exact"/>
              <w:jc w:val="center"/>
              <w:rPr>
                <w:rFonts w:hint="eastAsia" w:ascii="方正仿宋_GBK" w:hAnsi="方正仿宋_GBK" w:eastAsia="方正仿宋_GBK" w:cs="方正仿宋_GBK"/>
                <w:color w:val="auto"/>
                <w:sz w:val="21"/>
                <w:szCs w:val="21"/>
                <w:highlight w:val="none"/>
              </w:rPr>
            </w:pPr>
          </w:p>
        </w:tc>
        <w:tc>
          <w:tcPr>
            <w:tcW w:w="1560" w:type="dxa"/>
            <w:vMerge w:val="continue"/>
            <w:noWrap w:val="0"/>
            <w:vAlign w:val="center"/>
          </w:tcPr>
          <w:p>
            <w:pPr>
              <w:spacing w:line="240" w:lineRule="exact"/>
              <w:rPr>
                <w:rFonts w:hint="eastAsia" w:ascii="方正仿宋_GBK" w:hAnsi="方正仿宋_GBK" w:eastAsia="方正仿宋_GBK" w:cs="方正仿宋_GBK"/>
                <w:color w:val="auto"/>
                <w:sz w:val="21"/>
                <w:szCs w:val="21"/>
                <w:highlight w:val="none"/>
              </w:rPr>
            </w:pPr>
          </w:p>
        </w:tc>
        <w:tc>
          <w:tcPr>
            <w:tcW w:w="1984" w:type="dxa"/>
            <w:noWrap w:val="0"/>
            <w:vAlign w:val="center"/>
          </w:tcPr>
          <w:p>
            <w:pPr>
              <w:spacing w:line="24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法定代表人身份证明及授权委托书</w:t>
            </w:r>
          </w:p>
        </w:tc>
        <w:tc>
          <w:tcPr>
            <w:tcW w:w="5409" w:type="dxa"/>
            <w:noWrap w:val="0"/>
            <w:vAlign w:val="center"/>
          </w:tcPr>
          <w:p>
            <w:pPr>
              <w:spacing w:line="24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法定代表人身份证明及授权委托书有效，符合</w:t>
            </w:r>
            <w:r>
              <w:rPr>
                <w:rFonts w:hint="eastAsia" w:ascii="方正仿宋_GBK" w:hAnsi="方正仿宋_GBK" w:eastAsia="方正仿宋_GBK" w:cs="方正仿宋_GBK"/>
                <w:color w:val="auto"/>
                <w:sz w:val="21"/>
                <w:szCs w:val="21"/>
                <w:highlight w:val="none"/>
                <w:lang w:val="en-US" w:eastAsia="zh-CN"/>
              </w:rPr>
              <w:t>竞争性磋商</w:t>
            </w:r>
            <w:r>
              <w:rPr>
                <w:rFonts w:hint="eastAsia" w:ascii="方正仿宋_GBK" w:hAnsi="方正仿宋_GBK" w:eastAsia="方正仿宋_GBK" w:cs="方正仿宋_GBK"/>
                <w:color w:val="auto"/>
                <w:sz w:val="21"/>
                <w:szCs w:val="21"/>
                <w:highlight w:val="none"/>
              </w:rPr>
              <w:t>采购文件规定的格式，签字或盖章齐全。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75" w:type="dxa"/>
            <w:vMerge w:val="continue"/>
            <w:noWrap w:val="0"/>
            <w:vAlign w:val="center"/>
          </w:tcPr>
          <w:p>
            <w:pPr>
              <w:spacing w:line="240" w:lineRule="exact"/>
              <w:jc w:val="center"/>
              <w:rPr>
                <w:rFonts w:hint="eastAsia" w:ascii="方正仿宋_GBK" w:hAnsi="方正仿宋_GBK" w:eastAsia="方正仿宋_GBK" w:cs="方正仿宋_GBK"/>
                <w:color w:val="auto"/>
                <w:sz w:val="21"/>
                <w:szCs w:val="21"/>
                <w:highlight w:val="none"/>
              </w:rPr>
            </w:pPr>
          </w:p>
        </w:tc>
        <w:tc>
          <w:tcPr>
            <w:tcW w:w="1560" w:type="dxa"/>
            <w:vMerge w:val="continue"/>
            <w:noWrap w:val="0"/>
            <w:vAlign w:val="center"/>
          </w:tcPr>
          <w:p>
            <w:pPr>
              <w:spacing w:line="240" w:lineRule="exact"/>
              <w:rPr>
                <w:rFonts w:hint="eastAsia" w:ascii="方正仿宋_GBK" w:hAnsi="方正仿宋_GBK" w:eastAsia="方正仿宋_GBK" w:cs="方正仿宋_GBK"/>
                <w:color w:val="auto"/>
                <w:sz w:val="21"/>
                <w:szCs w:val="21"/>
                <w:highlight w:val="none"/>
              </w:rPr>
            </w:pPr>
          </w:p>
        </w:tc>
        <w:tc>
          <w:tcPr>
            <w:tcW w:w="1984" w:type="dxa"/>
            <w:noWrap w:val="0"/>
            <w:vAlign w:val="center"/>
          </w:tcPr>
          <w:p>
            <w:pPr>
              <w:spacing w:line="240" w:lineRule="exact"/>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rPr>
              <w:t>响应</w:t>
            </w:r>
            <w:r>
              <w:rPr>
                <w:rFonts w:hint="eastAsia" w:ascii="方正仿宋_GBK" w:hAnsi="方正仿宋_GBK" w:eastAsia="方正仿宋_GBK" w:cs="方正仿宋_GBK"/>
                <w:color w:val="auto"/>
                <w:sz w:val="21"/>
                <w:szCs w:val="21"/>
                <w:highlight w:val="none"/>
                <w:lang w:val="zh-CN"/>
              </w:rPr>
              <w:t>方案</w:t>
            </w:r>
          </w:p>
        </w:tc>
        <w:tc>
          <w:tcPr>
            <w:tcW w:w="5409" w:type="dxa"/>
            <w:noWrap w:val="0"/>
            <w:vAlign w:val="center"/>
          </w:tcPr>
          <w:p>
            <w:pPr>
              <w:spacing w:line="24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zh-CN"/>
              </w:rPr>
              <w:t>每个分包只能有一个</w:t>
            </w:r>
            <w:r>
              <w:rPr>
                <w:rFonts w:hint="eastAsia" w:ascii="方正仿宋_GBK" w:hAnsi="方正仿宋_GBK" w:eastAsia="方正仿宋_GBK" w:cs="方正仿宋_GBK"/>
                <w:color w:val="auto"/>
                <w:sz w:val="21"/>
                <w:szCs w:val="21"/>
                <w:highlight w:val="none"/>
              </w:rPr>
              <w:t>响应</w:t>
            </w:r>
            <w:r>
              <w:rPr>
                <w:rFonts w:hint="eastAsia" w:ascii="方正仿宋_GBK" w:hAnsi="方正仿宋_GBK" w:eastAsia="方正仿宋_GBK" w:cs="方正仿宋_GBK"/>
                <w:color w:val="auto"/>
                <w:sz w:val="21"/>
                <w:szCs w:val="21"/>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675" w:type="dxa"/>
            <w:vMerge w:val="continue"/>
            <w:noWrap w:val="0"/>
            <w:vAlign w:val="center"/>
          </w:tcPr>
          <w:p>
            <w:pPr>
              <w:spacing w:line="240" w:lineRule="exact"/>
              <w:jc w:val="center"/>
              <w:rPr>
                <w:rFonts w:hint="eastAsia" w:ascii="方正仿宋_GBK" w:hAnsi="方正仿宋_GBK" w:eastAsia="方正仿宋_GBK" w:cs="方正仿宋_GBK"/>
                <w:color w:val="auto"/>
                <w:sz w:val="21"/>
                <w:szCs w:val="21"/>
                <w:highlight w:val="none"/>
              </w:rPr>
            </w:pPr>
          </w:p>
        </w:tc>
        <w:tc>
          <w:tcPr>
            <w:tcW w:w="1560" w:type="dxa"/>
            <w:vMerge w:val="continue"/>
            <w:noWrap w:val="0"/>
            <w:vAlign w:val="center"/>
          </w:tcPr>
          <w:p>
            <w:pPr>
              <w:spacing w:line="240" w:lineRule="exact"/>
              <w:rPr>
                <w:rFonts w:hint="eastAsia" w:ascii="方正仿宋_GBK" w:hAnsi="方正仿宋_GBK" w:eastAsia="方正仿宋_GBK" w:cs="方正仿宋_GBK"/>
                <w:color w:val="auto"/>
                <w:sz w:val="21"/>
                <w:szCs w:val="21"/>
                <w:highlight w:val="none"/>
              </w:rPr>
            </w:pPr>
          </w:p>
        </w:tc>
        <w:tc>
          <w:tcPr>
            <w:tcW w:w="1984" w:type="dxa"/>
            <w:noWrap w:val="0"/>
            <w:vAlign w:val="center"/>
          </w:tcPr>
          <w:p>
            <w:pPr>
              <w:spacing w:line="240" w:lineRule="exact"/>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rPr>
              <w:t>报价唯一</w:t>
            </w:r>
          </w:p>
        </w:tc>
        <w:tc>
          <w:tcPr>
            <w:tcW w:w="5409" w:type="dxa"/>
            <w:noWrap w:val="0"/>
            <w:vAlign w:val="center"/>
          </w:tcPr>
          <w:p>
            <w:pPr>
              <w:spacing w:line="24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zh-CN"/>
              </w:rPr>
              <w:t>只能在采购预算范围内报价，</w:t>
            </w:r>
            <w:r>
              <w:rPr>
                <w:rFonts w:hint="eastAsia" w:ascii="方正仿宋_GBK" w:hAnsi="方正仿宋_GBK" w:eastAsia="方正仿宋_GBK" w:cs="方正仿宋_GBK"/>
                <w:color w:val="auto"/>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675" w:type="dxa"/>
            <w:noWrap w:val="0"/>
            <w:vAlign w:val="center"/>
          </w:tcPr>
          <w:p>
            <w:pPr>
              <w:spacing w:line="240" w:lineRule="exact"/>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w:t>
            </w:r>
          </w:p>
        </w:tc>
        <w:tc>
          <w:tcPr>
            <w:tcW w:w="1560" w:type="dxa"/>
            <w:noWrap w:val="0"/>
            <w:vAlign w:val="center"/>
          </w:tcPr>
          <w:p>
            <w:pPr>
              <w:spacing w:line="24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完整性审查</w:t>
            </w:r>
          </w:p>
        </w:tc>
        <w:tc>
          <w:tcPr>
            <w:tcW w:w="1984" w:type="dxa"/>
            <w:noWrap w:val="0"/>
            <w:vAlign w:val="center"/>
          </w:tcPr>
          <w:p>
            <w:pPr>
              <w:spacing w:line="24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响应</w:t>
            </w:r>
            <w:r>
              <w:rPr>
                <w:rFonts w:hint="eastAsia" w:ascii="方正仿宋_GBK" w:hAnsi="方正仿宋_GBK" w:eastAsia="方正仿宋_GBK" w:cs="方正仿宋_GBK"/>
                <w:color w:val="auto"/>
                <w:sz w:val="21"/>
                <w:szCs w:val="21"/>
                <w:highlight w:val="none"/>
                <w:lang w:val="zh-CN"/>
              </w:rPr>
              <w:t>文件份数</w:t>
            </w:r>
          </w:p>
        </w:tc>
        <w:tc>
          <w:tcPr>
            <w:tcW w:w="5409" w:type="dxa"/>
            <w:noWrap w:val="0"/>
            <w:vAlign w:val="center"/>
          </w:tcPr>
          <w:p>
            <w:pPr>
              <w:spacing w:line="24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响应</w:t>
            </w:r>
            <w:r>
              <w:rPr>
                <w:rFonts w:hint="eastAsia" w:ascii="方正仿宋_GBK" w:hAnsi="方正仿宋_GBK" w:eastAsia="方正仿宋_GBK" w:cs="方正仿宋_GBK"/>
                <w:color w:val="auto"/>
                <w:sz w:val="21"/>
                <w:szCs w:val="21"/>
                <w:highlight w:val="none"/>
                <w:lang w:val="zh-CN"/>
              </w:rPr>
              <w:t>文件正、副本数量（含电子文档）符合</w:t>
            </w:r>
            <w:r>
              <w:rPr>
                <w:rFonts w:hint="eastAsia" w:ascii="方正仿宋_GBK" w:hAnsi="方正仿宋_GBK" w:eastAsia="方正仿宋_GBK" w:cs="方正仿宋_GBK"/>
                <w:color w:val="auto"/>
                <w:sz w:val="21"/>
                <w:szCs w:val="21"/>
                <w:highlight w:val="none"/>
                <w:lang w:val="en-US" w:eastAsia="zh-CN"/>
              </w:rPr>
              <w:t>竞争性磋商</w:t>
            </w:r>
            <w:r>
              <w:rPr>
                <w:rFonts w:hint="eastAsia" w:ascii="方正仿宋_GBK" w:hAnsi="方正仿宋_GBK" w:eastAsia="方正仿宋_GBK" w:cs="方正仿宋_GBK"/>
                <w:color w:val="auto"/>
                <w:sz w:val="21"/>
                <w:szCs w:val="21"/>
                <w:highlight w:val="none"/>
                <w:lang w:val="zh-CN"/>
              </w:rPr>
              <w:t>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675" w:type="dxa"/>
            <w:vMerge w:val="restart"/>
            <w:noWrap w:val="0"/>
            <w:vAlign w:val="center"/>
          </w:tcPr>
          <w:p>
            <w:pPr>
              <w:spacing w:line="240" w:lineRule="exact"/>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3</w:t>
            </w:r>
          </w:p>
        </w:tc>
        <w:tc>
          <w:tcPr>
            <w:tcW w:w="1560" w:type="dxa"/>
            <w:vMerge w:val="restart"/>
            <w:noWrap w:val="0"/>
            <w:vAlign w:val="center"/>
          </w:tcPr>
          <w:p>
            <w:pPr>
              <w:spacing w:line="240" w:lineRule="exact"/>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val="en-US" w:eastAsia="zh-CN"/>
              </w:rPr>
              <w:t>竞争性磋商</w:t>
            </w:r>
            <w:r>
              <w:rPr>
                <w:rFonts w:hint="eastAsia" w:ascii="方正仿宋_GBK" w:hAnsi="方正仿宋_GBK" w:eastAsia="方正仿宋_GBK" w:cs="方正仿宋_GBK"/>
                <w:color w:val="auto"/>
                <w:sz w:val="21"/>
                <w:szCs w:val="21"/>
                <w:highlight w:val="none"/>
              </w:rPr>
              <w:t>文件的响应程度审查</w:t>
            </w:r>
          </w:p>
        </w:tc>
        <w:tc>
          <w:tcPr>
            <w:tcW w:w="1984" w:type="dxa"/>
            <w:noWrap w:val="0"/>
            <w:vAlign w:val="center"/>
          </w:tcPr>
          <w:p>
            <w:pPr>
              <w:spacing w:line="24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响应文件内容</w:t>
            </w:r>
          </w:p>
        </w:tc>
        <w:tc>
          <w:tcPr>
            <w:tcW w:w="5409" w:type="dxa"/>
            <w:noWrap w:val="0"/>
            <w:vAlign w:val="center"/>
          </w:tcPr>
          <w:p>
            <w:pPr>
              <w:pStyle w:val="8"/>
              <w:spacing w:line="240" w:lineRule="exact"/>
              <w:rPr>
                <w:rFonts w:hint="eastAsia" w:ascii="方正仿宋_GBK" w:hAnsi="方正仿宋_GBK" w:eastAsia="方正仿宋_GBK" w:cs="方正仿宋_GBK"/>
                <w:snapToGrid w:val="0"/>
                <w:color w:val="auto"/>
                <w:kern w:val="0"/>
                <w:sz w:val="21"/>
                <w:szCs w:val="21"/>
                <w:highlight w:val="none"/>
              </w:rPr>
            </w:pPr>
            <w:r>
              <w:rPr>
                <w:rFonts w:hint="eastAsia" w:ascii="方正仿宋_GBK" w:hAnsi="方正仿宋_GBK" w:eastAsia="方正仿宋_GBK" w:cs="方正仿宋_GBK"/>
                <w:snapToGrid w:val="0"/>
                <w:color w:val="auto"/>
                <w:kern w:val="0"/>
                <w:sz w:val="21"/>
                <w:szCs w:val="21"/>
                <w:highlight w:val="none"/>
              </w:rPr>
              <w:t>对</w:t>
            </w:r>
            <w:r>
              <w:rPr>
                <w:rFonts w:hint="eastAsia" w:ascii="方正仿宋_GBK" w:hAnsi="方正仿宋_GBK" w:eastAsia="方正仿宋_GBK" w:cs="方正仿宋_GBK"/>
                <w:snapToGrid w:val="0"/>
                <w:color w:val="auto"/>
                <w:kern w:val="0"/>
                <w:sz w:val="21"/>
                <w:szCs w:val="21"/>
                <w:highlight w:val="none"/>
                <w:lang w:val="en-US" w:eastAsia="zh-CN"/>
              </w:rPr>
              <w:t>竞争性磋商</w:t>
            </w:r>
            <w:r>
              <w:rPr>
                <w:rFonts w:hint="eastAsia" w:ascii="方正仿宋_GBK" w:hAnsi="方正仿宋_GBK" w:eastAsia="方正仿宋_GBK" w:cs="方正仿宋_GBK"/>
                <w:snapToGrid w:val="0"/>
                <w:color w:val="auto"/>
                <w:kern w:val="0"/>
                <w:sz w:val="21"/>
                <w:szCs w:val="21"/>
                <w:highlight w:val="none"/>
              </w:rPr>
              <w:t>文件第二、三篇规定的</w:t>
            </w:r>
            <w:r>
              <w:rPr>
                <w:rFonts w:hint="eastAsia" w:ascii="方正仿宋_GBK" w:hAnsi="方正仿宋_GBK" w:eastAsia="方正仿宋_GBK" w:cs="方正仿宋_GBK"/>
                <w:snapToGrid w:val="0"/>
                <w:color w:val="auto"/>
                <w:kern w:val="0"/>
                <w:sz w:val="21"/>
                <w:szCs w:val="21"/>
                <w:highlight w:val="none"/>
                <w:lang w:val="en-US" w:eastAsia="zh-CN"/>
              </w:rPr>
              <w:t>竞争性磋商</w:t>
            </w:r>
            <w:r>
              <w:rPr>
                <w:rFonts w:hint="eastAsia" w:ascii="方正仿宋_GBK" w:hAnsi="方正仿宋_GBK" w:eastAsia="方正仿宋_GBK" w:cs="方正仿宋_GBK"/>
                <w:snapToGrid w:val="0"/>
                <w:color w:val="auto"/>
                <w:kern w:val="0"/>
                <w:sz w:val="21"/>
                <w:szCs w:val="21"/>
                <w:highlight w:val="none"/>
              </w:rPr>
              <w:t>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75" w:type="dxa"/>
            <w:vMerge w:val="continue"/>
            <w:noWrap w:val="0"/>
            <w:vAlign w:val="center"/>
          </w:tcPr>
          <w:p>
            <w:pPr>
              <w:spacing w:line="240" w:lineRule="exact"/>
              <w:jc w:val="center"/>
              <w:rPr>
                <w:rFonts w:hint="eastAsia" w:ascii="方正仿宋_GBK" w:hAnsi="方正仿宋_GBK" w:eastAsia="方正仿宋_GBK" w:cs="方正仿宋_GBK"/>
                <w:color w:val="auto"/>
                <w:sz w:val="21"/>
                <w:szCs w:val="21"/>
                <w:highlight w:val="none"/>
              </w:rPr>
            </w:pPr>
          </w:p>
        </w:tc>
        <w:tc>
          <w:tcPr>
            <w:tcW w:w="1560" w:type="dxa"/>
            <w:vMerge w:val="continue"/>
            <w:noWrap w:val="0"/>
            <w:vAlign w:val="center"/>
          </w:tcPr>
          <w:p>
            <w:pPr>
              <w:spacing w:line="240" w:lineRule="exact"/>
              <w:rPr>
                <w:rFonts w:hint="eastAsia" w:ascii="方正仿宋_GBK" w:hAnsi="方正仿宋_GBK" w:eastAsia="方正仿宋_GBK" w:cs="方正仿宋_GBK"/>
                <w:color w:val="auto"/>
                <w:sz w:val="21"/>
                <w:szCs w:val="21"/>
                <w:highlight w:val="none"/>
                <w:lang w:val="zh-CN"/>
              </w:rPr>
            </w:pPr>
          </w:p>
        </w:tc>
        <w:tc>
          <w:tcPr>
            <w:tcW w:w="1984" w:type="dxa"/>
            <w:noWrap w:val="0"/>
            <w:vAlign w:val="center"/>
          </w:tcPr>
          <w:p>
            <w:pPr>
              <w:spacing w:line="24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竞争性磋商</w:t>
            </w:r>
            <w:r>
              <w:rPr>
                <w:rFonts w:hint="eastAsia" w:ascii="方正仿宋_GBK" w:hAnsi="方正仿宋_GBK" w:eastAsia="方正仿宋_GBK" w:cs="方正仿宋_GBK"/>
                <w:color w:val="auto"/>
                <w:sz w:val="21"/>
                <w:szCs w:val="21"/>
                <w:highlight w:val="none"/>
              </w:rPr>
              <w:t>采购有效期</w:t>
            </w:r>
          </w:p>
        </w:tc>
        <w:tc>
          <w:tcPr>
            <w:tcW w:w="5409" w:type="dxa"/>
            <w:noWrap w:val="0"/>
            <w:vAlign w:val="center"/>
          </w:tcPr>
          <w:p>
            <w:pPr>
              <w:spacing w:line="24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满足</w:t>
            </w:r>
            <w:r>
              <w:rPr>
                <w:rFonts w:hint="eastAsia" w:ascii="方正仿宋_GBK" w:hAnsi="方正仿宋_GBK" w:eastAsia="方正仿宋_GBK" w:cs="方正仿宋_GBK"/>
                <w:color w:val="auto"/>
                <w:sz w:val="21"/>
                <w:szCs w:val="21"/>
                <w:highlight w:val="none"/>
                <w:lang w:val="en-US" w:eastAsia="zh-CN"/>
              </w:rPr>
              <w:t>竞争性磋商</w:t>
            </w:r>
            <w:r>
              <w:rPr>
                <w:rFonts w:hint="eastAsia" w:ascii="方正仿宋_GBK" w:hAnsi="方正仿宋_GBK" w:eastAsia="方正仿宋_GBK" w:cs="方正仿宋_GBK"/>
                <w:color w:val="auto"/>
                <w:sz w:val="21"/>
                <w:szCs w:val="21"/>
                <w:highlight w:val="none"/>
              </w:rPr>
              <w:t>文件</w:t>
            </w:r>
            <w:r>
              <w:rPr>
                <w:rFonts w:hint="eastAsia" w:ascii="方正仿宋_GBK" w:hAnsi="方正仿宋_GBK" w:eastAsia="方正仿宋_GBK" w:cs="方正仿宋_GBK"/>
                <w:color w:val="auto"/>
                <w:sz w:val="21"/>
                <w:szCs w:val="21"/>
                <w:highlight w:val="none"/>
                <w:lang w:val="zh-CN"/>
              </w:rPr>
              <w:t>规定。</w:t>
            </w:r>
          </w:p>
        </w:tc>
      </w:tr>
    </w:tbl>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（三）澄清有关问题。</w:t>
      </w:r>
      <w:r>
        <w:rPr>
          <w:rFonts w:hint="eastAsia" w:ascii="仿宋_GB2312" w:hAnsi="仿宋_GB2312" w:eastAsia="仿宋_GB2312" w:cs="仿宋_GB2312"/>
          <w:color w:val="auto"/>
          <w:sz w:val="32"/>
          <w:szCs w:val="32"/>
          <w:lang w:val="en-US" w:eastAsia="zh-CN"/>
        </w:rPr>
        <w:t>采购</w:t>
      </w:r>
      <w:r>
        <w:rPr>
          <w:rFonts w:hint="eastAsia" w:ascii="仿宋_GB2312" w:hAnsi="仿宋_GB2312" w:eastAsia="仿宋_GB2312" w:cs="仿宋_GB2312"/>
          <w:color w:val="auto"/>
          <w:sz w:val="32"/>
          <w:szCs w:val="32"/>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val="en-US" w:eastAsia="zh-CN"/>
        </w:rPr>
        <w:t>采购</w:t>
      </w:r>
      <w:r>
        <w:rPr>
          <w:rFonts w:hint="eastAsia" w:ascii="仿宋_GB2312" w:hAnsi="仿宋_GB2312" w:eastAsia="仿宋_GB2312" w:cs="仿宋_GB2312"/>
          <w:color w:val="auto"/>
          <w:sz w:val="32"/>
          <w:szCs w:val="32"/>
        </w:rPr>
        <w:t>小组要求供应商澄清、说明或者更正响应文件应当以书面形式作出。供应商的澄清、说明或者更正应当由法定代表人（或其授权代表）或自然人（供应商为自然人）签署或者加盖公章。由授权代表签署的，应当附法定代表人授权书。</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（五）在</w:t>
      </w:r>
      <w:r>
        <w:rPr>
          <w:rFonts w:hint="eastAsia" w:ascii="仿宋_GB2312" w:hAnsi="仿宋_GB2312" w:eastAsia="仿宋_GB2312" w:cs="仿宋_GB2312"/>
          <w:color w:val="auto"/>
          <w:sz w:val="32"/>
          <w:szCs w:val="32"/>
          <w:lang w:val="en-US" w:eastAsia="zh-CN"/>
        </w:rPr>
        <w:t>竞争性磋商</w:t>
      </w:r>
      <w:r>
        <w:rPr>
          <w:rFonts w:hint="eastAsia" w:ascii="仿宋_GB2312" w:hAnsi="仿宋_GB2312" w:eastAsia="仿宋_GB2312" w:cs="仿宋_GB2312"/>
          <w:color w:val="auto"/>
          <w:sz w:val="32"/>
          <w:szCs w:val="32"/>
        </w:rPr>
        <w:t>过程中任何一方不得向他人透露与</w:t>
      </w:r>
      <w:r>
        <w:rPr>
          <w:rFonts w:hint="eastAsia" w:ascii="仿宋_GB2312" w:hAnsi="仿宋_GB2312" w:eastAsia="仿宋_GB2312" w:cs="仿宋_GB2312"/>
          <w:color w:val="auto"/>
          <w:sz w:val="32"/>
          <w:szCs w:val="32"/>
          <w:lang w:val="en-US" w:eastAsia="zh-CN"/>
        </w:rPr>
        <w:t>采购</w:t>
      </w:r>
      <w:r>
        <w:rPr>
          <w:rFonts w:hint="eastAsia" w:ascii="仿宋_GB2312" w:hAnsi="仿宋_GB2312" w:eastAsia="仿宋_GB2312" w:cs="仿宋_GB2312"/>
          <w:color w:val="auto"/>
          <w:sz w:val="32"/>
          <w:szCs w:val="32"/>
        </w:rPr>
        <w:t>有关的服务资料、价格或其他信息。</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采购</w:t>
      </w:r>
      <w:r>
        <w:rPr>
          <w:rFonts w:hint="eastAsia" w:ascii="仿宋_GB2312" w:hAnsi="仿宋_GB2312" w:eastAsia="仿宋_GB2312" w:cs="仿宋_GB2312"/>
          <w:color w:val="auto"/>
          <w:sz w:val="32"/>
          <w:szCs w:val="32"/>
        </w:rPr>
        <w:t>小组采用综合评分法对提交报价的供应商的响应文件和报价进行综合评分。综合评分法，是指响应文件满足</w:t>
      </w:r>
      <w:r>
        <w:rPr>
          <w:rFonts w:hint="eastAsia" w:ascii="仿宋_GB2312" w:hAnsi="仿宋_GB2312" w:eastAsia="仿宋_GB2312" w:cs="仿宋_GB2312"/>
          <w:color w:val="auto"/>
          <w:sz w:val="32"/>
          <w:szCs w:val="32"/>
          <w:lang w:val="en-US" w:eastAsia="zh-CN"/>
        </w:rPr>
        <w:t>竞争性磋商</w:t>
      </w:r>
      <w:r>
        <w:rPr>
          <w:rFonts w:hint="eastAsia" w:ascii="仿宋_GB2312" w:hAnsi="仿宋_GB2312" w:eastAsia="仿宋_GB2312" w:cs="仿宋_GB2312"/>
          <w:color w:val="auto"/>
          <w:sz w:val="32"/>
          <w:szCs w:val="32"/>
        </w:rPr>
        <w:t>文件全部实质性要求且按照评审因素的量化指标评审得分最高的供应商为成交候选供应商的评审方法。供应商总得分为</w:t>
      </w:r>
      <w:r>
        <w:rPr>
          <w:rFonts w:hint="eastAsia" w:ascii="仿宋_GB2312" w:hAnsi="仿宋_GB2312" w:eastAsia="仿宋_GB2312" w:cs="仿宋_GB2312"/>
          <w:color w:val="auto"/>
          <w:sz w:val="32"/>
          <w:szCs w:val="32"/>
          <w:lang w:val="en-US" w:eastAsia="zh-CN"/>
        </w:rPr>
        <w:t>报价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商务</w:t>
      </w:r>
      <w:r>
        <w:rPr>
          <w:rFonts w:hint="eastAsia" w:ascii="仿宋_GB2312" w:hAnsi="仿宋_GB2312" w:eastAsia="仿宋_GB2312" w:cs="仿宋_GB2312"/>
          <w:color w:val="auto"/>
          <w:sz w:val="32"/>
          <w:szCs w:val="32"/>
        </w:rPr>
        <w:t>等评定因素分别按照相应权重值计算分项得分后相加，满分为100分。（详见评审标准）。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val="en-US" w:eastAsia="zh-CN"/>
        </w:rPr>
        <w:t>采购</w:t>
      </w:r>
      <w:r>
        <w:rPr>
          <w:rFonts w:hint="eastAsia" w:ascii="仿宋_GB2312" w:hAnsi="仿宋_GB2312" w:eastAsia="仿宋_GB2312" w:cs="仿宋_GB2312"/>
          <w:color w:val="auto"/>
          <w:sz w:val="32"/>
          <w:szCs w:val="32"/>
        </w:rPr>
        <w:t>小组各成员独立对每个实质性响应文件进行评价、打分，然后汇总每个供应商每项评分因素的得分，并根据综合评分情况按照评审得分由高到低顺序推荐成交候选供应商，并编写评审报告。若供应商的评审得分相同的，按照最后报价由低到高的顺序排列推荐。评审得分且最后报价相同的，按照服务指标优劣顺序排列推荐。</w:t>
      </w:r>
    </w:p>
    <w:p>
      <w:pPr>
        <w:pStyle w:val="5"/>
        <w:spacing w:before="0" w:after="0" w:line="440" w:lineRule="exact"/>
        <w:outlineLvl w:val="1"/>
        <w:rPr>
          <w:rFonts w:hint="eastAsia" w:ascii="方正黑体_GBK" w:hAnsi="方正黑体_GBK" w:eastAsia="方正黑体_GBK" w:cs="方正黑体_GBK"/>
          <w:b/>
          <w:bCs/>
          <w:snapToGrid w:val="0"/>
          <w:color w:val="auto"/>
          <w:kern w:val="0"/>
          <w:sz w:val="32"/>
          <w:szCs w:val="32"/>
          <w:highlight w:val="none"/>
        </w:rPr>
      </w:pPr>
      <w:bookmarkStart w:id="123" w:name="_Toc19540"/>
      <w:r>
        <w:rPr>
          <w:rFonts w:hint="eastAsia" w:ascii="方正黑体_GBK" w:hAnsi="方正黑体_GBK" w:eastAsia="方正黑体_GBK" w:cs="方正黑体_GBK"/>
          <w:b/>
          <w:bCs/>
          <w:snapToGrid w:val="0"/>
          <w:color w:val="auto"/>
          <w:kern w:val="0"/>
          <w:sz w:val="32"/>
          <w:szCs w:val="32"/>
          <w:highlight w:val="none"/>
        </w:rPr>
        <w:t>二、评审标准</w:t>
      </w:r>
      <w:bookmarkEnd w:id="123"/>
    </w:p>
    <w:tbl>
      <w:tblPr>
        <w:tblStyle w:val="14"/>
        <w:tblW w:w="9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279"/>
        <w:gridCol w:w="1234"/>
        <w:gridCol w:w="4936"/>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vAlign w:val="center"/>
          </w:tcPr>
          <w:p>
            <w:pPr>
              <w:ind w:firstLine="28"/>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序号</w:t>
            </w:r>
          </w:p>
        </w:tc>
        <w:tc>
          <w:tcPr>
            <w:tcW w:w="1279" w:type="dxa"/>
            <w:vAlign w:val="center"/>
          </w:tcPr>
          <w:p>
            <w:pPr>
              <w:ind w:firstLine="28"/>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评分因素及权值</w:t>
            </w:r>
          </w:p>
        </w:tc>
        <w:tc>
          <w:tcPr>
            <w:tcW w:w="1234" w:type="dxa"/>
            <w:vAlign w:val="center"/>
          </w:tcPr>
          <w:p>
            <w:pPr>
              <w:ind w:firstLine="28"/>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分值</w:t>
            </w:r>
          </w:p>
        </w:tc>
        <w:tc>
          <w:tcPr>
            <w:tcW w:w="4936" w:type="dxa"/>
            <w:vAlign w:val="center"/>
          </w:tcPr>
          <w:p>
            <w:pPr>
              <w:ind w:firstLine="28"/>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评分标准</w:t>
            </w:r>
          </w:p>
        </w:tc>
        <w:tc>
          <w:tcPr>
            <w:tcW w:w="1663" w:type="dxa"/>
            <w:vAlign w:val="center"/>
          </w:tcPr>
          <w:p>
            <w:pPr>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0" w:hRule="atLeast"/>
          <w:jc w:val="center"/>
        </w:trPr>
        <w:tc>
          <w:tcPr>
            <w:tcW w:w="823" w:type="dxa"/>
            <w:vAlign w:val="center"/>
          </w:tcPr>
          <w:p>
            <w:pPr>
              <w:spacing w:line="280" w:lineRule="exact"/>
              <w:ind w:firstLine="28"/>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279" w:type="dxa"/>
            <w:vAlign w:val="center"/>
          </w:tcPr>
          <w:p>
            <w:pPr>
              <w:spacing w:line="280" w:lineRule="exact"/>
              <w:ind w:firstLine="28"/>
              <w:jc w:val="center"/>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竞争性磋商</w:t>
            </w:r>
            <w:r>
              <w:rPr>
                <w:rFonts w:hint="eastAsia" w:ascii="仿宋" w:hAnsi="仿宋" w:eastAsia="仿宋" w:cs="仿宋"/>
                <w:color w:val="FF0000"/>
                <w:sz w:val="24"/>
                <w:szCs w:val="24"/>
              </w:rPr>
              <w:t>报价</w:t>
            </w:r>
          </w:p>
          <w:p>
            <w:pPr>
              <w:spacing w:line="280" w:lineRule="exact"/>
              <w:ind w:firstLine="28"/>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FF0000"/>
                <w:sz w:val="24"/>
                <w:szCs w:val="24"/>
              </w:rPr>
              <w:t>（</w:t>
            </w:r>
            <w:r>
              <w:rPr>
                <w:rFonts w:hint="eastAsia" w:ascii="仿宋" w:hAnsi="仿宋" w:eastAsia="仿宋" w:cs="仿宋"/>
                <w:color w:val="FF0000"/>
                <w:sz w:val="24"/>
                <w:szCs w:val="24"/>
                <w:lang w:val="en-US" w:eastAsia="zh-CN"/>
              </w:rPr>
              <w:t>30</w:t>
            </w:r>
            <w:r>
              <w:rPr>
                <w:rFonts w:hint="eastAsia" w:ascii="仿宋" w:hAnsi="仿宋" w:eastAsia="仿宋" w:cs="仿宋"/>
                <w:color w:val="FF0000"/>
                <w:sz w:val="24"/>
                <w:szCs w:val="24"/>
              </w:rPr>
              <w:t>%</w:t>
            </w:r>
            <w:r>
              <w:rPr>
                <w:rFonts w:hint="eastAsia" w:ascii="仿宋" w:hAnsi="仿宋" w:eastAsia="仿宋" w:cs="仿宋"/>
                <w:color w:val="000000" w:themeColor="text1"/>
                <w:sz w:val="24"/>
                <w:szCs w:val="24"/>
                <w14:textFill>
                  <w14:solidFill>
                    <w14:schemeClr w14:val="tx1"/>
                  </w14:solidFill>
                </w14:textFill>
              </w:rPr>
              <w:t>）</w:t>
            </w:r>
          </w:p>
        </w:tc>
        <w:tc>
          <w:tcPr>
            <w:tcW w:w="1234" w:type="dxa"/>
            <w:vAlign w:val="center"/>
          </w:tcPr>
          <w:p>
            <w:pPr>
              <w:spacing w:line="280" w:lineRule="exact"/>
              <w:ind w:firstLine="28"/>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FF0000"/>
                <w:sz w:val="24"/>
                <w:szCs w:val="24"/>
                <w:lang w:val="en-US" w:eastAsia="zh-CN"/>
              </w:rPr>
              <w:t>30</w:t>
            </w:r>
            <w:r>
              <w:rPr>
                <w:rFonts w:hint="eastAsia" w:ascii="仿宋" w:hAnsi="仿宋" w:eastAsia="仿宋" w:cs="仿宋"/>
                <w:color w:val="FF0000"/>
                <w:sz w:val="24"/>
                <w:szCs w:val="24"/>
              </w:rPr>
              <w:t>分</w:t>
            </w:r>
          </w:p>
        </w:tc>
        <w:tc>
          <w:tcPr>
            <w:tcW w:w="493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480" w:firstLineChars="200"/>
              <w:textAlignment w:val="auto"/>
              <w:rPr>
                <w:rFonts w:hint="default"/>
                <w:color w:val="000000" w:themeColor="text1"/>
                <w:lang w:val="en-US"/>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满足竞争性磋商采购文件资格要求，初步评审合格且投标报价不超过采购最高限价的有效报价中，最低报价为评审基准价。投标报价得分=（评标基准价/投标报价）*价格分值比重。</w:t>
            </w:r>
          </w:p>
        </w:tc>
        <w:tc>
          <w:tcPr>
            <w:tcW w:w="1663" w:type="dxa"/>
            <w:vAlign w:val="center"/>
          </w:tcPr>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高于最高限价为无效报价。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6" w:hRule="atLeast"/>
          <w:jc w:val="center"/>
        </w:trPr>
        <w:tc>
          <w:tcPr>
            <w:tcW w:w="823" w:type="dxa"/>
            <w:vAlign w:val="center"/>
          </w:tcPr>
          <w:p>
            <w:pPr>
              <w:ind w:firstLine="28"/>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279" w:type="dxa"/>
            <w:vAlign w:val="center"/>
          </w:tcPr>
          <w:p>
            <w:pPr>
              <w:ind w:firstLine="28"/>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FF0000"/>
                <w:sz w:val="24"/>
                <w:szCs w:val="24"/>
              </w:rPr>
              <w:t>技术部分（</w:t>
            </w:r>
            <w:r>
              <w:rPr>
                <w:rFonts w:hint="eastAsia" w:ascii="仿宋" w:hAnsi="仿宋" w:eastAsia="仿宋" w:cs="仿宋"/>
                <w:color w:val="FF0000"/>
                <w:sz w:val="24"/>
                <w:szCs w:val="24"/>
                <w:lang w:val="en-US" w:eastAsia="zh-CN"/>
              </w:rPr>
              <w:t>50</w:t>
            </w:r>
            <w:r>
              <w:rPr>
                <w:rFonts w:hint="eastAsia" w:ascii="仿宋" w:hAnsi="仿宋" w:eastAsia="仿宋" w:cs="仿宋"/>
                <w:color w:val="FF0000"/>
                <w:sz w:val="24"/>
                <w:szCs w:val="24"/>
              </w:rPr>
              <w:t>%</w:t>
            </w:r>
            <w:r>
              <w:rPr>
                <w:rFonts w:hint="eastAsia" w:ascii="仿宋" w:hAnsi="仿宋" w:eastAsia="仿宋" w:cs="仿宋"/>
                <w:color w:val="000000" w:themeColor="text1"/>
                <w:sz w:val="24"/>
                <w:szCs w:val="24"/>
                <w14:textFill>
                  <w14:solidFill>
                    <w14:schemeClr w14:val="tx1"/>
                  </w14:solidFill>
                </w14:textFill>
              </w:rPr>
              <w:t>）</w:t>
            </w:r>
          </w:p>
        </w:tc>
        <w:tc>
          <w:tcPr>
            <w:tcW w:w="1234" w:type="dxa"/>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FF0000"/>
                <w:sz w:val="24"/>
                <w:szCs w:val="24"/>
                <w:lang w:val="en-US" w:eastAsia="zh-CN"/>
              </w:rPr>
              <w:t>50</w:t>
            </w:r>
            <w:r>
              <w:rPr>
                <w:rFonts w:hint="eastAsia" w:ascii="仿宋" w:hAnsi="仿宋" w:eastAsia="仿宋" w:cs="仿宋"/>
                <w:color w:val="FF0000"/>
                <w:sz w:val="24"/>
                <w:szCs w:val="24"/>
              </w:rPr>
              <w:t>分</w:t>
            </w:r>
          </w:p>
        </w:tc>
        <w:tc>
          <w:tcPr>
            <w:tcW w:w="493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仿宋" w:hAnsi="仿宋" w:eastAsia="仿宋" w:cs="仿宋"/>
                <w:b/>
                <w:bCs/>
                <w:color w:val="000000" w:themeColor="text1"/>
                <w:sz w:val="24"/>
                <w:szCs w:val="24"/>
                <w:lang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1、</w:t>
            </w:r>
            <w:r>
              <w:rPr>
                <w:rFonts w:hint="eastAsia" w:ascii="仿宋" w:hAnsi="仿宋" w:eastAsia="仿宋" w:cs="仿宋"/>
                <w:b/>
                <w:bCs/>
                <w:color w:val="000000" w:themeColor="text1"/>
                <w:sz w:val="24"/>
                <w:szCs w:val="24"/>
                <w14:textFill>
                  <w14:solidFill>
                    <w14:schemeClr w14:val="tx1"/>
                  </w14:solidFill>
                </w14:textFill>
              </w:rPr>
              <w:t>培训考试期间学员安全保</w:t>
            </w:r>
            <w:r>
              <w:rPr>
                <w:rFonts w:hint="eastAsia" w:ascii="仿宋" w:hAnsi="仿宋" w:eastAsia="仿宋" w:cs="仿宋"/>
                <w:b/>
                <w:bCs/>
                <w:color w:val="FF0000"/>
                <w:sz w:val="24"/>
                <w:szCs w:val="24"/>
              </w:rPr>
              <w:t>障承诺（</w:t>
            </w:r>
            <w:r>
              <w:rPr>
                <w:rFonts w:hint="eastAsia" w:ascii="仿宋" w:hAnsi="仿宋" w:eastAsia="仿宋" w:cs="仿宋"/>
                <w:b/>
                <w:bCs/>
                <w:color w:val="FF0000"/>
                <w:sz w:val="24"/>
                <w:szCs w:val="24"/>
                <w:lang w:val="en-US" w:eastAsia="zh-CN"/>
              </w:rPr>
              <w:t>10</w:t>
            </w:r>
            <w:r>
              <w:rPr>
                <w:rFonts w:hint="eastAsia" w:ascii="仿宋" w:hAnsi="仿宋" w:eastAsia="仿宋" w:cs="仿宋"/>
                <w:b/>
                <w:bCs/>
                <w:color w:val="FF0000"/>
                <w:sz w:val="24"/>
                <w:szCs w:val="24"/>
              </w:rPr>
              <w:t>分）</w:t>
            </w:r>
          </w:p>
          <w:p>
            <w:pPr>
              <w:keepNext w:val="0"/>
              <w:keepLines w:val="0"/>
              <w:pageBreakBefore w:val="0"/>
              <w:widowControl w:val="0"/>
              <w:kinsoku/>
              <w:wordWrap/>
              <w:overflowPunct/>
              <w:topLinePunct w:val="0"/>
              <w:autoSpaceDE/>
              <w:autoSpaceDN/>
              <w:bidi w:val="0"/>
              <w:adjustRightInd/>
              <w:snapToGrid w:val="0"/>
              <w:spacing w:line="240" w:lineRule="exact"/>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将学员培训考试期间意外伤害责任列入合同，由投标人全部承担；投标人须在投标文件中提供承诺书（格式自拟）并加盖投标人单位公章。</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2、制度保障（10分）</w:t>
            </w:r>
          </w:p>
          <w:p>
            <w:pPr>
              <w:keepNext w:val="0"/>
              <w:keepLines w:val="0"/>
              <w:pageBreakBefore w:val="0"/>
              <w:widowControl w:val="0"/>
              <w:kinsoku/>
              <w:wordWrap/>
              <w:overflowPunct/>
              <w:topLinePunct w:val="0"/>
              <w:autoSpaceDE/>
              <w:autoSpaceDN/>
              <w:bidi w:val="0"/>
              <w:adjustRightInd/>
              <w:snapToGrid w:val="0"/>
              <w:spacing w:line="240" w:lineRule="exact"/>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投标人建立完善的培训制度。</w:t>
            </w:r>
          </w:p>
          <w:p>
            <w:pPr>
              <w:keepNext w:val="0"/>
              <w:keepLines w:val="0"/>
              <w:pageBreakBefore w:val="0"/>
              <w:widowControl w:val="0"/>
              <w:kinsoku/>
              <w:wordWrap/>
              <w:overflowPunct/>
              <w:topLinePunct w:val="0"/>
              <w:autoSpaceDE/>
              <w:autoSpaceDN/>
              <w:bidi w:val="0"/>
              <w:adjustRightInd/>
              <w:snapToGrid w:val="0"/>
              <w:spacing w:line="240" w:lineRule="exact"/>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（1）培训制度完善，得10分；</w:t>
            </w:r>
          </w:p>
          <w:p>
            <w:pPr>
              <w:keepNext w:val="0"/>
              <w:keepLines w:val="0"/>
              <w:pageBreakBefore w:val="0"/>
              <w:widowControl w:val="0"/>
              <w:kinsoku/>
              <w:wordWrap/>
              <w:overflowPunct/>
              <w:topLinePunct w:val="0"/>
              <w:autoSpaceDE/>
              <w:autoSpaceDN/>
              <w:bidi w:val="0"/>
              <w:adjustRightInd/>
              <w:snapToGrid w:val="0"/>
              <w:spacing w:line="240" w:lineRule="exact"/>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（2）培训制度较完善，得6分；</w:t>
            </w:r>
          </w:p>
          <w:p>
            <w:pPr>
              <w:keepNext w:val="0"/>
              <w:keepLines w:val="0"/>
              <w:pageBreakBefore w:val="0"/>
              <w:widowControl w:val="0"/>
              <w:kinsoku/>
              <w:wordWrap/>
              <w:overflowPunct/>
              <w:topLinePunct w:val="0"/>
              <w:autoSpaceDE/>
              <w:autoSpaceDN/>
              <w:bidi w:val="0"/>
              <w:adjustRightInd/>
              <w:snapToGrid w:val="0"/>
              <w:spacing w:line="240" w:lineRule="exact"/>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（3）培训制度不够完善，得3分。</w:t>
            </w:r>
          </w:p>
          <w:p>
            <w:pPr>
              <w:keepNext w:val="0"/>
              <w:keepLines w:val="0"/>
              <w:pageBreakBefore w:val="0"/>
              <w:widowControl w:val="0"/>
              <w:kinsoku/>
              <w:wordWrap/>
              <w:overflowPunct/>
              <w:topLinePunct w:val="0"/>
              <w:autoSpaceDE/>
              <w:autoSpaceDN/>
              <w:bidi w:val="0"/>
              <w:adjustRightInd/>
              <w:snapToGrid w:val="0"/>
              <w:spacing w:line="240" w:lineRule="exact"/>
              <w:ind w:firstLine="480" w:firstLineChars="200"/>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（4）未提供的，得0分。</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3、培训课程设置</w:t>
            </w:r>
            <w:r>
              <w:rPr>
                <w:rFonts w:hint="eastAsia" w:ascii="仿宋" w:hAnsi="仿宋" w:eastAsia="仿宋" w:cs="仿宋"/>
                <w:b/>
                <w:bCs/>
                <w:color w:val="FF0000"/>
                <w:sz w:val="24"/>
                <w:szCs w:val="24"/>
                <w:lang w:val="en-US" w:eastAsia="zh-CN"/>
              </w:rPr>
              <w:t>（25分）</w:t>
            </w:r>
          </w:p>
          <w:p>
            <w:pPr>
              <w:keepNext w:val="0"/>
              <w:keepLines w:val="0"/>
              <w:pageBreakBefore w:val="0"/>
              <w:widowControl w:val="0"/>
              <w:kinsoku/>
              <w:wordWrap/>
              <w:overflowPunct/>
              <w:topLinePunct w:val="0"/>
              <w:autoSpaceDE/>
              <w:autoSpaceDN/>
              <w:bidi w:val="0"/>
              <w:adjustRightInd/>
              <w:snapToGrid w:val="0"/>
              <w:spacing w:line="240" w:lineRule="exact"/>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投标人须对本次安全培训设置课程。</w:t>
            </w:r>
          </w:p>
          <w:p>
            <w:pPr>
              <w:keepNext w:val="0"/>
              <w:keepLines w:val="0"/>
              <w:pageBreakBefore w:val="0"/>
              <w:widowControl w:val="0"/>
              <w:kinsoku/>
              <w:wordWrap/>
              <w:overflowPunct/>
              <w:topLinePunct w:val="0"/>
              <w:autoSpaceDE/>
              <w:autoSpaceDN/>
              <w:bidi w:val="0"/>
              <w:adjustRightInd/>
              <w:snapToGrid w:val="0"/>
              <w:spacing w:line="240" w:lineRule="exact"/>
              <w:ind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（1）课程设置科学合理、实施办法具体详细，得</w:t>
            </w:r>
            <w:r>
              <w:rPr>
                <w:rFonts w:hint="eastAsia" w:ascii="仿宋" w:hAnsi="仿宋" w:eastAsia="仿宋" w:cs="仿宋"/>
                <w:color w:val="FF0000"/>
                <w:sz w:val="24"/>
                <w:szCs w:val="24"/>
                <w:lang w:val="en-US" w:eastAsia="zh-CN"/>
              </w:rPr>
              <w:t>25分；</w:t>
            </w:r>
          </w:p>
          <w:p>
            <w:pPr>
              <w:keepNext w:val="0"/>
              <w:keepLines w:val="0"/>
              <w:pageBreakBefore w:val="0"/>
              <w:widowControl w:val="0"/>
              <w:kinsoku/>
              <w:wordWrap/>
              <w:overflowPunct/>
              <w:topLinePunct w:val="0"/>
              <w:autoSpaceDE/>
              <w:autoSpaceDN/>
              <w:bidi w:val="0"/>
              <w:adjustRightInd/>
              <w:snapToGrid w:val="0"/>
              <w:spacing w:line="240" w:lineRule="exact"/>
              <w:ind w:firstLine="480" w:firstLineChars="200"/>
              <w:textAlignment w:val="auto"/>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（2）课程设置较科学合理、实施办法具体详细，得20分；</w:t>
            </w:r>
          </w:p>
          <w:p>
            <w:pPr>
              <w:keepNext w:val="0"/>
              <w:keepLines w:val="0"/>
              <w:pageBreakBefore w:val="0"/>
              <w:widowControl w:val="0"/>
              <w:kinsoku/>
              <w:wordWrap/>
              <w:overflowPunct/>
              <w:topLinePunct w:val="0"/>
              <w:autoSpaceDE/>
              <w:autoSpaceDN/>
              <w:bidi w:val="0"/>
              <w:adjustRightInd/>
              <w:snapToGrid w:val="0"/>
              <w:spacing w:line="240" w:lineRule="exact"/>
              <w:ind w:firstLine="480" w:firstLineChars="200"/>
              <w:textAlignment w:val="auto"/>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（3）课程设置不够科学合理、实施办法具体详细，得10分。</w:t>
            </w:r>
          </w:p>
          <w:p>
            <w:pPr>
              <w:keepNext w:val="0"/>
              <w:keepLines w:val="0"/>
              <w:pageBreakBefore w:val="0"/>
              <w:widowControl w:val="0"/>
              <w:kinsoku/>
              <w:wordWrap/>
              <w:overflowPunct/>
              <w:topLinePunct w:val="0"/>
              <w:autoSpaceDE/>
              <w:autoSpaceDN/>
              <w:bidi w:val="0"/>
              <w:adjustRightInd/>
              <w:snapToGrid w:val="0"/>
              <w:spacing w:line="240" w:lineRule="exact"/>
              <w:ind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（4）未提供的，得0分。</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4、后勤保障（5分）</w:t>
            </w:r>
          </w:p>
          <w:p>
            <w:pPr>
              <w:keepNext w:val="0"/>
              <w:keepLines w:val="0"/>
              <w:pageBreakBefore w:val="0"/>
              <w:widowControl w:val="0"/>
              <w:kinsoku/>
              <w:wordWrap/>
              <w:overflowPunct/>
              <w:topLinePunct w:val="0"/>
              <w:autoSpaceDE/>
              <w:autoSpaceDN/>
              <w:bidi w:val="0"/>
              <w:adjustRightInd/>
              <w:snapToGrid w:val="0"/>
              <w:spacing w:line="240" w:lineRule="exact"/>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投标人须在培训考试期间给所有参培学员及培训管理人员提供免费午餐。须在投标文件中提供餐饮服务方案，方案中包括但不限于餐食搭配，是否是自有食堂等，非自有食堂不得评为优、良。</w:t>
            </w:r>
          </w:p>
          <w:p>
            <w:pPr>
              <w:keepNext w:val="0"/>
              <w:keepLines w:val="0"/>
              <w:pageBreakBefore w:val="0"/>
              <w:widowControl w:val="0"/>
              <w:kinsoku/>
              <w:wordWrap/>
              <w:overflowPunct/>
              <w:topLinePunct w:val="0"/>
              <w:autoSpaceDE/>
              <w:autoSpaceDN/>
              <w:bidi w:val="0"/>
              <w:adjustRightInd/>
              <w:snapToGrid w:val="0"/>
              <w:spacing w:line="240" w:lineRule="exact"/>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（1）服务方案合理完善、实施办法具体详细，得5分； </w:t>
            </w:r>
          </w:p>
          <w:p>
            <w:pPr>
              <w:keepNext w:val="0"/>
              <w:keepLines w:val="0"/>
              <w:pageBreakBefore w:val="0"/>
              <w:widowControl w:val="0"/>
              <w:kinsoku/>
              <w:wordWrap/>
              <w:overflowPunct/>
              <w:topLinePunct w:val="0"/>
              <w:autoSpaceDE/>
              <w:autoSpaceDN/>
              <w:bidi w:val="0"/>
              <w:adjustRightInd/>
              <w:snapToGrid w:val="0"/>
              <w:spacing w:line="240" w:lineRule="exact"/>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（2）服务方案较合理完善、实施办法较详细，得3分； </w:t>
            </w:r>
          </w:p>
          <w:p>
            <w:pPr>
              <w:keepNext w:val="0"/>
              <w:keepLines w:val="0"/>
              <w:pageBreakBefore w:val="0"/>
              <w:widowControl w:val="0"/>
              <w:kinsoku/>
              <w:wordWrap/>
              <w:overflowPunct/>
              <w:topLinePunct w:val="0"/>
              <w:autoSpaceDE/>
              <w:autoSpaceDN/>
              <w:bidi w:val="0"/>
              <w:adjustRightInd/>
              <w:snapToGrid w:val="0"/>
              <w:spacing w:line="240" w:lineRule="exact"/>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 xml:space="preserve">（3）服务方案不够完善、实施办法针对性不强，得1分； </w:t>
            </w:r>
          </w:p>
          <w:p>
            <w:pPr>
              <w:keepNext w:val="0"/>
              <w:keepLines w:val="0"/>
              <w:pageBreakBefore w:val="0"/>
              <w:widowControl w:val="0"/>
              <w:kinsoku/>
              <w:wordWrap/>
              <w:overflowPunct/>
              <w:topLinePunct w:val="0"/>
              <w:autoSpaceDE/>
              <w:autoSpaceDN/>
              <w:bidi w:val="0"/>
              <w:adjustRightInd/>
              <w:snapToGrid w:val="0"/>
              <w:spacing w:line="24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（4）未提供或无实施办法的，得0分。</w:t>
            </w:r>
          </w:p>
        </w:tc>
        <w:tc>
          <w:tcPr>
            <w:tcW w:w="1663" w:type="dxa"/>
            <w:vAlign w:val="center"/>
          </w:tcPr>
          <w:p>
            <w:pP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供应商自行编制（格式自定）。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2" w:hRule="exact"/>
          <w:jc w:val="center"/>
        </w:trPr>
        <w:tc>
          <w:tcPr>
            <w:tcW w:w="823" w:type="dxa"/>
            <w:vMerge w:val="restart"/>
            <w:vAlign w:val="center"/>
          </w:tcPr>
          <w:p>
            <w:pPr>
              <w:ind w:firstLine="28"/>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p>
        </w:tc>
        <w:tc>
          <w:tcPr>
            <w:tcW w:w="1279" w:type="dxa"/>
            <w:vMerge w:val="restart"/>
            <w:vAlign w:val="center"/>
          </w:tcPr>
          <w:p>
            <w:pPr>
              <w:ind w:firstLine="28"/>
              <w:jc w:val="center"/>
              <w:rPr>
                <w:rFonts w:hint="eastAsia" w:ascii="仿宋" w:hAnsi="仿宋" w:eastAsia="仿宋" w:cs="仿宋"/>
                <w:color w:val="FF0000"/>
                <w:sz w:val="24"/>
                <w:szCs w:val="24"/>
              </w:rPr>
            </w:pPr>
            <w:r>
              <w:rPr>
                <w:rFonts w:hint="eastAsia" w:ascii="仿宋" w:hAnsi="仿宋" w:eastAsia="仿宋" w:cs="仿宋"/>
                <w:color w:val="FF0000"/>
                <w:sz w:val="24"/>
                <w:szCs w:val="24"/>
              </w:rPr>
              <w:t>商务部分</w:t>
            </w:r>
          </w:p>
          <w:p>
            <w:pPr>
              <w:ind w:firstLine="28"/>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FF0000"/>
                <w:sz w:val="24"/>
                <w:szCs w:val="24"/>
              </w:rPr>
              <w:t>（</w:t>
            </w:r>
            <w:r>
              <w:rPr>
                <w:rFonts w:hint="eastAsia" w:ascii="仿宋" w:hAnsi="仿宋" w:eastAsia="仿宋" w:cs="仿宋"/>
                <w:color w:val="FF0000"/>
                <w:sz w:val="24"/>
                <w:szCs w:val="24"/>
                <w:lang w:val="en-US" w:eastAsia="zh-CN"/>
              </w:rPr>
              <w:t>20</w:t>
            </w:r>
            <w:r>
              <w:rPr>
                <w:rFonts w:hint="eastAsia" w:ascii="仿宋" w:hAnsi="仿宋" w:eastAsia="仿宋" w:cs="仿宋"/>
                <w:color w:val="FF0000"/>
                <w:sz w:val="24"/>
                <w:szCs w:val="24"/>
              </w:rPr>
              <w:t>%）</w:t>
            </w:r>
          </w:p>
        </w:tc>
        <w:tc>
          <w:tcPr>
            <w:tcW w:w="1234" w:type="dxa"/>
            <w:vAlign w:val="center"/>
          </w:tcPr>
          <w:p>
            <w:pPr>
              <w:ind w:firstLine="28"/>
              <w:jc w:val="center"/>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业绩</w:t>
            </w:r>
          </w:p>
          <w:p>
            <w:pPr>
              <w:ind w:firstLine="28"/>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FF0000"/>
                <w:sz w:val="24"/>
                <w:szCs w:val="24"/>
                <w:lang w:val="en-US" w:eastAsia="zh-CN"/>
              </w:rPr>
              <w:t>（15</w:t>
            </w:r>
            <w:r>
              <w:rPr>
                <w:rFonts w:hint="eastAsia" w:ascii="仿宋" w:hAnsi="仿宋" w:eastAsia="仿宋" w:cs="仿宋"/>
                <w:color w:val="000000" w:themeColor="text1"/>
                <w:sz w:val="24"/>
                <w:szCs w:val="24"/>
                <w:lang w:val="en-US" w:eastAsia="zh-CN"/>
                <w14:textFill>
                  <w14:solidFill>
                    <w14:schemeClr w14:val="tx1"/>
                  </w14:solidFill>
                </w14:textFill>
              </w:rPr>
              <w:t>）</w:t>
            </w:r>
          </w:p>
        </w:tc>
        <w:tc>
          <w:tcPr>
            <w:tcW w:w="493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480" w:firstLineChars="200"/>
              <w:textAlignment w:val="auto"/>
              <w:rPr>
                <w:rFonts w:hint="default" w:eastAsia="宋体"/>
                <w:color w:val="000000" w:themeColor="text1"/>
                <w:lang w:val="en-US" w:eastAsia="zh-CN"/>
                <w14:textFill>
                  <w14:solidFill>
                    <w14:schemeClr w14:val="tx1"/>
                  </w14:solidFill>
                </w14:textFill>
              </w:rPr>
            </w:pPr>
            <w:r>
              <w:rPr>
                <w:rFonts w:hint="eastAsia" w:ascii="仿宋" w:hAnsi="仿宋" w:eastAsia="仿宋" w:cs="仿宋"/>
                <w:snapToGrid w:val="0"/>
                <w:color w:val="000000" w:themeColor="text1"/>
                <w:sz w:val="24"/>
                <w:szCs w:val="24"/>
                <w:lang w:val="en-US" w:eastAsia="zh-CN" w:bidi="ar-SA"/>
                <w14:textFill>
                  <w14:solidFill>
                    <w14:schemeClr w14:val="tx1"/>
                  </w14:solidFill>
                </w14:textFill>
              </w:rPr>
              <w:t>2018年1月1日至投标截至时间止，</w:t>
            </w:r>
            <w:r>
              <w:rPr>
                <w:rFonts w:hint="eastAsia" w:ascii="仿宋" w:hAnsi="仿宋" w:eastAsia="仿宋" w:cs="仿宋"/>
                <w:snapToGrid w:val="0"/>
                <w:color w:val="FF0000"/>
                <w:sz w:val="24"/>
                <w:szCs w:val="24"/>
                <w:lang w:val="en-US" w:eastAsia="zh-CN" w:bidi="ar-SA"/>
              </w:rPr>
              <w:t>为企事业单位或个人提供类似项目安全培训服</w:t>
            </w:r>
            <w:r>
              <w:rPr>
                <w:rFonts w:hint="eastAsia" w:ascii="仿宋" w:hAnsi="仿宋" w:eastAsia="仿宋" w:cs="仿宋"/>
                <w:snapToGrid w:val="0"/>
                <w:color w:val="000000" w:themeColor="text1"/>
                <w:sz w:val="24"/>
                <w:szCs w:val="24"/>
                <w:lang w:val="en-US" w:eastAsia="zh-CN" w:bidi="ar-SA"/>
                <w14:textFill>
                  <w14:solidFill>
                    <w14:schemeClr w14:val="tx1"/>
                  </w14:solidFill>
                </w14:textFill>
              </w:rPr>
              <w:t>务的合同，一</w:t>
            </w:r>
            <w:r>
              <w:rPr>
                <w:rFonts w:hint="eastAsia" w:ascii="仿宋" w:hAnsi="仿宋" w:eastAsia="仿宋" w:cs="仿宋"/>
                <w:color w:val="000000" w:themeColor="text1"/>
                <w:sz w:val="24"/>
                <w:szCs w:val="24"/>
                <w:lang w:val="en-US" w:eastAsia="zh-CN"/>
                <w14:textFill>
                  <w14:solidFill>
                    <w14:schemeClr w14:val="tx1"/>
                  </w14:solidFill>
                </w14:textFill>
              </w:rPr>
              <w:t>个得3分，</w:t>
            </w:r>
            <w:r>
              <w:rPr>
                <w:rFonts w:hint="eastAsia" w:ascii="仿宋" w:hAnsi="仿宋" w:eastAsia="仿宋" w:cs="仿宋"/>
                <w:color w:val="FF0000"/>
                <w:sz w:val="24"/>
                <w:szCs w:val="24"/>
                <w:lang w:val="en-US" w:eastAsia="zh-CN"/>
              </w:rPr>
              <w:t>最多得15分</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C00000"/>
                <w:sz w:val="24"/>
                <w:szCs w:val="24"/>
                <w:lang w:val="en-US" w:eastAsia="zh-CN"/>
              </w:rPr>
              <w:t>或2018年1月1日至</w:t>
            </w:r>
            <w:r>
              <w:rPr>
                <w:rFonts w:hint="eastAsia" w:ascii="仿宋" w:hAnsi="仿宋" w:eastAsia="仿宋" w:cs="仿宋"/>
                <w:snapToGrid w:val="0"/>
                <w:color w:val="C00000"/>
                <w:sz w:val="24"/>
                <w:szCs w:val="24"/>
                <w:lang w:val="en-US" w:eastAsia="zh-CN" w:bidi="ar-SA"/>
              </w:rPr>
              <w:t>投标截至时间止，</w:t>
            </w:r>
            <w:r>
              <w:rPr>
                <w:rFonts w:hint="eastAsia" w:ascii="仿宋" w:hAnsi="仿宋" w:eastAsia="仿宋" w:cs="仿宋"/>
                <w:color w:val="C00000"/>
                <w:sz w:val="24"/>
                <w:szCs w:val="24"/>
                <w:lang w:val="en-US" w:eastAsia="zh-CN"/>
              </w:rPr>
              <w:t>承担过企事业单位安全培训的，每一期3分，最多得15分。</w:t>
            </w:r>
          </w:p>
        </w:tc>
        <w:tc>
          <w:tcPr>
            <w:tcW w:w="1663" w:type="dxa"/>
            <w:vAlign w:val="center"/>
          </w:tcPr>
          <w:p>
            <w:pP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提供合同复印件或中标通知书复印件并加盖供应商鲜章。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6" w:hRule="exact"/>
          <w:jc w:val="center"/>
        </w:trPr>
        <w:tc>
          <w:tcPr>
            <w:tcW w:w="823" w:type="dxa"/>
            <w:vMerge w:val="continue"/>
            <w:vAlign w:val="center"/>
          </w:tcPr>
          <w:p>
            <w:pPr>
              <w:ind w:firstLine="28"/>
              <w:jc w:val="center"/>
              <w:rPr>
                <w:rFonts w:hint="eastAsia" w:ascii="仿宋" w:hAnsi="仿宋" w:eastAsia="仿宋" w:cs="仿宋"/>
                <w:color w:val="000000" w:themeColor="text1"/>
                <w:sz w:val="24"/>
                <w:szCs w:val="24"/>
                <w14:textFill>
                  <w14:solidFill>
                    <w14:schemeClr w14:val="tx1"/>
                  </w14:solidFill>
                </w14:textFill>
              </w:rPr>
            </w:pPr>
          </w:p>
        </w:tc>
        <w:tc>
          <w:tcPr>
            <w:tcW w:w="1279" w:type="dxa"/>
            <w:vMerge w:val="continue"/>
            <w:vAlign w:val="center"/>
          </w:tcPr>
          <w:p>
            <w:pPr>
              <w:ind w:firstLine="28"/>
              <w:jc w:val="center"/>
              <w:rPr>
                <w:rFonts w:hint="eastAsia" w:ascii="仿宋" w:hAnsi="仿宋" w:eastAsia="仿宋" w:cs="仿宋"/>
                <w:color w:val="000000" w:themeColor="text1"/>
                <w:sz w:val="24"/>
                <w:szCs w:val="24"/>
                <w14:textFill>
                  <w14:solidFill>
                    <w14:schemeClr w14:val="tx1"/>
                  </w14:solidFill>
                </w14:textFill>
              </w:rPr>
            </w:pPr>
          </w:p>
        </w:tc>
        <w:tc>
          <w:tcPr>
            <w:tcW w:w="1234" w:type="dxa"/>
            <w:vAlign w:val="center"/>
          </w:tcPr>
          <w:p>
            <w:pPr>
              <w:ind w:firstLine="28"/>
              <w:jc w:val="center"/>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师资情况</w:t>
            </w:r>
          </w:p>
          <w:p>
            <w:pPr>
              <w:ind w:firstLine="28"/>
              <w:jc w:val="center"/>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（5分）</w:t>
            </w:r>
          </w:p>
        </w:tc>
        <w:tc>
          <w:tcPr>
            <w:tcW w:w="493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480" w:firstLineChars="200"/>
              <w:textAlignment w:val="auto"/>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1.供应商针对本项目组建工作服务团队，不少于10人，得3分，未提供的不得分。（须提供2024.8-2024.10社保缴纳证明）。</w:t>
            </w:r>
          </w:p>
          <w:p>
            <w:pPr>
              <w:keepNext w:val="0"/>
              <w:keepLines w:val="0"/>
              <w:pageBreakBefore w:val="0"/>
              <w:widowControl w:val="0"/>
              <w:kinsoku/>
              <w:wordWrap/>
              <w:overflowPunct/>
              <w:topLinePunct w:val="0"/>
              <w:autoSpaceDE/>
              <w:autoSpaceDN/>
              <w:bidi w:val="0"/>
              <w:adjustRightInd/>
              <w:snapToGrid w:val="0"/>
              <w:spacing w:line="24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lang w:val="en-US" w:eastAsia="zh-CN"/>
              </w:rPr>
              <w:t>2.团队中有注册安全工</w:t>
            </w:r>
            <w:bookmarkStart w:id="263" w:name="_GoBack"/>
            <w:bookmarkEnd w:id="263"/>
            <w:r>
              <w:rPr>
                <w:rFonts w:hint="eastAsia" w:ascii="仿宋" w:hAnsi="仿宋" w:eastAsia="仿宋" w:cs="仿宋"/>
                <w:color w:val="FF0000"/>
                <w:sz w:val="24"/>
                <w:szCs w:val="24"/>
                <w:lang w:val="en-US" w:eastAsia="zh-CN"/>
              </w:rPr>
              <w:t>程师，每提供1人得1分，最多2分。须提供证书复印件加盖公章。</w:t>
            </w:r>
          </w:p>
        </w:tc>
        <w:tc>
          <w:tcPr>
            <w:tcW w:w="1663" w:type="dxa"/>
            <w:vAlign w:val="center"/>
          </w:tcPr>
          <w:p>
            <w:pPr>
              <w:rPr>
                <w:rFonts w:hint="default" w:ascii="仿宋" w:hAnsi="仿宋" w:eastAsia="仿宋" w:cs="仿宋"/>
                <w:color w:val="000000" w:themeColor="text1"/>
                <w:sz w:val="24"/>
                <w:szCs w:val="24"/>
                <w:lang w:val="en-US" w:eastAsia="zh-CN"/>
                <w14:textFill>
                  <w14:solidFill>
                    <w14:schemeClr w14:val="tx1"/>
                  </w14:solidFill>
                </w14:textFill>
              </w:rPr>
            </w:pPr>
          </w:p>
        </w:tc>
      </w:tr>
    </w:tbl>
    <w:p>
      <w:pPr>
        <w:pStyle w:val="4"/>
        <w:pageBreakBefore w:val="0"/>
        <w:widowControl w:val="0"/>
        <w:kinsoku/>
        <w:wordWrap/>
        <w:overflowPunct/>
        <w:topLinePunct w:val="0"/>
        <w:autoSpaceDE/>
        <w:autoSpaceDN/>
        <w:bidi w:val="0"/>
        <w:adjustRightInd w:val="0"/>
        <w:snapToGrid w:val="0"/>
        <w:spacing w:before="0" w:after="0" w:line="520" w:lineRule="exact"/>
        <w:ind w:firstLine="643" w:firstLineChars="200"/>
        <w:textAlignment w:val="auto"/>
        <w:rPr>
          <w:rFonts w:hint="eastAsia" w:ascii="方正黑体_GBK" w:hAnsi="方正黑体_GBK" w:eastAsia="方正黑体_GBK" w:cs="方正黑体_GBK"/>
          <w:color w:val="auto"/>
          <w:sz w:val="32"/>
          <w:szCs w:val="32"/>
        </w:rPr>
      </w:pPr>
      <w:bookmarkStart w:id="124" w:name="_Toc2665"/>
      <w:r>
        <w:rPr>
          <w:rFonts w:hint="eastAsia" w:ascii="方正黑体_GBK" w:hAnsi="方正黑体_GBK" w:eastAsia="方正黑体_GBK" w:cs="方正黑体_GBK"/>
          <w:color w:val="auto"/>
          <w:sz w:val="32"/>
          <w:szCs w:val="32"/>
        </w:rPr>
        <w:t>三、无效响应</w:t>
      </w:r>
      <w:bookmarkEnd w:id="124"/>
    </w:p>
    <w:p>
      <w:pPr>
        <w:pageBreakBefore w:val="0"/>
        <w:widowControl w:val="0"/>
        <w:kinsoku/>
        <w:wordWrap/>
        <w:overflowPunct/>
        <w:topLinePunct w:val="0"/>
        <w:autoSpaceDE/>
        <w:autoSpaceDN/>
        <w:bidi w:val="0"/>
        <w:snapToGrid w:val="0"/>
        <w:spacing w:line="520" w:lineRule="exact"/>
        <w:ind w:firstLine="46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供应商发生以下条款情况之一者，视为无效响应，其响应文件将被拒绝：</w:t>
      </w:r>
    </w:p>
    <w:p>
      <w:pPr>
        <w:pageBreakBefore w:val="0"/>
        <w:widowControl w:val="0"/>
        <w:kinsoku/>
        <w:wordWrap/>
        <w:overflowPunct/>
        <w:topLinePunct w:val="0"/>
        <w:autoSpaceDE/>
        <w:autoSpaceDN/>
        <w:bidi w:val="0"/>
        <w:snapToGrid w:val="0"/>
        <w:spacing w:line="520" w:lineRule="exact"/>
        <w:ind w:firstLine="46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（一）供应商不符合规定的资格条件的；</w:t>
      </w:r>
    </w:p>
    <w:p>
      <w:pPr>
        <w:pageBreakBefore w:val="0"/>
        <w:widowControl w:val="0"/>
        <w:kinsoku/>
        <w:wordWrap/>
        <w:overflowPunct/>
        <w:topLinePunct w:val="0"/>
        <w:autoSpaceDE/>
        <w:autoSpaceDN/>
        <w:bidi w:val="0"/>
        <w:snapToGrid w:val="0"/>
        <w:spacing w:line="520" w:lineRule="exact"/>
        <w:ind w:firstLine="46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（二）供应商的法定代表人（或其授权代表）或自然人未参加</w:t>
      </w:r>
      <w:r>
        <w:rPr>
          <w:rFonts w:hint="eastAsia" w:ascii="仿宋_GB2312" w:hAnsi="仿宋_GB2312" w:eastAsia="仿宋_GB2312" w:cs="仿宋_GB2312"/>
          <w:color w:val="auto"/>
          <w:sz w:val="32"/>
          <w:szCs w:val="32"/>
          <w:lang w:val="en-US" w:eastAsia="zh-CN"/>
        </w:rPr>
        <w:t>竞争性磋商</w:t>
      </w:r>
      <w:r>
        <w:rPr>
          <w:rFonts w:hint="eastAsia" w:ascii="仿宋_GB2312" w:hAnsi="仿宋_GB2312" w:eastAsia="仿宋_GB2312" w:cs="仿宋_GB2312"/>
          <w:color w:val="auto"/>
          <w:sz w:val="32"/>
          <w:szCs w:val="32"/>
        </w:rPr>
        <w:t>；</w:t>
      </w:r>
    </w:p>
    <w:p>
      <w:pPr>
        <w:pageBreakBefore w:val="0"/>
        <w:widowControl w:val="0"/>
        <w:kinsoku/>
        <w:wordWrap/>
        <w:overflowPunct/>
        <w:topLinePunct w:val="0"/>
        <w:autoSpaceDE/>
        <w:autoSpaceDN/>
        <w:bidi w:val="0"/>
        <w:snapToGrid w:val="0"/>
        <w:spacing w:line="520" w:lineRule="exact"/>
        <w:ind w:firstLine="46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（三）供应商所提交的响应文件不按“第七篇响应文件编制要求”要求签署或盖章；</w:t>
      </w:r>
    </w:p>
    <w:p>
      <w:pPr>
        <w:pageBreakBefore w:val="0"/>
        <w:widowControl w:val="0"/>
        <w:kinsoku/>
        <w:wordWrap/>
        <w:overflowPunct/>
        <w:topLinePunct w:val="0"/>
        <w:autoSpaceDE/>
        <w:autoSpaceDN/>
        <w:bidi w:val="0"/>
        <w:snapToGrid w:val="0"/>
        <w:spacing w:line="520" w:lineRule="exact"/>
        <w:ind w:firstLine="46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（四）供应商的最后报价超过</w:t>
      </w:r>
      <w:r>
        <w:rPr>
          <w:rFonts w:hint="eastAsia" w:ascii="仿宋_GB2312" w:hAnsi="仿宋_GB2312" w:eastAsia="仿宋_GB2312" w:cs="仿宋_GB2312"/>
          <w:color w:val="auto"/>
          <w:sz w:val="32"/>
          <w:szCs w:val="32"/>
          <w:lang w:val="en-US" w:eastAsia="zh-CN"/>
        </w:rPr>
        <w:t>竞争性磋商</w:t>
      </w:r>
      <w:r>
        <w:rPr>
          <w:rFonts w:hint="eastAsia" w:ascii="仿宋_GB2312" w:hAnsi="仿宋_GB2312" w:eastAsia="仿宋_GB2312" w:cs="仿宋_GB2312"/>
          <w:color w:val="auto"/>
          <w:sz w:val="32"/>
          <w:szCs w:val="32"/>
        </w:rPr>
        <w:t>预算或最高限价的；</w:t>
      </w:r>
    </w:p>
    <w:p>
      <w:pPr>
        <w:pageBreakBefore w:val="0"/>
        <w:widowControl w:val="0"/>
        <w:kinsoku/>
        <w:wordWrap/>
        <w:overflowPunct/>
        <w:topLinePunct w:val="0"/>
        <w:autoSpaceDE/>
        <w:autoSpaceDN/>
        <w:bidi w:val="0"/>
        <w:snapToGrid w:val="0"/>
        <w:spacing w:line="520" w:lineRule="exact"/>
        <w:ind w:firstLine="46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（五）法定代表人为同一个人的两个及两个以上法人，母公司、全资子公司及其控股公司，在同一包采购中同时参与</w:t>
      </w:r>
      <w:r>
        <w:rPr>
          <w:rFonts w:hint="eastAsia" w:ascii="仿宋_GB2312" w:hAnsi="仿宋_GB2312" w:eastAsia="仿宋_GB2312" w:cs="仿宋_GB2312"/>
          <w:color w:val="auto"/>
          <w:sz w:val="32"/>
          <w:szCs w:val="32"/>
          <w:lang w:val="en-US" w:eastAsia="zh-CN"/>
        </w:rPr>
        <w:t>竞争性磋商</w:t>
      </w:r>
      <w:r>
        <w:rPr>
          <w:rFonts w:hint="eastAsia" w:ascii="仿宋_GB2312" w:hAnsi="仿宋_GB2312" w:eastAsia="仿宋_GB2312" w:cs="仿宋_GB2312"/>
          <w:color w:val="auto"/>
          <w:sz w:val="32"/>
          <w:szCs w:val="32"/>
        </w:rPr>
        <w:t>；</w:t>
      </w:r>
    </w:p>
    <w:p>
      <w:pPr>
        <w:pageBreakBefore w:val="0"/>
        <w:widowControl w:val="0"/>
        <w:kinsoku/>
        <w:wordWrap/>
        <w:overflowPunct/>
        <w:topLinePunct w:val="0"/>
        <w:autoSpaceDE/>
        <w:autoSpaceDN/>
        <w:bidi w:val="0"/>
        <w:snapToGrid w:val="0"/>
        <w:spacing w:line="520" w:lineRule="exact"/>
        <w:ind w:firstLine="46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（六）单位负责人为同一人或者存在直接控股、管理关系的不同供应商，参加同一合同项下的政府采购活动的；</w:t>
      </w:r>
    </w:p>
    <w:p>
      <w:pPr>
        <w:pageBreakBefore w:val="0"/>
        <w:widowControl w:val="0"/>
        <w:kinsoku/>
        <w:wordWrap/>
        <w:overflowPunct/>
        <w:topLinePunct w:val="0"/>
        <w:autoSpaceDE/>
        <w:autoSpaceDN/>
        <w:bidi w:val="0"/>
        <w:snapToGrid w:val="0"/>
        <w:spacing w:line="520" w:lineRule="exact"/>
        <w:ind w:firstLine="46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（七）为采购项目提供整体设计、规范编制或者项目管理、监理、检测等服务的供应商，再参加该采购项目的其他采购活动；</w:t>
      </w:r>
    </w:p>
    <w:p>
      <w:pPr>
        <w:pageBreakBefore w:val="0"/>
        <w:widowControl w:val="0"/>
        <w:kinsoku/>
        <w:wordWrap/>
        <w:overflowPunct/>
        <w:topLinePunct w:val="0"/>
        <w:autoSpaceDE/>
        <w:autoSpaceDN/>
        <w:bidi w:val="0"/>
        <w:snapToGrid w:val="0"/>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（八）供应商</w:t>
      </w:r>
      <w:r>
        <w:rPr>
          <w:rFonts w:hint="eastAsia" w:ascii="仿宋_GB2312" w:hAnsi="仿宋_GB2312" w:eastAsia="仿宋_GB2312" w:cs="仿宋_GB2312"/>
          <w:color w:val="auto"/>
          <w:sz w:val="32"/>
          <w:szCs w:val="32"/>
          <w:lang w:val="en-US" w:eastAsia="zh-CN"/>
        </w:rPr>
        <w:t>竞争性磋商</w:t>
      </w:r>
      <w:r>
        <w:rPr>
          <w:rFonts w:hint="eastAsia" w:ascii="仿宋_GB2312" w:hAnsi="仿宋_GB2312" w:eastAsia="仿宋_GB2312" w:cs="仿宋_GB2312"/>
          <w:color w:val="auto"/>
          <w:sz w:val="32"/>
          <w:szCs w:val="32"/>
        </w:rPr>
        <w:t>有效期不满足</w:t>
      </w:r>
      <w:r>
        <w:rPr>
          <w:rFonts w:hint="eastAsia" w:ascii="仿宋_GB2312" w:hAnsi="仿宋_GB2312" w:eastAsia="仿宋_GB2312" w:cs="仿宋_GB2312"/>
          <w:color w:val="auto"/>
          <w:sz w:val="32"/>
          <w:szCs w:val="32"/>
          <w:lang w:val="en-US" w:eastAsia="zh-CN"/>
        </w:rPr>
        <w:t>竞争性磋商</w:t>
      </w:r>
      <w:r>
        <w:rPr>
          <w:rFonts w:hint="eastAsia" w:ascii="仿宋_GB2312" w:hAnsi="仿宋_GB2312" w:eastAsia="仿宋_GB2312" w:cs="仿宋_GB2312"/>
          <w:color w:val="auto"/>
          <w:sz w:val="32"/>
          <w:szCs w:val="32"/>
        </w:rPr>
        <w:t>文件要求的；</w:t>
      </w:r>
    </w:p>
    <w:p>
      <w:pPr>
        <w:pageBreakBefore w:val="0"/>
        <w:widowControl w:val="0"/>
        <w:kinsoku/>
        <w:wordWrap/>
        <w:overflowPunct/>
        <w:topLinePunct w:val="0"/>
        <w:autoSpaceDE/>
        <w:autoSpaceDN/>
        <w:bidi w:val="0"/>
        <w:snapToGrid w:val="0"/>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（九）供应商响应文件内容有与国家现行法律法规相违背的内容，或附有采购人无法接受的条件；</w:t>
      </w:r>
    </w:p>
    <w:p>
      <w:pPr>
        <w:pageBreakBefore w:val="0"/>
        <w:widowControl w:val="0"/>
        <w:kinsoku/>
        <w:wordWrap/>
        <w:overflowPunct/>
        <w:topLinePunct w:val="0"/>
        <w:autoSpaceDE/>
        <w:autoSpaceDN/>
        <w:bidi w:val="0"/>
        <w:snapToGrid w:val="0"/>
        <w:spacing w:line="520" w:lineRule="exact"/>
        <w:ind w:firstLine="46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（十）法律、法规和</w:t>
      </w:r>
      <w:r>
        <w:rPr>
          <w:rFonts w:hint="eastAsia" w:ascii="仿宋_GB2312" w:hAnsi="仿宋_GB2312" w:eastAsia="仿宋_GB2312" w:cs="仿宋_GB2312"/>
          <w:color w:val="auto"/>
          <w:sz w:val="32"/>
          <w:szCs w:val="32"/>
          <w:lang w:val="en-US" w:eastAsia="zh-CN"/>
        </w:rPr>
        <w:t>竞争性磋商</w:t>
      </w:r>
      <w:r>
        <w:rPr>
          <w:rFonts w:hint="eastAsia" w:ascii="仿宋_GB2312" w:hAnsi="仿宋_GB2312" w:eastAsia="仿宋_GB2312" w:cs="仿宋_GB2312"/>
          <w:color w:val="auto"/>
          <w:sz w:val="32"/>
          <w:szCs w:val="32"/>
        </w:rPr>
        <w:t>文件规定的其他无效情形。</w:t>
      </w:r>
    </w:p>
    <w:p>
      <w:pPr>
        <w:pStyle w:val="4"/>
        <w:pageBreakBefore w:val="0"/>
        <w:widowControl w:val="0"/>
        <w:kinsoku/>
        <w:wordWrap/>
        <w:overflowPunct/>
        <w:topLinePunct w:val="0"/>
        <w:autoSpaceDE/>
        <w:autoSpaceDN/>
        <w:bidi w:val="0"/>
        <w:adjustRightInd w:val="0"/>
        <w:snapToGrid w:val="0"/>
        <w:spacing w:before="0" w:after="0" w:line="520" w:lineRule="exact"/>
        <w:ind w:firstLine="643" w:firstLineChars="200"/>
        <w:textAlignment w:val="auto"/>
        <w:rPr>
          <w:rFonts w:hint="eastAsia" w:ascii="方正黑体_GBK" w:hAnsi="方正黑体_GBK" w:eastAsia="方正黑体_GBK" w:cs="方正黑体_GBK"/>
          <w:color w:val="auto"/>
          <w:sz w:val="32"/>
          <w:szCs w:val="32"/>
        </w:rPr>
      </w:pPr>
      <w:bookmarkStart w:id="125" w:name="_Toc21054"/>
      <w:bookmarkStart w:id="126" w:name="_Toc2320"/>
      <w:bookmarkStart w:id="127" w:name="_Toc7818"/>
      <w:bookmarkStart w:id="128" w:name="_Toc106030891"/>
      <w:bookmarkStart w:id="129" w:name="_Toc76462336"/>
      <w:r>
        <w:rPr>
          <w:rFonts w:hint="eastAsia" w:ascii="方正黑体_GBK" w:hAnsi="方正黑体_GBK" w:eastAsia="方正黑体_GBK" w:cs="方正黑体_GBK"/>
          <w:color w:val="auto"/>
          <w:sz w:val="32"/>
          <w:szCs w:val="32"/>
        </w:rPr>
        <w:t>四、</w:t>
      </w:r>
      <w:r>
        <w:rPr>
          <w:rFonts w:hint="eastAsia" w:ascii="方正黑体_GBK" w:hAnsi="方正黑体_GBK" w:eastAsia="方正黑体_GBK" w:cs="方正黑体_GBK"/>
          <w:color w:val="auto"/>
          <w:sz w:val="32"/>
          <w:szCs w:val="32"/>
          <w:lang w:val="en-US" w:eastAsia="zh-CN"/>
        </w:rPr>
        <w:t>竞争性磋商</w:t>
      </w:r>
      <w:r>
        <w:rPr>
          <w:rFonts w:hint="eastAsia" w:ascii="方正黑体_GBK" w:hAnsi="方正黑体_GBK" w:eastAsia="方正黑体_GBK" w:cs="方正黑体_GBK"/>
          <w:color w:val="auto"/>
          <w:sz w:val="32"/>
          <w:szCs w:val="32"/>
        </w:rPr>
        <w:t>终止</w:t>
      </w:r>
      <w:bookmarkEnd w:id="125"/>
      <w:bookmarkEnd w:id="126"/>
      <w:bookmarkEnd w:id="127"/>
      <w:bookmarkEnd w:id="128"/>
      <w:bookmarkEnd w:id="129"/>
    </w:p>
    <w:p>
      <w:pPr>
        <w:pageBreakBefore w:val="0"/>
        <w:widowControl w:val="0"/>
        <w:kinsoku/>
        <w:wordWrap/>
        <w:overflowPunct/>
        <w:topLinePunct w:val="0"/>
        <w:autoSpaceDE/>
        <w:autoSpaceDN/>
        <w:bidi w:val="0"/>
        <w:snapToGrid w:val="0"/>
        <w:spacing w:line="520" w:lineRule="exact"/>
        <w:ind w:firstLine="46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出现下列情形之一的，采购人应当终止</w:t>
      </w:r>
      <w:r>
        <w:rPr>
          <w:rFonts w:hint="eastAsia" w:ascii="仿宋_GB2312" w:hAnsi="仿宋_GB2312" w:eastAsia="仿宋_GB2312" w:cs="仿宋_GB2312"/>
          <w:color w:val="auto"/>
          <w:sz w:val="32"/>
          <w:szCs w:val="32"/>
          <w:lang w:val="en-US" w:eastAsia="zh-CN"/>
        </w:rPr>
        <w:t>竞争性磋商</w:t>
      </w:r>
      <w:r>
        <w:rPr>
          <w:rFonts w:hint="eastAsia" w:ascii="仿宋_GB2312" w:hAnsi="仿宋_GB2312" w:eastAsia="仿宋_GB2312" w:cs="仿宋_GB2312"/>
          <w:color w:val="auto"/>
          <w:sz w:val="32"/>
          <w:szCs w:val="32"/>
        </w:rPr>
        <w:t>活动，发布项目终止公告并说明原因，重新开展采购活动：</w:t>
      </w:r>
    </w:p>
    <w:p>
      <w:pPr>
        <w:pageBreakBefore w:val="0"/>
        <w:widowControl w:val="0"/>
        <w:kinsoku/>
        <w:wordWrap/>
        <w:overflowPunct/>
        <w:topLinePunct w:val="0"/>
        <w:autoSpaceDE/>
        <w:autoSpaceDN/>
        <w:bidi w:val="0"/>
        <w:snapToGrid w:val="0"/>
        <w:spacing w:line="520" w:lineRule="exact"/>
        <w:ind w:firstLine="46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（一）因情况变化，不再符合规定的</w:t>
      </w:r>
      <w:r>
        <w:rPr>
          <w:rFonts w:hint="eastAsia" w:ascii="仿宋_GB2312" w:hAnsi="仿宋_GB2312" w:eastAsia="仿宋_GB2312" w:cs="仿宋_GB2312"/>
          <w:color w:val="auto"/>
          <w:sz w:val="32"/>
          <w:szCs w:val="32"/>
          <w:lang w:val="en-US" w:eastAsia="zh-CN"/>
        </w:rPr>
        <w:t>竞争性磋商</w:t>
      </w:r>
      <w:r>
        <w:rPr>
          <w:rFonts w:hint="eastAsia" w:ascii="仿宋_GB2312" w:hAnsi="仿宋_GB2312" w:eastAsia="仿宋_GB2312" w:cs="仿宋_GB2312"/>
          <w:color w:val="auto"/>
          <w:sz w:val="32"/>
          <w:szCs w:val="32"/>
        </w:rPr>
        <w:t>方式适用情形的；</w:t>
      </w:r>
    </w:p>
    <w:p>
      <w:pPr>
        <w:pageBreakBefore w:val="0"/>
        <w:widowControl w:val="0"/>
        <w:kinsoku/>
        <w:wordWrap/>
        <w:overflowPunct/>
        <w:topLinePunct w:val="0"/>
        <w:autoSpaceDE/>
        <w:autoSpaceDN/>
        <w:bidi w:val="0"/>
        <w:snapToGrid w:val="0"/>
        <w:spacing w:line="520" w:lineRule="exact"/>
        <w:ind w:firstLine="46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（二）出现影响采购公正的违法、违规行为的；</w:t>
      </w:r>
    </w:p>
    <w:p>
      <w:pPr>
        <w:pageBreakBefore w:val="0"/>
        <w:widowControl w:val="0"/>
        <w:kinsoku/>
        <w:wordWrap/>
        <w:overflowPunct/>
        <w:topLinePunct w:val="0"/>
        <w:autoSpaceDE/>
        <w:autoSpaceDN/>
        <w:bidi w:val="0"/>
        <w:snapToGrid w:val="0"/>
        <w:spacing w:line="520" w:lineRule="exact"/>
        <w:ind w:firstLine="46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（三）在采购过程中符合要求的供应商或者报价未超过采购预算的供应商不足3家的，但《政府采购竞争性磋商采购方式管理暂行办法》第二十一条第三款规定的情形除外。</w:t>
      </w:r>
    </w:p>
    <w:p>
      <w:pPr>
        <w:pStyle w:val="4"/>
        <w:pageBreakBefore/>
        <w:spacing w:before="0" w:after="0" w:line="360" w:lineRule="auto"/>
        <w:jc w:val="center"/>
        <w:rPr>
          <w:rFonts w:hint="eastAsia" w:ascii="方正小标宋_GBK" w:hAnsi="宋体" w:eastAsia="方正小标宋_GBK"/>
          <w:b w:val="0"/>
          <w:bCs/>
          <w:color w:val="auto"/>
          <w:sz w:val="36"/>
          <w:szCs w:val="30"/>
        </w:rPr>
      </w:pPr>
      <w:bookmarkStart w:id="130" w:name="_Toc106030892"/>
      <w:bookmarkStart w:id="131" w:name="_Toc32240"/>
      <w:bookmarkStart w:id="132" w:name="_Toc24131"/>
      <w:bookmarkStart w:id="133" w:name="_Toc76462337"/>
      <w:bookmarkStart w:id="134" w:name="_Toc102227313"/>
      <w:bookmarkStart w:id="135" w:name="_Toc17627"/>
      <w:r>
        <w:rPr>
          <w:rFonts w:hint="eastAsia" w:ascii="方正小标宋_GBK" w:hAnsi="方正小标宋_GBK" w:eastAsia="方正小标宋_GBK" w:cs="方正小标宋_GBK"/>
          <w:b w:val="0"/>
          <w:bCs/>
          <w:color w:val="auto"/>
          <w:sz w:val="44"/>
          <w:szCs w:val="44"/>
        </w:rPr>
        <w:t>第五篇  供应商须知</w:t>
      </w:r>
      <w:bookmarkEnd w:id="130"/>
      <w:bookmarkEnd w:id="131"/>
      <w:bookmarkEnd w:id="132"/>
      <w:bookmarkEnd w:id="133"/>
      <w:bookmarkEnd w:id="134"/>
      <w:bookmarkEnd w:id="135"/>
    </w:p>
    <w:p>
      <w:pPr>
        <w:pStyle w:val="4"/>
        <w:pageBreakBefore w:val="0"/>
        <w:widowControl w:val="0"/>
        <w:kinsoku/>
        <w:wordWrap/>
        <w:overflowPunct/>
        <w:topLinePunct w:val="0"/>
        <w:autoSpaceDE/>
        <w:autoSpaceDN/>
        <w:bidi w:val="0"/>
        <w:adjustRightInd w:val="0"/>
        <w:snapToGrid w:val="0"/>
        <w:spacing w:before="0" w:after="0" w:line="560" w:lineRule="exact"/>
        <w:ind w:firstLine="643" w:firstLineChars="200"/>
        <w:textAlignment w:val="auto"/>
        <w:rPr>
          <w:rFonts w:hint="eastAsia" w:ascii="方正黑体_GBK" w:hAnsi="方正黑体_GBK" w:eastAsia="方正黑体_GBK" w:cs="方正黑体_GBK"/>
          <w:color w:val="auto"/>
          <w:sz w:val="32"/>
          <w:szCs w:val="32"/>
        </w:rPr>
      </w:pPr>
      <w:bookmarkStart w:id="136" w:name="_Toc11013"/>
      <w:bookmarkStart w:id="137" w:name="_Toc342913389"/>
      <w:bookmarkStart w:id="138" w:name="_Toc76462338"/>
      <w:bookmarkStart w:id="139" w:name="_Toc27879"/>
      <w:bookmarkStart w:id="140" w:name="_Toc22763"/>
      <w:bookmarkStart w:id="141" w:name="_Toc106030893"/>
      <w:r>
        <w:rPr>
          <w:rFonts w:hint="eastAsia" w:ascii="方正黑体_GBK" w:hAnsi="方正黑体_GBK" w:eastAsia="方正黑体_GBK" w:cs="方正黑体_GBK"/>
          <w:color w:val="auto"/>
          <w:sz w:val="32"/>
          <w:szCs w:val="32"/>
        </w:rPr>
        <w:t>一、</w:t>
      </w:r>
      <w:r>
        <w:rPr>
          <w:rFonts w:hint="eastAsia" w:ascii="方正黑体_GBK" w:hAnsi="方正黑体_GBK" w:eastAsia="方正黑体_GBK" w:cs="方正黑体_GBK"/>
          <w:color w:val="auto"/>
          <w:sz w:val="32"/>
          <w:szCs w:val="32"/>
          <w:lang w:val="en-US" w:eastAsia="zh-CN"/>
        </w:rPr>
        <w:t>竞争性磋商</w:t>
      </w:r>
      <w:r>
        <w:rPr>
          <w:rFonts w:hint="eastAsia" w:ascii="方正黑体_GBK" w:hAnsi="方正黑体_GBK" w:eastAsia="方正黑体_GBK" w:cs="方正黑体_GBK"/>
          <w:color w:val="auto"/>
          <w:sz w:val="32"/>
          <w:szCs w:val="32"/>
        </w:rPr>
        <w:t>费用</w:t>
      </w:r>
      <w:bookmarkEnd w:id="136"/>
      <w:bookmarkEnd w:id="137"/>
      <w:bookmarkEnd w:id="138"/>
      <w:bookmarkEnd w:id="139"/>
      <w:bookmarkEnd w:id="140"/>
      <w:bookmarkEnd w:id="141"/>
    </w:p>
    <w:p>
      <w:pPr>
        <w:pStyle w:val="18"/>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参与</w:t>
      </w:r>
      <w:r>
        <w:rPr>
          <w:rFonts w:hint="eastAsia" w:ascii="方正仿宋_GBK" w:eastAsia="方正仿宋_GBK"/>
          <w:color w:val="auto"/>
          <w:sz w:val="32"/>
          <w:szCs w:val="32"/>
          <w:lang w:val="en-US" w:eastAsia="zh-CN"/>
        </w:rPr>
        <w:t>竞争性磋商</w:t>
      </w:r>
      <w:r>
        <w:rPr>
          <w:rFonts w:hint="eastAsia" w:ascii="方正仿宋_GBK" w:hAnsi="宋体" w:eastAsia="方正仿宋_GBK"/>
          <w:color w:val="auto"/>
          <w:sz w:val="32"/>
          <w:szCs w:val="32"/>
        </w:rPr>
        <w:t>的供应商应承担其编制响应文件与递交响应文件所涉及的一切费用，不论</w:t>
      </w:r>
      <w:r>
        <w:rPr>
          <w:rFonts w:hint="eastAsia" w:ascii="方正仿宋_GBK" w:hAnsi="宋体" w:eastAsia="方正仿宋_GBK" w:cs="宋体"/>
          <w:color w:val="auto"/>
          <w:kern w:val="0"/>
          <w:sz w:val="32"/>
          <w:szCs w:val="32"/>
          <w:lang w:val="en-US" w:eastAsia="zh-CN"/>
        </w:rPr>
        <w:t>竞争性磋商</w:t>
      </w:r>
      <w:r>
        <w:rPr>
          <w:rFonts w:hint="eastAsia" w:ascii="方正仿宋_GBK" w:hAnsi="宋体" w:eastAsia="方正仿宋_GBK"/>
          <w:color w:val="auto"/>
          <w:sz w:val="32"/>
          <w:szCs w:val="32"/>
        </w:rPr>
        <w:t>结果如何，采购人在任何情况下无义务也无责任承担这些费用。</w:t>
      </w:r>
    </w:p>
    <w:p>
      <w:pPr>
        <w:pStyle w:val="4"/>
        <w:pageBreakBefore w:val="0"/>
        <w:widowControl w:val="0"/>
        <w:kinsoku/>
        <w:wordWrap/>
        <w:overflowPunct/>
        <w:topLinePunct w:val="0"/>
        <w:autoSpaceDE/>
        <w:autoSpaceDN/>
        <w:bidi w:val="0"/>
        <w:adjustRightInd w:val="0"/>
        <w:snapToGrid w:val="0"/>
        <w:spacing w:before="0" w:after="0" w:line="560" w:lineRule="exact"/>
        <w:ind w:firstLine="643" w:firstLineChars="200"/>
        <w:textAlignment w:val="auto"/>
        <w:rPr>
          <w:rFonts w:hint="eastAsia" w:ascii="方正黑体_GBK" w:hAnsi="方正黑体_GBK" w:eastAsia="方正黑体_GBK" w:cs="方正黑体_GBK"/>
          <w:color w:val="auto"/>
          <w:sz w:val="32"/>
          <w:szCs w:val="32"/>
        </w:rPr>
      </w:pPr>
      <w:bookmarkStart w:id="142" w:name="_Toc23656"/>
      <w:bookmarkStart w:id="143" w:name="_Toc342913391"/>
      <w:bookmarkStart w:id="144" w:name="_Toc76462339"/>
      <w:bookmarkStart w:id="145" w:name="_Toc106030894"/>
      <w:bookmarkStart w:id="146" w:name="_Toc11832"/>
      <w:bookmarkStart w:id="147" w:name="_Toc6764"/>
      <w:r>
        <w:rPr>
          <w:rFonts w:hint="eastAsia" w:ascii="方正黑体_GBK" w:hAnsi="方正黑体_GBK" w:eastAsia="方正黑体_GBK" w:cs="方正黑体_GBK"/>
          <w:color w:val="auto"/>
          <w:sz w:val="32"/>
          <w:szCs w:val="32"/>
        </w:rPr>
        <w:t>二、</w:t>
      </w:r>
      <w:r>
        <w:rPr>
          <w:rFonts w:hint="eastAsia" w:ascii="方正黑体_GBK" w:hAnsi="方正黑体_GBK" w:eastAsia="方正黑体_GBK" w:cs="方正黑体_GBK"/>
          <w:color w:val="auto"/>
          <w:sz w:val="32"/>
          <w:szCs w:val="32"/>
          <w:lang w:val="en-US" w:eastAsia="zh-CN"/>
        </w:rPr>
        <w:t>竞争性磋商</w:t>
      </w:r>
      <w:r>
        <w:rPr>
          <w:rFonts w:hint="eastAsia" w:ascii="方正黑体_GBK" w:hAnsi="方正黑体_GBK" w:eastAsia="方正黑体_GBK" w:cs="方正黑体_GBK"/>
          <w:color w:val="auto"/>
          <w:sz w:val="32"/>
          <w:szCs w:val="32"/>
        </w:rPr>
        <w:t>文件</w:t>
      </w:r>
      <w:bookmarkEnd w:id="142"/>
      <w:bookmarkEnd w:id="143"/>
      <w:bookmarkEnd w:id="144"/>
      <w:bookmarkEnd w:id="145"/>
      <w:bookmarkEnd w:id="146"/>
      <w:bookmarkEnd w:id="147"/>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（一）</w:t>
      </w:r>
      <w:r>
        <w:rPr>
          <w:rFonts w:hint="eastAsia" w:ascii="方正仿宋_GBK" w:hAnsi="宋体" w:eastAsia="方正仿宋_GBK"/>
          <w:color w:val="auto"/>
          <w:sz w:val="32"/>
          <w:szCs w:val="32"/>
          <w:lang w:val="en-US" w:eastAsia="zh-CN"/>
        </w:rPr>
        <w:t>竞争性磋商</w:t>
      </w:r>
      <w:r>
        <w:rPr>
          <w:rFonts w:hint="eastAsia" w:ascii="方正仿宋_GBK" w:hAnsi="宋体" w:eastAsia="方正仿宋_GBK"/>
          <w:color w:val="auto"/>
          <w:sz w:val="32"/>
          <w:szCs w:val="32"/>
        </w:rPr>
        <w:t>文件由采购邀请书、项目服务需求、供应商须知、项目商务需求、</w:t>
      </w:r>
      <w:r>
        <w:rPr>
          <w:rFonts w:hint="eastAsia" w:ascii="方正仿宋_GBK" w:hAnsi="宋体" w:eastAsia="方正仿宋_GBK" w:cs="宋体"/>
          <w:color w:val="auto"/>
          <w:kern w:val="0"/>
          <w:sz w:val="32"/>
          <w:szCs w:val="32"/>
          <w:lang w:val="en-US" w:eastAsia="zh-CN"/>
        </w:rPr>
        <w:t>竞争性磋商</w:t>
      </w:r>
      <w:r>
        <w:rPr>
          <w:rFonts w:hint="eastAsia" w:ascii="方正仿宋_GBK" w:hAnsi="宋体" w:eastAsia="方正仿宋_GBK"/>
          <w:color w:val="auto"/>
          <w:sz w:val="32"/>
          <w:szCs w:val="32"/>
        </w:rPr>
        <w:t>程序及方法、评审标准、无效响应和采购终止、供应商须知</w:t>
      </w:r>
      <w:r>
        <w:rPr>
          <w:rFonts w:hint="eastAsia" w:ascii="方正仿宋_GBK" w:hAnsi="宋体" w:eastAsia="方正仿宋_GBK"/>
          <w:b/>
          <w:color w:val="auto"/>
          <w:sz w:val="32"/>
          <w:szCs w:val="32"/>
        </w:rPr>
        <w:t>、</w:t>
      </w:r>
      <w:r>
        <w:rPr>
          <w:rFonts w:hint="eastAsia" w:ascii="方正仿宋_GBK" w:hAnsi="宋体" w:eastAsia="方正仿宋_GBK"/>
          <w:color w:val="auto"/>
          <w:sz w:val="32"/>
          <w:szCs w:val="32"/>
        </w:rPr>
        <w:t>政府采购合同</w:t>
      </w:r>
      <w:r>
        <w:rPr>
          <w:rFonts w:hint="eastAsia" w:ascii="方正仿宋_GBK" w:hAnsi="宋体" w:eastAsia="方正仿宋_GBK"/>
          <w:b/>
          <w:color w:val="auto"/>
          <w:sz w:val="32"/>
          <w:szCs w:val="32"/>
        </w:rPr>
        <w:t>、</w:t>
      </w:r>
      <w:r>
        <w:rPr>
          <w:rFonts w:hint="eastAsia" w:ascii="方正仿宋_GBK" w:hAnsi="宋体" w:eastAsia="方正仿宋_GBK"/>
          <w:color w:val="auto"/>
          <w:sz w:val="32"/>
          <w:szCs w:val="32"/>
        </w:rPr>
        <w:t>响应文件编制要求七部分组成。</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（二）采购人所作的一切有效的书面通知、修改及补充，都是</w:t>
      </w:r>
      <w:r>
        <w:rPr>
          <w:rFonts w:hint="eastAsia" w:ascii="方正仿宋_GBK" w:hAnsi="宋体" w:eastAsia="方正仿宋_GBK" w:cs="宋体"/>
          <w:color w:val="auto"/>
          <w:kern w:val="0"/>
          <w:sz w:val="32"/>
          <w:szCs w:val="32"/>
          <w:lang w:val="en-US" w:eastAsia="zh-CN"/>
        </w:rPr>
        <w:t>竞争性磋商</w:t>
      </w:r>
      <w:r>
        <w:rPr>
          <w:rFonts w:hint="eastAsia" w:ascii="方正仿宋_GBK" w:hAnsi="宋体" w:eastAsia="方正仿宋_GBK"/>
          <w:color w:val="auto"/>
          <w:sz w:val="32"/>
          <w:szCs w:val="32"/>
          <w:lang w:eastAsia="zh-CN"/>
        </w:rPr>
        <w:t>采购</w:t>
      </w:r>
      <w:r>
        <w:rPr>
          <w:rFonts w:hint="eastAsia" w:ascii="方正仿宋_GBK" w:hAnsi="宋体" w:eastAsia="方正仿宋_GBK"/>
          <w:color w:val="auto"/>
          <w:sz w:val="32"/>
          <w:szCs w:val="32"/>
        </w:rPr>
        <w:t>文件不可分割的部分。</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（三）</w:t>
      </w:r>
      <w:r>
        <w:rPr>
          <w:rFonts w:hint="eastAsia" w:ascii="方正仿宋_GBK" w:hAnsi="宋体" w:eastAsia="方正仿宋_GBK"/>
          <w:color w:val="auto"/>
          <w:sz w:val="32"/>
          <w:szCs w:val="32"/>
          <w:lang w:val="en-US" w:eastAsia="zh-CN"/>
        </w:rPr>
        <w:t>竞争性磋商</w:t>
      </w:r>
      <w:r>
        <w:rPr>
          <w:rFonts w:hint="eastAsia" w:ascii="方正仿宋_GBK" w:hAnsi="宋体" w:eastAsia="方正仿宋_GBK"/>
          <w:color w:val="auto"/>
          <w:sz w:val="32"/>
          <w:szCs w:val="32"/>
        </w:rPr>
        <w:t>文件的解释</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供应商如对</w:t>
      </w:r>
      <w:r>
        <w:rPr>
          <w:rFonts w:hint="eastAsia" w:ascii="方正仿宋_GBK" w:hAnsi="宋体" w:eastAsia="方正仿宋_GBK"/>
          <w:color w:val="auto"/>
          <w:sz w:val="32"/>
          <w:szCs w:val="32"/>
          <w:lang w:val="en-US" w:eastAsia="zh-CN"/>
        </w:rPr>
        <w:t>竞争性磋商</w:t>
      </w:r>
      <w:r>
        <w:rPr>
          <w:rFonts w:hint="eastAsia" w:ascii="方正仿宋_GBK" w:hAnsi="宋体" w:eastAsia="方正仿宋_GBK"/>
          <w:color w:val="auto"/>
          <w:sz w:val="32"/>
          <w:szCs w:val="32"/>
        </w:rPr>
        <w:t>文件有疑问，以</w:t>
      </w:r>
      <w:r>
        <w:rPr>
          <w:rFonts w:hint="eastAsia" w:ascii="方正仿宋_GBK" w:hAnsi="宋体" w:eastAsia="方正仿宋_GBK"/>
          <w:color w:val="auto"/>
          <w:sz w:val="32"/>
          <w:szCs w:val="32"/>
          <w:lang w:eastAsia="zh-CN"/>
        </w:rPr>
        <w:t>电话形式</w:t>
      </w:r>
      <w:r>
        <w:rPr>
          <w:rFonts w:hint="eastAsia" w:ascii="方正仿宋_GBK" w:hAnsi="宋体" w:eastAsia="方正仿宋_GBK"/>
          <w:color w:val="auto"/>
          <w:sz w:val="32"/>
          <w:szCs w:val="32"/>
        </w:rPr>
        <w:t>在提交响应文件截止时间</w:t>
      </w:r>
      <w:r>
        <w:rPr>
          <w:rFonts w:hint="eastAsia" w:ascii="方正仿宋_GBK" w:hAnsi="宋体" w:eastAsia="方正仿宋_GBK"/>
          <w:color w:val="auto"/>
          <w:sz w:val="32"/>
          <w:szCs w:val="32"/>
          <w:lang w:val="en-US" w:eastAsia="zh-CN"/>
        </w:rPr>
        <w:t>1</w:t>
      </w:r>
      <w:r>
        <w:rPr>
          <w:rFonts w:hint="eastAsia" w:ascii="方正仿宋_GBK" w:hAnsi="宋体" w:eastAsia="方正仿宋_GBK"/>
          <w:color w:val="auto"/>
          <w:sz w:val="32"/>
          <w:szCs w:val="32"/>
        </w:rPr>
        <w:t>个工作日前向采购人</w:t>
      </w:r>
      <w:r>
        <w:rPr>
          <w:rFonts w:hint="eastAsia" w:ascii="方正仿宋_GBK" w:hAnsi="宋体" w:eastAsia="方正仿宋_GBK"/>
          <w:color w:val="auto"/>
          <w:sz w:val="32"/>
          <w:szCs w:val="32"/>
          <w:lang w:eastAsia="zh-CN"/>
        </w:rPr>
        <w:t>咨询</w:t>
      </w:r>
      <w:r>
        <w:rPr>
          <w:rFonts w:hint="eastAsia" w:ascii="方正仿宋_GBK" w:hAnsi="宋体" w:eastAsia="方正仿宋_GBK"/>
          <w:color w:val="auto"/>
          <w:sz w:val="32"/>
          <w:szCs w:val="32"/>
        </w:rPr>
        <w:t>。如供应商未提出疑问，视为完全理解并同意本</w:t>
      </w:r>
      <w:r>
        <w:rPr>
          <w:rFonts w:hint="eastAsia" w:ascii="方正仿宋_GBK" w:hAnsi="宋体" w:eastAsia="方正仿宋_GBK"/>
          <w:color w:val="auto"/>
          <w:sz w:val="32"/>
          <w:szCs w:val="32"/>
          <w:lang w:val="en-US" w:eastAsia="zh-CN"/>
        </w:rPr>
        <w:t>竞争性磋商</w:t>
      </w:r>
      <w:r>
        <w:rPr>
          <w:rFonts w:hint="eastAsia" w:ascii="方正仿宋_GBK" w:hAnsi="宋体" w:eastAsia="方正仿宋_GBK"/>
          <w:color w:val="auto"/>
          <w:sz w:val="32"/>
          <w:szCs w:val="32"/>
        </w:rPr>
        <w:t>文件。一经进入</w:t>
      </w:r>
      <w:r>
        <w:rPr>
          <w:rFonts w:hint="eastAsia" w:ascii="方正仿宋_GBK" w:hAnsi="宋体" w:eastAsia="方正仿宋_GBK"/>
          <w:color w:val="auto"/>
          <w:sz w:val="32"/>
          <w:szCs w:val="32"/>
          <w:lang w:val="en-US" w:eastAsia="zh-CN"/>
        </w:rPr>
        <w:t>竞争性磋商</w:t>
      </w:r>
      <w:r>
        <w:rPr>
          <w:rFonts w:hint="eastAsia" w:ascii="方正仿宋_GBK" w:hAnsi="宋体" w:eastAsia="方正仿宋_GBK"/>
          <w:color w:val="auto"/>
          <w:sz w:val="32"/>
          <w:szCs w:val="32"/>
        </w:rPr>
        <w:t>程序，即视为供应商已详细阅读全部文件资料，完全理解</w:t>
      </w:r>
      <w:r>
        <w:rPr>
          <w:rFonts w:hint="eastAsia" w:ascii="方正仿宋_GBK" w:hAnsi="宋体" w:eastAsia="方正仿宋_GBK"/>
          <w:color w:val="auto"/>
          <w:sz w:val="32"/>
          <w:szCs w:val="32"/>
          <w:lang w:val="en-US" w:eastAsia="zh-CN"/>
        </w:rPr>
        <w:t>竞争性磋商</w:t>
      </w:r>
      <w:r>
        <w:rPr>
          <w:rFonts w:hint="eastAsia" w:ascii="方正仿宋_GBK" w:hAnsi="宋体" w:eastAsia="方正仿宋_GBK"/>
          <w:color w:val="auto"/>
          <w:sz w:val="32"/>
          <w:szCs w:val="32"/>
        </w:rPr>
        <w:t>文件所有条款内容并同意放弃对这方面有不明白及误解的权利。</w:t>
      </w:r>
      <w:bookmarkStart w:id="148" w:name="_Toc318159349"/>
      <w:bookmarkStart w:id="149" w:name="_Toc318166429"/>
      <w:bookmarkStart w:id="150" w:name="_Toc318159780"/>
      <w:bookmarkStart w:id="151" w:name="_Toc318159160"/>
    </w:p>
    <w:p>
      <w:pPr>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（四）本</w:t>
      </w:r>
      <w:r>
        <w:rPr>
          <w:rFonts w:hint="eastAsia" w:ascii="方正仿宋_GBK" w:hAnsi="宋体" w:eastAsia="方正仿宋_GBK"/>
          <w:color w:val="auto"/>
          <w:sz w:val="32"/>
          <w:szCs w:val="32"/>
          <w:lang w:val="en-US" w:eastAsia="zh-CN"/>
        </w:rPr>
        <w:t>竞争性磋商</w:t>
      </w:r>
      <w:r>
        <w:rPr>
          <w:rFonts w:hint="eastAsia" w:ascii="方正仿宋_GBK" w:hAnsi="宋体" w:eastAsia="方正仿宋_GBK"/>
          <w:color w:val="auto"/>
          <w:sz w:val="32"/>
          <w:szCs w:val="32"/>
        </w:rPr>
        <w:t>文件中，</w:t>
      </w:r>
      <w:r>
        <w:rPr>
          <w:rFonts w:hint="eastAsia" w:ascii="方正仿宋_GBK" w:hAnsi="宋体" w:eastAsia="方正仿宋_GBK"/>
          <w:color w:val="auto"/>
          <w:sz w:val="32"/>
          <w:szCs w:val="32"/>
          <w:lang w:val="en-US" w:eastAsia="zh-CN"/>
        </w:rPr>
        <w:t>采购</w:t>
      </w:r>
      <w:r>
        <w:rPr>
          <w:rFonts w:hint="eastAsia" w:ascii="方正仿宋_GBK" w:hAnsi="宋体" w:eastAsia="方正仿宋_GBK"/>
          <w:color w:val="auto"/>
          <w:sz w:val="32"/>
          <w:szCs w:val="32"/>
        </w:rPr>
        <w:t>小组根据与供应商进行</w:t>
      </w:r>
      <w:r>
        <w:rPr>
          <w:rFonts w:hint="eastAsia" w:ascii="方正仿宋_GBK" w:hAnsi="宋体" w:eastAsia="方正仿宋_GBK"/>
          <w:color w:val="auto"/>
          <w:sz w:val="32"/>
          <w:szCs w:val="32"/>
          <w:lang w:val="en-US" w:eastAsia="zh-CN"/>
        </w:rPr>
        <w:t>按照竞争性磋商</w:t>
      </w:r>
      <w:r>
        <w:rPr>
          <w:rFonts w:hint="eastAsia" w:ascii="方正仿宋_GBK" w:hAnsi="宋体" w:eastAsia="方正仿宋_GBK"/>
          <w:color w:val="auto"/>
          <w:sz w:val="32"/>
          <w:szCs w:val="32"/>
        </w:rPr>
        <w:t>文件第二、三、六篇全部内容</w:t>
      </w:r>
      <w:r>
        <w:rPr>
          <w:rFonts w:hint="eastAsia" w:ascii="方正仿宋_GBK" w:hAnsi="宋体" w:eastAsia="方正仿宋_GBK"/>
          <w:color w:val="auto"/>
          <w:sz w:val="32"/>
          <w:szCs w:val="32"/>
          <w:lang w:val="en-US" w:eastAsia="zh-CN"/>
        </w:rPr>
        <w:t>进行竞争性磋商</w:t>
      </w:r>
      <w:r>
        <w:rPr>
          <w:rFonts w:hint="eastAsia" w:ascii="方正仿宋_GBK" w:hAnsi="宋体" w:eastAsia="方正仿宋_GBK"/>
          <w:color w:val="auto"/>
          <w:sz w:val="32"/>
          <w:szCs w:val="32"/>
        </w:rPr>
        <w:t>。</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（五）评审的依据为</w:t>
      </w:r>
      <w:r>
        <w:rPr>
          <w:rFonts w:hint="eastAsia" w:ascii="方正仿宋_GBK" w:hAnsi="宋体" w:eastAsia="方正仿宋_GBK"/>
          <w:color w:val="auto"/>
          <w:sz w:val="32"/>
          <w:szCs w:val="32"/>
          <w:lang w:val="en-US" w:eastAsia="zh-CN"/>
        </w:rPr>
        <w:t>竞争性磋商</w:t>
      </w:r>
      <w:r>
        <w:rPr>
          <w:rFonts w:hint="eastAsia" w:ascii="方正仿宋_GBK" w:hAnsi="宋体" w:eastAsia="方正仿宋_GBK"/>
          <w:color w:val="auto"/>
          <w:sz w:val="32"/>
          <w:szCs w:val="32"/>
        </w:rPr>
        <w:t>文件和响应文件（含有效的书面承诺）。</w:t>
      </w:r>
      <w:r>
        <w:rPr>
          <w:rFonts w:hint="eastAsia" w:ascii="方正仿宋_GBK" w:hAnsi="宋体" w:eastAsia="方正仿宋_GBK"/>
          <w:color w:val="auto"/>
          <w:sz w:val="32"/>
          <w:szCs w:val="32"/>
          <w:lang w:val="en-US" w:eastAsia="zh-CN"/>
        </w:rPr>
        <w:t>采购</w:t>
      </w:r>
      <w:r>
        <w:rPr>
          <w:rFonts w:hint="eastAsia" w:ascii="方正仿宋_GBK" w:hAnsi="宋体" w:eastAsia="方正仿宋_GBK"/>
          <w:color w:val="auto"/>
          <w:sz w:val="32"/>
          <w:szCs w:val="32"/>
        </w:rPr>
        <w:t>小组判断响应文件对</w:t>
      </w:r>
      <w:r>
        <w:rPr>
          <w:rFonts w:hint="eastAsia" w:ascii="方正仿宋_GBK" w:hAnsi="宋体" w:eastAsia="方正仿宋_GBK"/>
          <w:color w:val="auto"/>
          <w:sz w:val="32"/>
          <w:szCs w:val="32"/>
          <w:lang w:val="en-US" w:eastAsia="zh-CN"/>
        </w:rPr>
        <w:t>竞争性磋商</w:t>
      </w:r>
      <w:r>
        <w:rPr>
          <w:rFonts w:hint="eastAsia" w:ascii="方正仿宋_GBK" w:hAnsi="宋体" w:eastAsia="方正仿宋_GBK"/>
          <w:color w:val="auto"/>
          <w:sz w:val="32"/>
          <w:szCs w:val="32"/>
        </w:rPr>
        <w:t>文件的响应，仅基于响应文件本身而不靠外部证据。</w:t>
      </w:r>
    </w:p>
    <w:bookmarkEnd w:id="148"/>
    <w:bookmarkEnd w:id="149"/>
    <w:bookmarkEnd w:id="150"/>
    <w:bookmarkEnd w:id="151"/>
    <w:p>
      <w:pPr>
        <w:pStyle w:val="4"/>
        <w:pageBreakBefore w:val="0"/>
        <w:widowControl w:val="0"/>
        <w:kinsoku/>
        <w:wordWrap/>
        <w:overflowPunct/>
        <w:topLinePunct w:val="0"/>
        <w:autoSpaceDE/>
        <w:autoSpaceDN/>
        <w:bidi w:val="0"/>
        <w:adjustRightInd w:val="0"/>
        <w:snapToGrid w:val="0"/>
        <w:spacing w:before="0" w:after="0" w:line="560" w:lineRule="exact"/>
        <w:ind w:firstLine="643" w:firstLineChars="200"/>
        <w:textAlignment w:val="auto"/>
        <w:rPr>
          <w:rFonts w:hint="eastAsia" w:ascii="方正仿宋_GBK" w:hAnsi="宋体" w:eastAsia="方正仿宋_GBK"/>
          <w:color w:val="auto"/>
          <w:sz w:val="32"/>
          <w:szCs w:val="32"/>
        </w:rPr>
      </w:pPr>
      <w:bookmarkStart w:id="152" w:name="_Toc29817"/>
      <w:bookmarkStart w:id="153" w:name="_Toc102227318"/>
      <w:bookmarkStart w:id="154" w:name="_Toc21698"/>
      <w:bookmarkStart w:id="155" w:name="_Toc179714297"/>
      <w:bookmarkStart w:id="156" w:name="_Toc342913392"/>
      <w:bookmarkStart w:id="157" w:name="_Toc14612"/>
      <w:bookmarkStart w:id="158" w:name="_Toc76462340"/>
      <w:bookmarkStart w:id="159" w:name="_Toc106030895"/>
      <w:r>
        <w:rPr>
          <w:rFonts w:hint="eastAsia" w:ascii="方正黑体_GBK" w:hAnsi="方正黑体_GBK" w:eastAsia="方正黑体_GBK" w:cs="方正黑体_GBK"/>
          <w:color w:val="auto"/>
          <w:sz w:val="32"/>
          <w:szCs w:val="32"/>
        </w:rPr>
        <w:t>三、</w:t>
      </w:r>
      <w:r>
        <w:rPr>
          <w:rFonts w:hint="eastAsia" w:ascii="方正黑体_GBK" w:hAnsi="方正黑体_GBK" w:eastAsia="方正黑体_GBK" w:cs="方正黑体_GBK"/>
          <w:color w:val="auto"/>
          <w:sz w:val="32"/>
          <w:szCs w:val="32"/>
          <w:lang w:val="en-US" w:eastAsia="zh-CN"/>
        </w:rPr>
        <w:t>竞争性磋商</w:t>
      </w:r>
      <w:r>
        <w:rPr>
          <w:rFonts w:hint="eastAsia" w:ascii="方正黑体_GBK" w:hAnsi="方正黑体_GBK" w:eastAsia="方正黑体_GBK" w:cs="方正黑体_GBK"/>
          <w:color w:val="auto"/>
          <w:sz w:val="32"/>
          <w:szCs w:val="32"/>
        </w:rPr>
        <w:t>要求</w:t>
      </w:r>
      <w:bookmarkEnd w:id="152"/>
      <w:bookmarkEnd w:id="153"/>
      <w:bookmarkEnd w:id="154"/>
      <w:bookmarkEnd w:id="155"/>
      <w:bookmarkEnd w:id="156"/>
      <w:bookmarkEnd w:id="157"/>
      <w:bookmarkEnd w:id="158"/>
      <w:bookmarkEnd w:id="159"/>
    </w:p>
    <w:p>
      <w:pPr>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（一）响应文件</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1.供应商应当按照</w:t>
      </w:r>
      <w:r>
        <w:rPr>
          <w:rFonts w:hint="eastAsia" w:ascii="方正仿宋_GBK" w:hAnsi="宋体" w:eastAsia="方正仿宋_GBK"/>
          <w:color w:val="auto"/>
          <w:sz w:val="32"/>
          <w:szCs w:val="32"/>
          <w:lang w:val="en-US" w:eastAsia="zh-CN"/>
        </w:rPr>
        <w:t>竞争性磋商</w:t>
      </w:r>
      <w:r>
        <w:rPr>
          <w:rFonts w:hint="eastAsia" w:ascii="方正仿宋_GBK" w:hAnsi="宋体" w:eastAsia="方正仿宋_GBK"/>
          <w:color w:val="auto"/>
          <w:sz w:val="32"/>
          <w:szCs w:val="32"/>
        </w:rPr>
        <w:t>文件的要求编制响应文件，并对</w:t>
      </w:r>
      <w:r>
        <w:rPr>
          <w:rFonts w:hint="eastAsia" w:ascii="方正仿宋_GBK" w:hAnsi="宋体" w:eastAsia="方正仿宋_GBK"/>
          <w:color w:val="auto"/>
          <w:sz w:val="32"/>
          <w:szCs w:val="32"/>
          <w:lang w:val="en-US" w:eastAsia="zh-CN"/>
        </w:rPr>
        <w:t>竞争性磋商</w:t>
      </w:r>
      <w:r>
        <w:rPr>
          <w:rFonts w:hint="eastAsia" w:ascii="方正仿宋_GBK" w:hAnsi="宋体" w:eastAsia="方正仿宋_GBK"/>
          <w:color w:val="auto"/>
          <w:sz w:val="32"/>
          <w:szCs w:val="32"/>
        </w:rPr>
        <w:t>文件提出的要求和条件作出实质性响应，响应文件原则上采用软面订本，同时应编制完整的页码、目录。</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2.响应文件组成</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宋体" w:eastAsia="方正仿宋_GBK"/>
          <w:color w:val="auto"/>
          <w:sz w:val="32"/>
          <w:szCs w:val="32"/>
          <w:lang w:eastAsia="zh-CN"/>
        </w:rPr>
      </w:pPr>
      <w:r>
        <w:rPr>
          <w:rFonts w:hint="eastAsia" w:ascii="方正仿宋_GBK" w:hAnsi="宋体" w:eastAsia="方正仿宋_GBK"/>
          <w:color w:val="auto"/>
          <w:sz w:val="32"/>
          <w:szCs w:val="32"/>
        </w:rPr>
        <w:t>（二）联合体</w:t>
      </w:r>
      <w:r>
        <w:rPr>
          <w:rFonts w:hint="eastAsia" w:ascii="方正仿宋_GBK" w:hAnsi="宋体" w:eastAsia="方正仿宋_GBK"/>
          <w:color w:val="auto"/>
          <w:sz w:val="32"/>
          <w:szCs w:val="32"/>
          <w:lang w:eastAsia="zh-CN"/>
        </w:rPr>
        <w:t>（</w:t>
      </w:r>
      <w:r>
        <w:rPr>
          <w:rFonts w:hint="eastAsia" w:ascii="方正仿宋_GBK" w:hAnsi="宋体" w:eastAsia="方正仿宋_GBK"/>
          <w:color w:val="auto"/>
          <w:sz w:val="32"/>
          <w:szCs w:val="32"/>
          <w:lang w:val="en-US" w:eastAsia="zh-CN"/>
        </w:rPr>
        <w:t>本项目不接受联合体参与投标</w:t>
      </w:r>
      <w:r>
        <w:rPr>
          <w:rFonts w:hint="eastAsia" w:ascii="方正仿宋_GBK" w:hAnsi="宋体" w:eastAsia="方正仿宋_GBK"/>
          <w:color w:val="auto"/>
          <w:sz w:val="32"/>
          <w:szCs w:val="32"/>
          <w:lang w:eastAsia="zh-CN"/>
        </w:rPr>
        <w:t>）</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（三）</w:t>
      </w:r>
      <w:r>
        <w:rPr>
          <w:rFonts w:hint="eastAsia" w:ascii="方正仿宋_GBK" w:hAnsi="宋体" w:eastAsia="方正仿宋_GBK"/>
          <w:color w:val="auto"/>
          <w:sz w:val="32"/>
          <w:szCs w:val="32"/>
          <w:lang w:val="en-US" w:eastAsia="zh-CN"/>
        </w:rPr>
        <w:t>竞争性磋商</w:t>
      </w:r>
      <w:r>
        <w:rPr>
          <w:rFonts w:hint="eastAsia" w:ascii="方正仿宋_GBK" w:hAnsi="宋体" w:eastAsia="方正仿宋_GBK"/>
          <w:color w:val="auto"/>
          <w:sz w:val="32"/>
          <w:szCs w:val="32"/>
        </w:rPr>
        <w:t>有效期：响应文件及有关承诺文件有效期为提交响应文件截止时间起90天。</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（四）修正错误</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1.若供应商所递交的响应文件或最后报价中的价格出现大写金额和小写金额不一致的错误，以大写金额修正为准。</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2.</w:t>
      </w:r>
      <w:r>
        <w:rPr>
          <w:rFonts w:hint="eastAsia" w:ascii="方正仿宋_GBK" w:hAnsi="宋体" w:eastAsia="方正仿宋_GBK"/>
          <w:color w:val="auto"/>
          <w:sz w:val="32"/>
          <w:szCs w:val="32"/>
          <w:lang w:val="en-US" w:eastAsia="zh-CN"/>
        </w:rPr>
        <w:t>采购</w:t>
      </w:r>
      <w:r>
        <w:rPr>
          <w:rFonts w:hint="eastAsia" w:ascii="方正仿宋_GBK" w:hAnsi="宋体" w:eastAsia="方正仿宋_GBK"/>
          <w:color w:val="auto"/>
          <w:sz w:val="32"/>
          <w:szCs w:val="32"/>
        </w:rPr>
        <w:t>小组按上述修正错误的原则及方法修正供应商的报价，供应商同意并签字确认后，修正后的报价对供应商具有约束作用。如果供应商不接受修正后的价格，将失去成为成交供应商的资格。</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（五）提交响应文件的份数和签署</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1.响应文件一式</w:t>
      </w:r>
      <w:r>
        <w:rPr>
          <w:rFonts w:hint="eastAsia" w:ascii="方正仿宋_GBK" w:hAnsi="宋体" w:eastAsia="方正仿宋_GBK"/>
          <w:color w:val="auto"/>
          <w:sz w:val="32"/>
          <w:szCs w:val="32"/>
          <w:lang w:val="en-US" w:eastAsia="zh-CN"/>
        </w:rPr>
        <w:t>伍</w:t>
      </w:r>
      <w:r>
        <w:rPr>
          <w:rFonts w:hint="eastAsia" w:ascii="方正仿宋_GBK" w:hAnsi="宋体" w:eastAsia="方正仿宋_GBK"/>
          <w:color w:val="auto"/>
          <w:sz w:val="32"/>
          <w:szCs w:val="32"/>
        </w:rPr>
        <w:t>份，其中正本一份，副本</w:t>
      </w:r>
      <w:r>
        <w:rPr>
          <w:rFonts w:hint="eastAsia" w:ascii="方正仿宋_GBK" w:hAnsi="宋体" w:eastAsia="方正仿宋_GBK"/>
          <w:color w:val="auto"/>
          <w:sz w:val="32"/>
          <w:szCs w:val="32"/>
          <w:lang w:val="en-US" w:eastAsia="zh-CN"/>
        </w:rPr>
        <w:t>肆</w:t>
      </w:r>
      <w:r>
        <w:rPr>
          <w:rFonts w:hint="eastAsia" w:ascii="方正仿宋_GBK" w:hAnsi="宋体" w:eastAsia="方正仿宋_GBK"/>
          <w:color w:val="auto"/>
          <w:sz w:val="32"/>
          <w:szCs w:val="32"/>
        </w:rPr>
        <w:t>份</w:t>
      </w:r>
      <w:r>
        <w:rPr>
          <w:rFonts w:hint="eastAsia" w:ascii="方正仿宋_GBK" w:hAnsi="宋体" w:eastAsia="方正仿宋_GBK"/>
          <w:color w:val="auto"/>
          <w:sz w:val="32"/>
          <w:szCs w:val="32"/>
          <w:lang w:eastAsia="zh-CN"/>
        </w:rPr>
        <w:t>，</w:t>
      </w:r>
      <w:r>
        <w:rPr>
          <w:rFonts w:hint="eastAsia" w:ascii="方正仿宋_GBK" w:hAnsi="宋体" w:eastAsia="方正仿宋_GBK"/>
          <w:color w:val="auto"/>
          <w:sz w:val="32"/>
          <w:szCs w:val="32"/>
        </w:rPr>
        <w:t>副本可为正本的复印件，应与正本一致，如出现不一致情况以正本为准。</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2.响应文件按</w:t>
      </w:r>
      <w:r>
        <w:rPr>
          <w:rFonts w:hint="eastAsia" w:ascii="方正仿宋_GBK" w:hAnsi="宋体" w:eastAsia="方正仿宋_GBK" w:cs="宋体"/>
          <w:color w:val="auto"/>
          <w:kern w:val="0"/>
          <w:sz w:val="32"/>
          <w:szCs w:val="32"/>
          <w:lang w:val="en-US" w:eastAsia="zh-CN"/>
        </w:rPr>
        <w:t>竞争性磋商</w:t>
      </w:r>
      <w:r>
        <w:rPr>
          <w:rFonts w:hint="eastAsia" w:ascii="方正仿宋_GBK" w:hAnsi="宋体" w:eastAsia="方正仿宋_GBK"/>
          <w:color w:val="auto"/>
          <w:sz w:val="32"/>
          <w:szCs w:val="32"/>
          <w:lang w:eastAsia="zh-CN"/>
        </w:rPr>
        <w:t>采购</w:t>
      </w:r>
      <w:r>
        <w:rPr>
          <w:rFonts w:hint="eastAsia" w:ascii="方正仿宋_GBK" w:hAnsi="宋体" w:eastAsia="方正仿宋_GBK"/>
          <w:color w:val="auto"/>
          <w:sz w:val="32"/>
          <w:szCs w:val="32"/>
        </w:rPr>
        <w:t>文件“第七篇响应文件编制要求”要求签署或盖章。</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（六）响应文件的递交</w:t>
      </w:r>
    </w:p>
    <w:p>
      <w:pPr>
        <w:pStyle w:val="7"/>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响应文件的正本、副本均应密封送达</w:t>
      </w:r>
      <w:r>
        <w:rPr>
          <w:rFonts w:hint="eastAsia" w:ascii="方正仿宋_GBK" w:hAnsi="宋体" w:eastAsia="方正仿宋_GBK"/>
          <w:color w:val="auto"/>
          <w:sz w:val="32"/>
          <w:szCs w:val="32"/>
          <w:lang w:val="en-US" w:eastAsia="zh-CN"/>
        </w:rPr>
        <w:t>竞争性磋商</w:t>
      </w:r>
      <w:r>
        <w:rPr>
          <w:rFonts w:hint="eastAsia" w:ascii="方正仿宋_GBK" w:hAnsi="宋体" w:eastAsia="方正仿宋_GBK"/>
          <w:color w:val="auto"/>
          <w:sz w:val="32"/>
          <w:szCs w:val="32"/>
        </w:rPr>
        <w:t>地点，应在封套上注明</w:t>
      </w:r>
      <w:r>
        <w:rPr>
          <w:rFonts w:hint="eastAsia" w:ascii="方正仿宋_GBK" w:hAnsi="宋体" w:eastAsia="方正仿宋_GBK" w:cs="宋体"/>
          <w:color w:val="auto"/>
          <w:kern w:val="0"/>
          <w:sz w:val="32"/>
          <w:szCs w:val="32"/>
          <w:lang w:val="en-US" w:eastAsia="zh-CN"/>
        </w:rPr>
        <w:t>竞争性磋商</w:t>
      </w:r>
      <w:r>
        <w:rPr>
          <w:rFonts w:hint="eastAsia" w:ascii="方正仿宋_GBK" w:hAnsi="宋体" w:eastAsia="方正仿宋_GBK"/>
          <w:color w:val="auto"/>
          <w:sz w:val="32"/>
          <w:szCs w:val="32"/>
        </w:rPr>
        <w:t>项目名称、供应商名称。若正本、副本分别进行密封的，还应在封套上注明“正本”、“副本”字样。</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（七）供应商参与人员</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各个供应商应当派1-2名代表参与</w:t>
      </w:r>
      <w:r>
        <w:rPr>
          <w:rFonts w:hint="eastAsia" w:ascii="方正仿宋_GBK" w:hAnsi="宋体" w:eastAsia="方正仿宋_GBK" w:cs="宋体"/>
          <w:color w:val="auto"/>
          <w:kern w:val="0"/>
          <w:sz w:val="32"/>
          <w:szCs w:val="32"/>
          <w:lang w:val="en-US" w:eastAsia="zh-CN"/>
        </w:rPr>
        <w:t>竞争性磋商</w:t>
      </w:r>
      <w:r>
        <w:rPr>
          <w:rFonts w:hint="eastAsia" w:ascii="方正仿宋_GBK" w:hAnsi="宋体" w:eastAsia="方正仿宋_GBK"/>
          <w:color w:val="auto"/>
          <w:sz w:val="32"/>
          <w:szCs w:val="32"/>
        </w:rPr>
        <w:t>，至少1人应为法定代表人（或其授权代表）。</w:t>
      </w:r>
    </w:p>
    <w:p>
      <w:pPr>
        <w:pStyle w:val="4"/>
        <w:pageBreakBefore w:val="0"/>
        <w:widowControl w:val="0"/>
        <w:kinsoku/>
        <w:wordWrap/>
        <w:overflowPunct/>
        <w:topLinePunct w:val="0"/>
        <w:autoSpaceDE/>
        <w:autoSpaceDN/>
        <w:bidi w:val="0"/>
        <w:adjustRightInd w:val="0"/>
        <w:snapToGrid w:val="0"/>
        <w:spacing w:before="0" w:after="0" w:line="560" w:lineRule="exact"/>
        <w:ind w:firstLine="643" w:firstLineChars="200"/>
        <w:textAlignment w:val="auto"/>
        <w:rPr>
          <w:rFonts w:hint="eastAsia" w:ascii="方正仿宋_GBK" w:hAnsi="宋体" w:eastAsia="方正仿宋_GBK"/>
          <w:color w:val="auto"/>
          <w:sz w:val="32"/>
          <w:szCs w:val="32"/>
        </w:rPr>
      </w:pPr>
      <w:bookmarkStart w:id="160" w:name="_Toc9369"/>
      <w:bookmarkStart w:id="161" w:name="_Toc106030896"/>
      <w:bookmarkStart w:id="162" w:name="_Toc24293"/>
      <w:bookmarkStart w:id="163" w:name="_Toc76462341"/>
      <w:bookmarkStart w:id="164" w:name="_Toc2997"/>
      <w:r>
        <w:rPr>
          <w:rFonts w:hint="eastAsia" w:ascii="方正黑体_GBK" w:hAnsi="方正黑体_GBK" w:eastAsia="方正黑体_GBK" w:cs="方正黑体_GBK"/>
          <w:color w:val="auto"/>
          <w:sz w:val="32"/>
          <w:szCs w:val="32"/>
        </w:rPr>
        <w:t>四、成交供应商的确认和变更</w:t>
      </w:r>
      <w:bookmarkEnd w:id="160"/>
      <w:bookmarkEnd w:id="161"/>
      <w:bookmarkEnd w:id="162"/>
      <w:bookmarkEnd w:id="163"/>
      <w:bookmarkEnd w:id="164"/>
    </w:p>
    <w:p>
      <w:pPr>
        <w:pageBreakBefore w:val="0"/>
        <w:widowControl w:val="0"/>
        <w:kinsoku/>
        <w:wordWrap/>
        <w:overflowPunct/>
        <w:topLinePunct w:val="0"/>
        <w:autoSpaceDE/>
        <w:autoSpaceDN/>
        <w:bidi w:val="0"/>
        <w:snapToGrid w:val="0"/>
        <w:spacing w:line="560" w:lineRule="exact"/>
        <w:ind w:firstLine="640" w:firstLineChars="200"/>
        <w:textAlignment w:val="auto"/>
        <w:outlineLvl w:val="2"/>
        <w:rPr>
          <w:rFonts w:hint="eastAsia" w:ascii="方正仿宋_GBK" w:hAnsi="宋体" w:eastAsia="方正仿宋_GBK"/>
          <w:color w:val="auto"/>
          <w:sz w:val="32"/>
          <w:szCs w:val="32"/>
        </w:rPr>
      </w:pPr>
      <w:r>
        <w:rPr>
          <w:rFonts w:hint="eastAsia" w:ascii="方正仿宋_GBK" w:hAnsi="宋体" w:eastAsia="方正仿宋_GBK"/>
          <w:color w:val="auto"/>
          <w:sz w:val="32"/>
          <w:szCs w:val="32"/>
        </w:rPr>
        <w:t>（一）成交供应商的确认</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方正仿宋_GBK" w:hAnsi="宋体" w:eastAsia="方正仿宋_GBK"/>
          <w:color w:val="auto"/>
          <w:sz w:val="32"/>
          <w:szCs w:val="32"/>
        </w:rPr>
      </w:pPr>
      <w:r>
        <w:rPr>
          <w:rFonts w:ascii="方正仿宋_GBK" w:hAnsi="宋体" w:eastAsia="方正仿宋_GBK"/>
          <w:color w:val="auto"/>
          <w:sz w:val="32"/>
          <w:szCs w:val="32"/>
        </w:rPr>
        <w:t>采购人应当在评审</w:t>
      </w:r>
      <w:r>
        <w:rPr>
          <w:rFonts w:hint="eastAsia" w:ascii="方正仿宋_GBK" w:hAnsi="宋体" w:eastAsia="方正仿宋_GBK"/>
          <w:color w:val="auto"/>
          <w:sz w:val="32"/>
          <w:szCs w:val="32"/>
          <w:lang w:eastAsia="zh-CN"/>
        </w:rPr>
        <w:t>结束</w:t>
      </w:r>
      <w:r>
        <w:rPr>
          <w:rFonts w:ascii="方正仿宋_GBK" w:hAnsi="宋体" w:eastAsia="方正仿宋_GBK"/>
          <w:color w:val="auto"/>
          <w:sz w:val="32"/>
          <w:szCs w:val="32"/>
        </w:rPr>
        <w:t>后5个工作日内</w:t>
      </w:r>
      <w:r>
        <w:rPr>
          <w:rFonts w:hint="eastAsia" w:ascii="方正仿宋_GBK" w:hAnsi="宋体" w:eastAsia="方正仿宋_GBK"/>
          <w:color w:val="auto"/>
          <w:sz w:val="32"/>
          <w:szCs w:val="32"/>
        </w:rPr>
        <w:t>，按照排序由高到低的原则确定成交供应商，也可以书面授权</w:t>
      </w:r>
      <w:r>
        <w:rPr>
          <w:rFonts w:hint="eastAsia" w:ascii="方正仿宋_GBK" w:hAnsi="宋体" w:eastAsia="方正仿宋_GBK" w:cs="宋体"/>
          <w:color w:val="auto"/>
          <w:kern w:val="0"/>
          <w:sz w:val="32"/>
          <w:szCs w:val="32"/>
          <w:lang w:val="en-US" w:eastAsia="zh-CN"/>
        </w:rPr>
        <w:t>竞争性磋商</w:t>
      </w:r>
      <w:r>
        <w:rPr>
          <w:rFonts w:hint="eastAsia" w:ascii="方正仿宋_GBK" w:hAnsi="宋体" w:eastAsia="方正仿宋_GBK"/>
          <w:color w:val="auto"/>
          <w:sz w:val="32"/>
          <w:szCs w:val="32"/>
        </w:rPr>
        <w:t>小组直接确定成交供应商。采购人逾期未确定成交供应商且不提出异议的，视为确定评审报告提出的排序第一的供应商为成交供应商。</w:t>
      </w:r>
    </w:p>
    <w:p>
      <w:pPr>
        <w:pageBreakBefore w:val="0"/>
        <w:widowControl w:val="0"/>
        <w:kinsoku/>
        <w:wordWrap/>
        <w:overflowPunct/>
        <w:topLinePunct w:val="0"/>
        <w:autoSpaceDE/>
        <w:autoSpaceDN/>
        <w:bidi w:val="0"/>
        <w:snapToGrid w:val="0"/>
        <w:spacing w:line="560" w:lineRule="exact"/>
        <w:ind w:firstLine="640" w:firstLineChars="200"/>
        <w:textAlignment w:val="auto"/>
        <w:outlineLvl w:val="2"/>
        <w:rPr>
          <w:rFonts w:hint="eastAsia" w:ascii="方正仿宋_GBK" w:hAnsi="宋体" w:eastAsia="方正仿宋_GBK"/>
          <w:color w:val="auto"/>
          <w:sz w:val="32"/>
          <w:szCs w:val="32"/>
        </w:rPr>
      </w:pPr>
      <w:r>
        <w:rPr>
          <w:rFonts w:hint="eastAsia" w:ascii="方正仿宋_GBK" w:hAnsi="宋体" w:eastAsia="方正仿宋_GBK"/>
          <w:color w:val="auto"/>
          <w:sz w:val="32"/>
          <w:szCs w:val="32"/>
        </w:rPr>
        <w:t>（二）成交供应商的变更</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方正仿宋_GBK" w:hAnsi="宋体" w:eastAsia="方正仿宋_GBK"/>
          <w:color w:val="auto"/>
          <w:sz w:val="32"/>
          <w:szCs w:val="32"/>
        </w:rPr>
      </w:pPr>
      <w:r>
        <w:rPr>
          <w:rFonts w:hint="eastAsia" w:ascii="方正仿宋_GBK" w:eastAsia="方正仿宋_GBK"/>
          <w:color w:val="auto"/>
          <w:sz w:val="32"/>
          <w:szCs w:val="32"/>
        </w:rPr>
        <w:t>成交供应商拒绝与采购人签订合同的，采购人可以按照评标报告推荐的成交候选供应商顺序，确定排名下一位的候选人为成交供应商，也可以重新开展采购活动。</w:t>
      </w:r>
    </w:p>
    <w:p>
      <w:pPr>
        <w:pStyle w:val="4"/>
        <w:pageBreakBefore w:val="0"/>
        <w:widowControl w:val="0"/>
        <w:kinsoku/>
        <w:wordWrap/>
        <w:overflowPunct/>
        <w:topLinePunct w:val="0"/>
        <w:autoSpaceDE/>
        <w:autoSpaceDN/>
        <w:bidi w:val="0"/>
        <w:adjustRightInd w:val="0"/>
        <w:snapToGrid w:val="0"/>
        <w:spacing w:before="0" w:after="0" w:line="560" w:lineRule="exact"/>
        <w:ind w:firstLine="643" w:firstLineChars="200"/>
        <w:textAlignment w:val="auto"/>
        <w:rPr>
          <w:rFonts w:hint="eastAsia" w:ascii="方正黑体_GBK" w:hAnsi="方正黑体_GBK" w:eastAsia="方正黑体_GBK" w:cs="方正黑体_GBK"/>
          <w:color w:val="auto"/>
          <w:sz w:val="32"/>
          <w:szCs w:val="32"/>
        </w:rPr>
      </w:pPr>
      <w:bookmarkStart w:id="165" w:name="_Toc106030897"/>
      <w:bookmarkStart w:id="166" w:name="_Toc29760"/>
      <w:bookmarkStart w:id="167" w:name="_Toc16835"/>
      <w:bookmarkStart w:id="168" w:name="_Toc102227321"/>
      <w:bookmarkStart w:id="169" w:name="_Toc19847"/>
      <w:bookmarkStart w:id="170" w:name="_Toc342913395"/>
      <w:bookmarkStart w:id="171" w:name="_Toc76462342"/>
      <w:r>
        <w:rPr>
          <w:rFonts w:hint="eastAsia" w:ascii="方正黑体_GBK" w:hAnsi="方正黑体_GBK" w:eastAsia="方正黑体_GBK" w:cs="方正黑体_GBK"/>
          <w:color w:val="auto"/>
          <w:sz w:val="32"/>
          <w:szCs w:val="32"/>
        </w:rPr>
        <w:t>五、成交通知</w:t>
      </w:r>
      <w:bookmarkEnd w:id="165"/>
      <w:bookmarkEnd w:id="166"/>
      <w:bookmarkEnd w:id="167"/>
      <w:bookmarkEnd w:id="168"/>
      <w:bookmarkEnd w:id="169"/>
      <w:bookmarkEnd w:id="170"/>
      <w:bookmarkEnd w:id="171"/>
    </w:p>
    <w:p>
      <w:pPr>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（一）成交供应商确定后，采购</w:t>
      </w:r>
      <w:r>
        <w:rPr>
          <w:rFonts w:hint="eastAsia" w:ascii="方正仿宋_GBK" w:hAnsi="宋体" w:eastAsia="方正仿宋_GBK"/>
          <w:color w:val="auto"/>
          <w:sz w:val="32"/>
          <w:szCs w:val="32"/>
          <w:lang w:eastAsia="zh-CN"/>
        </w:rPr>
        <w:t>人</w:t>
      </w:r>
      <w:r>
        <w:rPr>
          <w:rFonts w:hint="eastAsia" w:ascii="方正仿宋_GBK" w:hAnsi="宋体" w:eastAsia="方正仿宋_GBK"/>
          <w:color w:val="auto"/>
          <w:sz w:val="32"/>
          <w:szCs w:val="32"/>
        </w:rPr>
        <w:t>将在行采家（https://www.gec123.com/）上发布成交结果公告。</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（二）结果公告发出同时，采购</w:t>
      </w:r>
      <w:r>
        <w:rPr>
          <w:rFonts w:hint="eastAsia" w:ascii="方正仿宋_GBK" w:hAnsi="宋体" w:eastAsia="方正仿宋_GBK"/>
          <w:color w:val="auto"/>
          <w:sz w:val="32"/>
          <w:szCs w:val="32"/>
          <w:lang w:eastAsia="zh-CN"/>
        </w:rPr>
        <w:t>人</w:t>
      </w:r>
      <w:r>
        <w:rPr>
          <w:rFonts w:hint="eastAsia" w:ascii="方正仿宋_GBK" w:hAnsi="宋体" w:eastAsia="方正仿宋_GBK"/>
          <w:color w:val="auto"/>
          <w:sz w:val="32"/>
          <w:szCs w:val="32"/>
        </w:rPr>
        <w:t>将以书面形式发出《成交通知书》。《成交通知书》一经发出即发生法律效力。</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（三）《成交通知书》将作为签订合同的依据。</w:t>
      </w:r>
    </w:p>
    <w:p>
      <w:pPr>
        <w:pStyle w:val="4"/>
        <w:pageBreakBefore w:val="0"/>
        <w:widowControl w:val="0"/>
        <w:kinsoku/>
        <w:wordWrap/>
        <w:overflowPunct/>
        <w:topLinePunct w:val="0"/>
        <w:autoSpaceDE/>
        <w:autoSpaceDN/>
        <w:bidi w:val="0"/>
        <w:adjustRightInd w:val="0"/>
        <w:snapToGrid w:val="0"/>
        <w:spacing w:before="0" w:after="0" w:line="560" w:lineRule="exact"/>
        <w:ind w:firstLine="643" w:firstLineChars="200"/>
        <w:textAlignment w:val="auto"/>
        <w:rPr>
          <w:rFonts w:hint="eastAsia" w:ascii="方正黑体_GBK" w:hAnsi="方正黑体_GBK" w:eastAsia="方正黑体_GBK" w:cs="方正黑体_GBK"/>
          <w:color w:val="auto"/>
          <w:sz w:val="32"/>
          <w:szCs w:val="32"/>
          <w:lang w:eastAsia="zh-CN"/>
        </w:rPr>
      </w:pPr>
      <w:bookmarkStart w:id="172" w:name="_Toc106030898"/>
      <w:bookmarkStart w:id="173" w:name="_Toc76462343"/>
      <w:bookmarkStart w:id="174" w:name="_Toc16387"/>
      <w:bookmarkStart w:id="175" w:name="_Toc27425"/>
      <w:bookmarkStart w:id="176" w:name="_Toc20264"/>
      <w:r>
        <w:rPr>
          <w:rFonts w:hint="eastAsia" w:ascii="方正黑体_GBK" w:hAnsi="方正黑体_GBK" w:eastAsia="方正黑体_GBK" w:cs="方正黑体_GBK"/>
          <w:color w:val="auto"/>
          <w:sz w:val="32"/>
          <w:szCs w:val="32"/>
        </w:rPr>
        <w:t>六、关于</w:t>
      </w:r>
      <w:bookmarkEnd w:id="172"/>
      <w:bookmarkEnd w:id="173"/>
      <w:r>
        <w:rPr>
          <w:rFonts w:hint="eastAsia" w:ascii="方正黑体_GBK" w:hAnsi="方正黑体_GBK" w:eastAsia="方正黑体_GBK" w:cs="方正黑体_GBK"/>
          <w:color w:val="auto"/>
          <w:sz w:val="32"/>
          <w:szCs w:val="32"/>
          <w:lang w:eastAsia="zh-CN"/>
        </w:rPr>
        <w:t>询问</w:t>
      </w:r>
      <w:bookmarkEnd w:id="174"/>
      <w:bookmarkEnd w:id="175"/>
      <w:bookmarkEnd w:id="176"/>
    </w:p>
    <w:p>
      <w:pPr>
        <w:pageBreakBefore w:val="0"/>
        <w:widowControl w:val="0"/>
        <w:kinsoku/>
        <w:wordWrap/>
        <w:overflowPunct/>
        <w:topLinePunct w:val="0"/>
        <w:autoSpaceDE/>
        <w:autoSpaceDN/>
        <w:bidi w:val="0"/>
        <w:spacing w:line="560" w:lineRule="exact"/>
        <w:ind w:firstLine="640" w:firstLineChars="200"/>
        <w:textAlignment w:val="auto"/>
        <w:outlineLvl w:val="2"/>
        <w:rPr>
          <w:rFonts w:hint="eastAsia" w:ascii="方正仿宋_GBK" w:hAnsi="宋体" w:eastAsia="方正仿宋_GBK"/>
          <w:color w:val="auto"/>
          <w:sz w:val="32"/>
          <w:szCs w:val="32"/>
          <w:lang w:eastAsia="zh-CN"/>
        </w:rPr>
      </w:pPr>
      <w:r>
        <w:rPr>
          <w:rFonts w:hint="eastAsia" w:ascii="方正仿宋_GBK" w:hAnsi="宋体" w:eastAsia="方正仿宋_GBK"/>
          <w:color w:val="auto"/>
          <w:sz w:val="32"/>
          <w:szCs w:val="32"/>
        </w:rPr>
        <w:t>（一）</w:t>
      </w:r>
      <w:r>
        <w:rPr>
          <w:rFonts w:hint="eastAsia" w:ascii="方正仿宋_GBK" w:hAnsi="宋体" w:eastAsia="方正仿宋_GBK"/>
          <w:color w:val="auto"/>
          <w:sz w:val="32"/>
          <w:szCs w:val="32"/>
          <w:lang w:eastAsia="zh-CN"/>
        </w:rPr>
        <w:t>询问</w:t>
      </w:r>
    </w:p>
    <w:p>
      <w:pPr>
        <w:pageBreakBefore w:val="0"/>
        <w:widowControl w:val="0"/>
        <w:kinsoku/>
        <w:wordWrap/>
        <w:overflowPunct/>
        <w:topLinePunct w:val="0"/>
        <w:autoSpaceDE/>
        <w:autoSpaceDN/>
        <w:bidi w:val="0"/>
        <w:spacing w:line="560" w:lineRule="exact"/>
        <w:ind w:firstLine="640" w:firstLineChars="200"/>
        <w:textAlignment w:val="auto"/>
        <w:rPr>
          <w:rFonts w:ascii="方正仿宋_GBK" w:hAnsi="宋体" w:eastAsia="方正仿宋_GBK"/>
          <w:color w:val="auto"/>
          <w:sz w:val="32"/>
          <w:szCs w:val="32"/>
        </w:rPr>
      </w:pPr>
      <w:r>
        <w:rPr>
          <w:rFonts w:hint="eastAsia" w:ascii="方正仿宋_GBK" w:hAnsi="宋体" w:eastAsia="方正仿宋_GBK"/>
          <w:color w:val="auto"/>
          <w:sz w:val="32"/>
          <w:szCs w:val="32"/>
        </w:rPr>
        <w:t>供应商</w:t>
      </w:r>
      <w:r>
        <w:rPr>
          <w:rFonts w:hint="eastAsia" w:ascii="方正仿宋_GBK" w:hAnsi="宋体" w:eastAsia="方正仿宋_GBK"/>
          <w:color w:val="auto"/>
          <w:sz w:val="32"/>
          <w:szCs w:val="32"/>
          <w:lang w:eastAsia="zh-CN"/>
        </w:rPr>
        <w:t>对</w:t>
      </w:r>
      <w:r>
        <w:rPr>
          <w:rFonts w:hint="eastAsia" w:ascii="方正仿宋_GBK" w:hAnsi="宋体" w:eastAsia="方正仿宋_GBK"/>
          <w:color w:val="auto"/>
          <w:sz w:val="32"/>
          <w:szCs w:val="32"/>
        </w:rPr>
        <w:t>采购文件、采购过程和成交结果</w:t>
      </w:r>
      <w:r>
        <w:rPr>
          <w:rFonts w:hint="eastAsia" w:ascii="方正仿宋_GBK" w:hAnsi="宋体" w:eastAsia="方正仿宋_GBK"/>
          <w:color w:val="auto"/>
          <w:sz w:val="32"/>
          <w:szCs w:val="32"/>
          <w:lang w:eastAsia="zh-CN"/>
        </w:rPr>
        <w:t>有异议</w:t>
      </w:r>
      <w:r>
        <w:rPr>
          <w:rFonts w:hint="eastAsia" w:ascii="方正仿宋_GBK" w:hAnsi="宋体" w:eastAsia="方正仿宋_GBK"/>
          <w:color w:val="auto"/>
          <w:sz w:val="32"/>
          <w:szCs w:val="32"/>
        </w:rPr>
        <w:t>的，可向采购人或采以书面形式提出</w:t>
      </w:r>
      <w:r>
        <w:rPr>
          <w:rFonts w:hint="eastAsia" w:ascii="方正仿宋_GBK" w:hAnsi="宋体" w:eastAsia="方正仿宋_GBK"/>
          <w:color w:val="auto"/>
          <w:sz w:val="32"/>
          <w:szCs w:val="32"/>
          <w:lang w:eastAsia="zh-CN"/>
        </w:rPr>
        <w:t>询问</w:t>
      </w:r>
      <w:r>
        <w:rPr>
          <w:rFonts w:hint="eastAsia" w:ascii="方正仿宋_GBK" w:hAnsi="宋体" w:eastAsia="方正仿宋_GBK"/>
          <w:color w:val="auto"/>
          <w:sz w:val="32"/>
          <w:szCs w:val="32"/>
        </w:rPr>
        <w:t>。</w:t>
      </w:r>
    </w:p>
    <w:p>
      <w:pPr>
        <w:pageBreakBefore w:val="0"/>
        <w:widowControl w:val="0"/>
        <w:kinsoku/>
        <w:wordWrap/>
        <w:overflowPunct/>
        <w:topLinePunct w:val="0"/>
        <w:autoSpaceDE/>
        <w:autoSpaceDN/>
        <w:bidi w:val="0"/>
        <w:spacing w:line="560" w:lineRule="exact"/>
        <w:ind w:firstLine="640" w:firstLineChars="200"/>
        <w:textAlignment w:val="auto"/>
        <w:rPr>
          <w:rFonts w:ascii="方正仿宋_GBK" w:hAnsi="宋体" w:eastAsia="方正仿宋_GBK"/>
          <w:color w:val="auto"/>
          <w:sz w:val="32"/>
          <w:szCs w:val="32"/>
        </w:rPr>
      </w:pPr>
      <w:r>
        <w:rPr>
          <w:rFonts w:hint="eastAsia" w:ascii="方正仿宋_GBK" w:hAnsi="宋体" w:eastAsia="方正仿宋_GBK"/>
          <w:color w:val="auto"/>
          <w:sz w:val="32"/>
          <w:szCs w:val="32"/>
        </w:rPr>
        <w:t>提出</w:t>
      </w:r>
      <w:r>
        <w:rPr>
          <w:rFonts w:hint="eastAsia" w:ascii="方正仿宋_GBK" w:hAnsi="宋体" w:eastAsia="方正仿宋_GBK"/>
          <w:color w:val="auto"/>
          <w:sz w:val="32"/>
          <w:szCs w:val="32"/>
          <w:lang w:eastAsia="zh-CN"/>
        </w:rPr>
        <w:t>询问</w:t>
      </w:r>
      <w:r>
        <w:rPr>
          <w:rFonts w:hint="eastAsia" w:ascii="方正仿宋_GBK" w:hAnsi="宋体" w:eastAsia="方正仿宋_GBK"/>
          <w:color w:val="auto"/>
          <w:sz w:val="32"/>
          <w:szCs w:val="32"/>
        </w:rPr>
        <w:t>的应当是参与所</w:t>
      </w:r>
      <w:r>
        <w:rPr>
          <w:rFonts w:hint="eastAsia" w:ascii="方正仿宋_GBK" w:hAnsi="宋体" w:eastAsia="方正仿宋_GBK"/>
          <w:color w:val="auto"/>
          <w:sz w:val="32"/>
          <w:szCs w:val="32"/>
          <w:lang w:eastAsia="zh-CN"/>
        </w:rPr>
        <w:t>询问</w:t>
      </w:r>
      <w:r>
        <w:rPr>
          <w:rFonts w:hint="eastAsia" w:ascii="方正仿宋_GBK" w:hAnsi="宋体" w:eastAsia="方正仿宋_GBK"/>
          <w:color w:val="auto"/>
          <w:sz w:val="32"/>
          <w:szCs w:val="32"/>
        </w:rPr>
        <w:t xml:space="preserve">项目采购活动的供应商。 </w:t>
      </w:r>
    </w:p>
    <w:p>
      <w:pPr>
        <w:pageBreakBefore w:val="0"/>
        <w:widowControl w:val="0"/>
        <w:kinsoku/>
        <w:wordWrap/>
        <w:overflowPunct/>
        <w:topLinePunct w:val="0"/>
        <w:autoSpaceDE/>
        <w:autoSpaceDN/>
        <w:bidi w:val="0"/>
        <w:spacing w:line="560" w:lineRule="exact"/>
        <w:ind w:right="12" w:firstLine="480"/>
        <w:textAlignment w:val="auto"/>
        <w:outlineLvl w:val="2"/>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1.</w:t>
      </w:r>
      <w:r>
        <w:rPr>
          <w:rFonts w:hint="eastAsia" w:ascii="方正仿宋_GBK" w:hAnsi="仿宋" w:eastAsia="方正仿宋_GBK" w:cs="仿宋"/>
          <w:color w:val="auto"/>
          <w:sz w:val="32"/>
          <w:szCs w:val="32"/>
          <w:lang w:eastAsia="zh-CN"/>
        </w:rPr>
        <w:t>询问</w:t>
      </w:r>
      <w:r>
        <w:rPr>
          <w:rFonts w:hint="eastAsia" w:ascii="方正仿宋_GBK" w:hAnsi="仿宋" w:eastAsia="方正仿宋_GBK" w:cs="仿宋"/>
          <w:color w:val="auto"/>
          <w:sz w:val="32"/>
          <w:szCs w:val="32"/>
        </w:rPr>
        <w:t>时限、内容</w:t>
      </w:r>
    </w:p>
    <w:p>
      <w:pPr>
        <w:pageBreakBefore w:val="0"/>
        <w:widowControl w:val="0"/>
        <w:kinsoku/>
        <w:wordWrap/>
        <w:overflowPunct/>
        <w:topLinePunct w:val="0"/>
        <w:autoSpaceDE/>
        <w:autoSpaceDN/>
        <w:bidi w:val="0"/>
        <w:spacing w:line="560" w:lineRule="exact"/>
        <w:ind w:right="12" w:firstLine="480"/>
        <w:textAlignment w:val="auto"/>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供应商</w:t>
      </w:r>
      <w:r>
        <w:rPr>
          <w:rFonts w:hint="eastAsia" w:ascii="方正仿宋_GBK" w:hAnsi="仿宋" w:eastAsia="方正仿宋_GBK" w:cs="仿宋"/>
          <w:color w:val="auto"/>
          <w:sz w:val="32"/>
          <w:szCs w:val="32"/>
          <w:lang w:eastAsia="zh-CN"/>
        </w:rPr>
        <w:t>对</w:t>
      </w:r>
      <w:r>
        <w:rPr>
          <w:rFonts w:hint="eastAsia" w:ascii="方正仿宋_GBK" w:hAnsi="仿宋" w:eastAsia="方正仿宋_GBK" w:cs="仿宋"/>
          <w:color w:val="auto"/>
          <w:sz w:val="32"/>
          <w:szCs w:val="32"/>
        </w:rPr>
        <w:t>采购文件、采购过程、成交结果</w:t>
      </w:r>
      <w:r>
        <w:rPr>
          <w:rFonts w:hint="eastAsia" w:ascii="方正仿宋_GBK" w:hAnsi="仿宋" w:eastAsia="方正仿宋_GBK" w:cs="仿宋"/>
          <w:color w:val="auto"/>
          <w:sz w:val="32"/>
          <w:szCs w:val="32"/>
          <w:lang w:eastAsia="zh-CN"/>
        </w:rPr>
        <w:t>有异议</w:t>
      </w:r>
      <w:r>
        <w:rPr>
          <w:rFonts w:hint="eastAsia" w:ascii="方正仿宋_GBK" w:hAnsi="仿宋" w:eastAsia="方正仿宋_GBK" w:cs="仿宋"/>
          <w:color w:val="auto"/>
          <w:sz w:val="32"/>
          <w:szCs w:val="32"/>
        </w:rPr>
        <w:t>的，可以在知道或者应知</w:t>
      </w:r>
      <w:r>
        <w:rPr>
          <w:rFonts w:hint="eastAsia" w:ascii="方正仿宋_GBK" w:hAnsi="仿宋" w:eastAsia="方正仿宋_GBK" w:cs="仿宋"/>
          <w:color w:val="auto"/>
          <w:sz w:val="32"/>
          <w:szCs w:val="32"/>
          <w:lang w:eastAsia="zh-CN"/>
        </w:rPr>
        <w:t>道</w:t>
      </w:r>
      <w:r>
        <w:rPr>
          <w:rFonts w:hint="eastAsia" w:ascii="方正仿宋_GBK" w:hAnsi="仿宋" w:eastAsia="方正仿宋_GBK" w:cs="仿宋"/>
          <w:color w:val="auto"/>
          <w:sz w:val="32"/>
          <w:szCs w:val="32"/>
        </w:rPr>
        <w:t>之日起</w:t>
      </w:r>
      <w:r>
        <w:rPr>
          <w:rFonts w:hint="eastAsia" w:ascii="方正仿宋_GBK" w:hAnsi="仿宋" w:eastAsia="方正仿宋_GBK" w:cs="仿宋"/>
          <w:color w:val="auto"/>
          <w:sz w:val="32"/>
          <w:szCs w:val="32"/>
          <w:lang w:val="en-US" w:eastAsia="zh-CN"/>
        </w:rPr>
        <w:t>二</w:t>
      </w:r>
      <w:r>
        <w:rPr>
          <w:rFonts w:hint="eastAsia" w:ascii="方正仿宋_GBK" w:hAnsi="仿宋" w:eastAsia="方正仿宋_GBK" w:cs="仿宋"/>
          <w:color w:val="auto"/>
          <w:sz w:val="32"/>
          <w:szCs w:val="32"/>
        </w:rPr>
        <w:t>个工作日内，以书面形式向采购人提出</w:t>
      </w:r>
      <w:r>
        <w:rPr>
          <w:rFonts w:hint="eastAsia" w:ascii="方正仿宋_GBK" w:hAnsi="仿宋" w:eastAsia="方正仿宋_GBK" w:cs="仿宋"/>
          <w:color w:val="auto"/>
          <w:sz w:val="32"/>
          <w:szCs w:val="32"/>
          <w:lang w:eastAsia="zh-CN"/>
        </w:rPr>
        <w:t>询问</w:t>
      </w:r>
      <w:r>
        <w:rPr>
          <w:rFonts w:hint="eastAsia" w:ascii="方正仿宋_GBK" w:hAnsi="仿宋" w:eastAsia="方正仿宋_GBK" w:cs="仿宋"/>
          <w:color w:val="auto"/>
          <w:sz w:val="32"/>
          <w:szCs w:val="32"/>
        </w:rPr>
        <w:t>。</w:t>
      </w:r>
    </w:p>
    <w:p>
      <w:pPr>
        <w:pageBreakBefore w:val="0"/>
        <w:widowControl w:val="0"/>
        <w:kinsoku/>
        <w:wordWrap/>
        <w:overflowPunct/>
        <w:topLinePunct w:val="0"/>
        <w:autoSpaceDE/>
        <w:autoSpaceDN/>
        <w:bidi w:val="0"/>
        <w:spacing w:line="560" w:lineRule="exact"/>
        <w:ind w:right="12" w:firstLine="480"/>
        <w:textAlignment w:val="auto"/>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1.2供应商提出</w:t>
      </w:r>
      <w:r>
        <w:rPr>
          <w:rFonts w:hint="eastAsia" w:ascii="方正仿宋_GBK" w:hAnsi="仿宋" w:eastAsia="方正仿宋_GBK" w:cs="仿宋"/>
          <w:color w:val="auto"/>
          <w:sz w:val="32"/>
          <w:szCs w:val="32"/>
          <w:lang w:eastAsia="zh-CN"/>
        </w:rPr>
        <w:t>询问</w:t>
      </w:r>
      <w:r>
        <w:rPr>
          <w:rFonts w:hint="eastAsia" w:ascii="方正仿宋_GBK" w:hAnsi="仿宋" w:eastAsia="方正仿宋_GBK" w:cs="仿宋"/>
          <w:color w:val="auto"/>
          <w:sz w:val="32"/>
          <w:szCs w:val="32"/>
        </w:rPr>
        <w:t>应当提交</w:t>
      </w:r>
      <w:r>
        <w:rPr>
          <w:rFonts w:hint="eastAsia" w:ascii="方正仿宋_GBK" w:hAnsi="仿宋" w:eastAsia="方正仿宋_GBK" w:cs="仿宋"/>
          <w:color w:val="auto"/>
          <w:sz w:val="32"/>
          <w:szCs w:val="32"/>
          <w:lang w:eastAsia="zh-CN"/>
        </w:rPr>
        <w:t>询问</w:t>
      </w:r>
      <w:r>
        <w:rPr>
          <w:rFonts w:hint="eastAsia" w:ascii="方正仿宋_GBK" w:hAnsi="仿宋" w:eastAsia="方正仿宋_GBK" w:cs="仿宋"/>
          <w:color w:val="auto"/>
          <w:sz w:val="32"/>
          <w:szCs w:val="32"/>
        </w:rPr>
        <w:t>函和必要的证明材料，</w:t>
      </w:r>
      <w:r>
        <w:rPr>
          <w:rFonts w:hint="eastAsia" w:ascii="方正仿宋_GBK" w:hAnsi="仿宋" w:eastAsia="方正仿宋_GBK" w:cs="仿宋"/>
          <w:color w:val="auto"/>
          <w:sz w:val="32"/>
          <w:szCs w:val="32"/>
          <w:lang w:eastAsia="zh-CN"/>
        </w:rPr>
        <w:t>询问</w:t>
      </w:r>
      <w:r>
        <w:rPr>
          <w:rFonts w:hint="eastAsia" w:ascii="方正仿宋_GBK" w:hAnsi="仿宋" w:eastAsia="方正仿宋_GBK" w:cs="仿宋"/>
          <w:color w:val="auto"/>
          <w:sz w:val="32"/>
          <w:szCs w:val="32"/>
        </w:rPr>
        <w:t>函应当包括下列内容：</w:t>
      </w:r>
    </w:p>
    <w:p>
      <w:pPr>
        <w:pageBreakBefore w:val="0"/>
        <w:widowControl w:val="0"/>
        <w:kinsoku/>
        <w:wordWrap/>
        <w:overflowPunct/>
        <w:topLinePunct w:val="0"/>
        <w:autoSpaceDE/>
        <w:autoSpaceDN/>
        <w:bidi w:val="0"/>
        <w:spacing w:line="560" w:lineRule="exact"/>
        <w:ind w:right="12" w:firstLine="480"/>
        <w:textAlignment w:val="auto"/>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1.2.1供应商的姓名或者名称、地址、邮编、联系人及联系电话；</w:t>
      </w:r>
    </w:p>
    <w:p>
      <w:pPr>
        <w:pageBreakBefore w:val="0"/>
        <w:widowControl w:val="0"/>
        <w:kinsoku/>
        <w:wordWrap/>
        <w:overflowPunct/>
        <w:topLinePunct w:val="0"/>
        <w:autoSpaceDE/>
        <w:autoSpaceDN/>
        <w:bidi w:val="0"/>
        <w:spacing w:line="560" w:lineRule="exact"/>
        <w:ind w:right="12" w:firstLine="480"/>
        <w:textAlignment w:val="auto"/>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1.2.2</w:t>
      </w:r>
      <w:r>
        <w:rPr>
          <w:rFonts w:hint="eastAsia" w:ascii="方正仿宋_GBK" w:hAnsi="仿宋" w:eastAsia="方正仿宋_GBK" w:cs="仿宋"/>
          <w:color w:val="auto"/>
          <w:sz w:val="32"/>
          <w:szCs w:val="32"/>
          <w:lang w:eastAsia="zh-CN"/>
        </w:rPr>
        <w:t>询问</w:t>
      </w:r>
      <w:r>
        <w:rPr>
          <w:rFonts w:hint="eastAsia" w:ascii="方正仿宋_GBK" w:hAnsi="仿宋" w:eastAsia="方正仿宋_GBK" w:cs="仿宋"/>
          <w:color w:val="auto"/>
          <w:sz w:val="32"/>
          <w:szCs w:val="32"/>
        </w:rPr>
        <w:t>项目的名称、项目号以及采购执行编号；</w:t>
      </w:r>
    </w:p>
    <w:p>
      <w:pPr>
        <w:pageBreakBefore w:val="0"/>
        <w:widowControl w:val="0"/>
        <w:kinsoku/>
        <w:wordWrap/>
        <w:overflowPunct/>
        <w:topLinePunct w:val="0"/>
        <w:autoSpaceDE/>
        <w:autoSpaceDN/>
        <w:bidi w:val="0"/>
        <w:spacing w:line="560" w:lineRule="exact"/>
        <w:ind w:right="12" w:firstLine="480"/>
        <w:textAlignment w:val="auto"/>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1.2.3具体、明确的</w:t>
      </w:r>
      <w:r>
        <w:rPr>
          <w:rFonts w:hint="eastAsia" w:ascii="方正仿宋_GBK" w:hAnsi="仿宋" w:eastAsia="方正仿宋_GBK" w:cs="仿宋"/>
          <w:color w:val="auto"/>
          <w:sz w:val="32"/>
          <w:szCs w:val="32"/>
          <w:lang w:eastAsia="zh-CN"/>
        </w:rPr>
        <w:t>询问</w:t>
      </w:r>
      <w:r>
        <w:rPr>
          <w:rFonts w:hint="eastAsia" w:ascii="方正仿宋_GBK" w:hAnsi="仿宋" w:eastAsia="方正仿宋_GBK" w:cs="仿宋"/>
          <w:color w:val="auto"/>
          <w:sz w:val="32"/>
          <w:szCs w:val="32"/>
        </w:rPr>
        <w:t>事项和与</w:t>
      </w:r>
      <w:r>
        <w:rPr>
          <w:rFonts w:hint="eastAsia" w:ascii="方正仿宋_GBK" w:hAnsi="仿宋" w:eastAsia="方正仿宋_GBK" w:cs="仿宋"/>
          <w:color w:val="auto"/>
          <w:sz w:val="32"/>
          <w:szCs w:val="32"/>
          <w:lang w:eastAsia="zh-CN"/>
        </w:rPr>
        <w:t>询问</w:t>
      </w:r>
      <w:r>
        <w:rPr>
          <w:rFonts w:hint="eastAsia" w:ascii="方正仿宋_GBK" w:hAnsi="仿宋" w:eastAsia="方正仿宋_GBK" w:cs="仿宋"/>
          <w:color w:val="auto"/>
          <w:sz w:val="32"/>
          <w:szCs w:val="32"/>
        </w:rPr>
        <w:t>事项相关的请求；</w:t>
      </w:r>
    </w:p>
    <w:p>
      <w:pPr>
        <w:pageBreakBefore w:val="0"/>
        <w:widowControl w:val="0"/>
        <w:kinsoku/>
        <w:wordWrap/>
        <w:overflowPunct/>
        <w:topLinePunct w:val="0"/>
        <w:autoSpaceDE/>
        <w:autoSpaceDN/>
        <w:bidi w:val="0"/>
        <w:spacing w:line="560" w:lineRule="exact"/>
        <w:ind w:right="12" w:firstLine="480"/>
        <w:textAlignment w:val="auto"/>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1.2.4事实依据；</w:t>
      </w:r>
    </w:p>
    <w:p>
      <w:pPr>
        <w:pageBreakBefore w:val="0"/>
        <w:widowControl w:val="0"/>
        <w:kinsoku/>
        <w:wordWrap/>
        <w:overflowPunct/>
        <w:topLinePunct w:val="0"/>
        <w:autoSpaceDE/>
        <w:autoSpaceDN/>
        <w:bidi w:val="0"/>
        <w:spacing w:line="560" w:lineRule="exact"/>
        <w:ind w:right="12" w:firstLine="480"/>
        <w:textAlignment w:val="auto"/>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1.2.5必要的法律依据；</w:t>
      </w:r>
    </w:p>
    <w:p>
      <w:pPr>
        <w:pageBreakBefore w:val="0"/>
        <w:widowControl w:val="0"/>
        <w:kinsoku/>
        <w:wordWrap/>
        <w:overflowPunct/>
        <w:topLinePunct w:val="0"/>
        <w:autoSpaceDE/>
        <w:autoSpaceDN/>
        <w:bidi w:val="0"/>
        <w:spacing w:line="560" w:lineRule="exact"/>
        <w:ind w:right="12" w:firstLine="480"/>
        <w:textAlignment w:val="auto"/>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1.2.6提出</w:t>
      </w:r>
      <w:r>
        <w:rPr>
          <w:rFonts w:hint="eastAsia" w:ascii="方正仿宋_GBK" w:hAnsi="仿宋" w:eastAsia="方正仿宋_GBK" w:cs="仿宋"/>
          <w:color w:val="auto"/>
          <w:sz w:val="32"/>
          <w:szCs w:val="32"/>
          <w:lang w:eastAsia="zh-CN"/>
        </w:rPr>
        <w:t>询问</w:t>
      </w:r>
      <w:r>
        <w:rPr>
          <w:rFonts w:hint="eastAsia" w:ascii="方正仿宋_GBK" w:hAnsi="仿宋" w:eastAsia="方正仿宋_GBK" w:cs="仿宋"/>
          <w:color w:val="auto"/>
          <w:sz w:val="32"/>
          <w:szCs w:val="32"/>
        </w:rPr>
        <w:t>的日期；</w:t>
      </w:r>
    </w:p>
    <w:p>
      <w:pPr>
        <w:pageBreakBefore w:val="0"/>
        <w:widowControl w:val="0"/>
        <w:kinsoku/>
        <w:wordWrap/>
        <w:overflowPunct/>
        <w:topLinePunct w:val="0"/>
        <w:autoSpaceDE/>
        <w:autoSpaceDN/>
        <w:bidi w:val="0"/>
        <w:spacing w:line="560" w:lineRule="exact"/>
        <w:ind w:right="12" w:firstLine="480"/>
        <w:textAlignment w:val="auto"/>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1.2.7营业执照（或事业单位法人证书，或个体工商户营业执照或有效的自然人身份证明）复印件；</w:t>
      </w:r>
    </w:p>
    <w:p>
      <w:pPr>
        <w:pageBreakBefore w:val="0"/>
        <w:widowControl w:val="0"/>
        <w:kinsoku/>
        <w:wordWrap/>
        <w:overflowPunct/>
        <w:topLinePunct w:val="0"/>
        <w:autoSpaceDE/>
        <w:autoSpaceDN/>
        <w:bidi w:val="0"/>
        <w:spacing w:line="560" w:lineRule="exact"/>
        <w:ind w:right="12" w:firstLine="480"/>
        <w:textAlignment w:val="auto"/>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1.2.8法定代表人授权委托书原件、法定代表人身份证复印件和其授权代表的身份证复印件（供应商为自然人的提供自然人身份证复印件）；</w:t>
      </w:r>
    </w:p>
    <w:p>
      <w:pPr>
        <w:pageBreakBefore w:val="0"/>
        <w:widowControl w:val="0"/>
        <w:kinsoku/>
        <w:wordWrap/>
        <w:overflowPunct/>
        <w:topLinePunct w:val="0"/>
        <w:autoSpaceDE/>
        <w:autoSpaceDN/>
        <w:bidi w:val="0"/>
        <w:spacing w:line="560" w:lineRule="exact"/>
        <w:ind w:right="12" w:firstLine="480"/>
        <w:textAlignment w:val="auto"/>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1.3供应商为自然人的，</w:t>
      </w:r>
      <w:r>
        <w:rPr>
          <w:rFonts w:hint="eastAsia" w:ascii="方正仿宋_GBK" w:hAnsi="仿宋" w:eastAsia="方正仿宋_GBK" w:cs="仿宋"/>
          <w:color w:val="auto"/>
          <w:sz w:val="32"/>
          <w:szCs w:val="32"/>
          <w:lang w:eastAsia="zh-CN"/>
        </w:rPr>
        <w:t>询问</w:t>
      </w:r>
      <w:r>
        <w:rPr>
          <w:rFonts w:hint="eastAsia" w:ascii="方正仿宋_GBK" w:hAnsi="仿宋" w:eastAsia="方正仿宋_GBK" w:cs="仿宋"/>
          <w:color w:val="auto"/>
          <w:sz w:val="32"/>
          <w:szCs w:val="32"/>
        </w:rPr>
        <w:t>函应当由本人签字；供应商为法人或者其他组织的，</w:t>
      </w:r>
      <w:r>
        <w:rPr>
          <w:rFonts w:hint="eastAsia" w:ascii="方正仿宋_GBK" w:hAnsi="仿宋" w:eastAsia="方正仿宋_GBK" w:cs="仿宋"/>
          <w:color w:val="auto"/>
          <w:sz w:val="32"/>
          <w:szCs w:val="32"/>
          <w:lang w:eastAsia="zh-CN"/>
        </w:rPr>
        <w:t>询问</w:t>
      </w:r>
      <w:r>
        <w:rPr>
          <w:rFonts w:hint="eastAsia" w:ascii="方正仿宋_GBK" w:hAnsi="仿宋" w:eastAsia="方正仿宋_GBK" w:cs="仿宋"/>
          <w:color w:val="auto"/>
          <w:sz w:val="32"/>
          <w:szCs w:val="32"/>
        </w:rPr>
        <w:t>函应当由法定代表人、主要负责人，或者其授权代表签字或者盖章，并加盖公章。</w:t>
      </w:r>
    </w:p>
    <w:p>
      <w:pPr>
        <w:pageBreakBefore w:val="0"/>
        <w:widowControl w:val="0"/>
        <w:kinsoku/>
        <w:wordWrap/>
        <w:overflowPunct/>
        <w:topLinePunct w:val="0"/>
        <w:autoSpaceDE/>
        <w:autoSpaceDN/>
        <w:bidi w:val="0"/>
        <w:spacing w:line="560" w:lineRule="exact"/>
        <w:ind w:right="12" w:firstLine="480"/>
        <w:textAlignment w:val="auto"/>
        <w:outlineLvl w:val="2"/>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2.</w:t>
      </w:r>
      <w:r>
        <w:rPr>
          <w:rFonts w:hint="eastAsia" w:ascii="方正仿宋_GBK" w:hAnsi="仿宋" w:eastAsia="方正仿宋_GBK" w:cs="仿宋"/>
          <w:color w:val="auto"/>
          <w:sz w:val="32"/>
          <w:szCs w:val="32"/>
          <w:lang w:eastAsia="zh-CN"/>
        </w:rPr>
        <w:t>询问</w:t>
      </w:r>
      <w:r>
        <w:rPr>
          <w:rFonts w:hint="eastAsia" w:ascii="方正仿宋_GBK" w:hAnsi="仿宋" w:eastAsia="方正仿宋_GBK" w:cs="仿宋"/>
          <w:color w:val="auto"/>
          <w:sz w:val="32"/>
          <w:szCs w:val="32"/>
        </w:rPr>
        <w:t>答复</w:t>
      </w:r>
    </w:p>
    <w:p>
      <w:pPr>
        <w:pageBreakBefore w:val="0"/>
        <w:widowControl w:val="0"/>
        <w:kinsoku/>
        <w:wordWrap/>
        <w:overflowPunct/>
        <w:topLinePunct w:val="0"/>
        <w:autoSpaceDE/>
        <w:autoSpaceDN/>
        <w:bidi w:val="0"/>
        <w:spacing w:line="560" w:lineRule="exact"/>
        <w:ind w:right="12" w:firstLine="480"/>
        <w:textAlignment w:val="auto"/>
        <w:rPr>
          <w:rFonts w:ascii="方正仿宋_GBK" w:hAnsi="仿宋" w:eastAsia="方正仿宋_GBK" w:cs="仿宋"/>
          <w:color w:val="auto"/>
          <w:sz w:val="32"/>
          <w:szCs w:val="32"/>
        </w:rPr>
      </w:pPr>
      <w:r>
        <w:rPr>
          <w:rFonts w:hint="eastAsia" w:ascii="方正仿宋_GBK" w:hAnsi="仿宋" w:eastAsia="方正仿宋_GBK" w:cs="仿宋"/>
          <w:color w:val="auto"/>
          <w:sz w:val="32"/>
          <w:szCs w:val="32"/>
        </w:rPr>
        <w:t>采购人应当在收到供应商的书面</w:t>
      </w:r>
      <w:r>
        <w:rPr>
          <w:rFonts w:hint="eastAsia" w:ascii="方正仿宋_GBK" w:hAnsi="仿宋" w:eastAsia="方正仿宋_GBK" w:cs="仿宋"/>
          <w:color w:val="auto"/>
          <w:sz w:val="32"/>
          <w:szCs w:val="32"/>
          <w:lang w:eastAsia="zh-CN"/>
        </w:rPr>
        <w:t>询问</w:t>
      </w:r>
      <w:r>
        <w:rPr>
          <w:rFonts w:hint="eastAsia" w:ascii="方正仿宋_GBK" w:hAnsi="仿宋" w:eastAsia="方正仿宋_GBK" w:cs="仿宋"/>
          <w:color w:val="auto"/>
          <w:sz w:val="32"/>
          <w:szCs w:val="32"/>
        </w:rPr>
        <w:t>后七个工作日内作出答复，采购人</w:t>
      </w:r>
      <w:r>
        <w:rPr>
          <w:rFonts w:hint="eastAsia" w:ascii="方正仿宋_GBK" w:hAnsi="仿宋" w:eastAsia="方正仿宋_GBK" w:cs="仿宋"/>
          <w:color w:val="auto"/>
          <w:sz w:val="32"/>
          <w:szCs w:val="32"/>
          <w:lang w:eastAsia="zh-CN"/>
        </w:rPr>
        <w:t>可以请本项目</w:t>
      </w:r>
      <w:r>
        <w:rPr>
          <w:rFonts w:hint="eastAsia" w:ascii="方正仿宋_GBK" w:hAnsi="宋体" w:eastAsia="方正仿宋_GBK" w:cs="宋体"/>
          <w:color w:val="auto"/>
          <w:kern w:val="0"/>
          <w:sz w:val="32"/>
          <w:szCs w:val="32"/>
          <w:lang w:val="en-US" w:eastAsia="zh-CN"/>
        </w:rPr>
        <w:t>竞争性磋商</w:t>
      </w:r>
      <w:r>
        <w:rPr>
          <w:rFonts w:hint="eastAsia" w:ascii="方正仿宋_GBK" w:hAnsi="仿宋" w:eastAsia="方正仿宋_GBK" w:cs="仿宋"/>
          <w:color w:val="auto"/>
          <w:sz w:val="32"/>
          <w:szCs w:val="32"/>
          <w:lang w:eastAsia="zh-CN"/>
        </w:rPr>
        <w:t>小组或关联供应商协助答复</w:t>
      </w:r>
      <w:r>
        <w:rPr>
          <w:rFonts w:hint="eastAsia" w:ascii="方正仿宋_GBK" w:hAnsi="仿宋" w:eastAsia="方正仿宋_GBK" w:cs="仿宋"/>
          <w:color w:val="auto"/>
          <w:sz w:val="32"/>
          <w:szCs w:val="32"/>
        </w:rPr>
        <w:t>。</w:t>
      </w:r>
    </w:p>
    <w:p>
      <w:pPr>
        <w:pStyle w:val="4"/>
        <w:pageBreakBefore w:val="0"/>
        <w:widowControl w:val="0"/>
        <w:kinsoku/>
        <w:wordWrap/>
        <w:overflowPunct/>
        <w:topLinePunct w:val="0"/>
        <w:autoSpaceDE/>
        <w:autoSpaceDN/>
        <w:bidi w:val="0"/>
        <w:adjustRightInd w:val="0"/>
        <w:snapToGrid w:val="0"/>
        <w:spacing w:before="0" w:after="0" w:line="560" w:lineRule="exact"/>
        <w:ind w:firstLine="643" w:firstLineChars="200"/>
        <w:textAlignment w:val="auto"/>
        <w:rPr>
          <w:rFonts w:hint="eastAsia" w:ascii="方正黑体_GBK" w:hAnsi="方正黑体_GBK" w:eastAsia="方正黑体_GBK" w:cs="方正黑体_GBK"/>
          <w:color w:val="auto"/>
          <w:sz w:val="32"/>
          <w:szCs w:val="32"/>
        </w:rPr>
      </w:pPr>
      <w:bookmarkStart w:id="177" w:name="_Toc102227322"/>
      <w:bookmarkStart w:id="178" w:name="_Toc106030901"/>
      <w:bookmarkStart w:id="179" w:name="_Toc30259"/>
      <w:bookmarkStart w:id="180" w:name="_Toc69"/>
      <w:bookmarkStart w:id="181" w:name="_Toc342913396"/>
      <w:bookmarkStart w:id="182" w:name="_Toc20483"/>
      <w:bookmarkStart w:id="183" w:name="_Toc76462346"/>
      <w:r>
        <w:rPr>
          <w:rFonts w:hint="eastAsia" w:ascii="方正黑体_GBK" w:hAnsi="方正黑体_GBK" w:eastAsia="方正黑体_GBK" w:cs="方正黑体_GBK"/>
          <w:color w:val="auto"/>
          <w:sz w:val="32"/>
          <w:szCs w:val="32"/>
          <w:lang w:eastAsia="zh-CN"/>
        </w:rPr>
        <w:t>七</w:t>
      </w:r>
      <w:r>
        <w:rPr>
          <w:rFonts w:hint="eastAsia" w:ascii="方正黑体_GBK" w:hAnsi="方正黑体_GBK" w:eastAsia="方正黑体_GBK" w:cs="方正黑体_GBK"/>
          <w:color w:val="auto"/>
          <w:sz w:val="32"/>
          <w:szCs w:val="32"/>
        </w:rPr>
        <w:t>、签订</w:t>
      </w:r>
      <w:bookmarkEnd w:id="177"/>
      <w:r>
        <w:rPr>
          <w:rFonts w:hint="eastAsia" w:ascii="方正黑体_GBK" w:hAnsi="方正黑体_GBK" w:eastAsia="方正黑体_GBK" w:cs="方正黑体_GBK"/>
          <w:color w:val="auto"/>
          <w:sz w:val="32"/>
          <w:szCs w:val="32"/>
        </w:rPr>
        <w:t>合同</w:t>
      </w:r>
      <w:bookmarkEnd w:id="178"/>
      <w:bookmarkEnd w:id="179"/>
      <w:bookmarkEnd w:id="180"/>
      <w:bookmarkEnd w:id="181"/>
      <w:bookmarkEnd w:id="182"/>
      <w:bookmarkEnd w:id="183"/>
    </w:p>
    <w:p>
      <w:pPr>
        <w:pageBreakBefore w:val="0"/>
        <w:widowControl w:val="0"/>
        <w:kinsoku/>
        <w:wordWrap/>
        <w:overflowPunct/>
        <w:topLinePunct w:val="0"/>
        <w:autoSpaceDE/>
        <w:autoSpaceDN/>
        <w:bidi w:val="0"/>
        <w:spacing w:line="560" w:lineRule="exact"/>
        <w:ind w:firstLine="480" w:firstLineChars="15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（一）</w:t>
      </w:r>
      <w:r>
        <w:rPr>
          <w:rFonts w:hint="eastAsia" w:ascii="方正仿宋_GBK" w:hAnsi="方正仿宋_GBK" w:eastAsia="方正仿宋_GBK"/>
          <w:color w:val="auto"/>
          <w:sz w:val="32"/>
          <w:szCs w:val="32"/>
        </w:rPr>
        <w:t>采购人原则上应在成交通知书发出之日起二十日内和成交供应商签订采购合同，无正当理由不得拒绝或拖延合同签订</w:t>
      </w:r>
      <w:r>
        <w:rPr>
          <w:rFonts w:hint="eastAsia" w:ascii="方正仿宋_GBK" w:hAnsi="宋体" w:eastAsia="方正仿宋_GBK"/>
          <w:color w:val="auto"/>
          <w:sz w:val="32"/>
          <w:szCs w:val="32"/>
        </w:rPr>
        <w:t>。所签订的合同不得对</w:t>
      </w:r>
      <w:r>
        <w:rPr>
          <w:rFonts w:hint="eastAsia" w:ascii="方正仿宋_GBK" w:hAnsi="宋体" w:eastAsia="方正仿宋_GBK" w:cs="宋体"/>
          <w:color w:val="auto"/>
          <w:kern w:val="0"/>
          <w:sz w:val="32"/>
          <w:szCs w:val="32"/>
          <w:lang w:val="en-US" w:eastAsia="zh-CN"/>
        </w:rPr>
        <w:t>竞争性磋商</w:t>
      </w:r>
      <w:r>
        <w:rPr>
          <w:rFonts w:hint="eastAsia" w:ascii="方正仿宋_GBK" w:hAnsi="宋体" w:eastAsia="方正仿宋_GBK"/>
          <w:color w:val="auto"/>
          <w:sz w:val="32"/>
          <w:szCs w:val="32"/>
          <w:lang w:eastAsia="zh-CN"/>
        </w:rPr>
        <w:t>采购</w:t>
      </w:r>
      <w:r>
        <w:rPr>
          <w:rFonts w:hint="eastAsia" w:ascii="方正仿宋_GBK" w:hAnsi="宋体" w:eastAsia="方正仿宋_GBK"/>
          <w:color w:val="auto"/>
          <w:sz w:val="32"/>
          <w:szCs w:val="32"/>
        </w:rPr>
        <w:t>文件和供应商的响应文件作实质性修改。其他未尽事宜由采购人和成交供应商在采购合同中详细约定。</w:t>
      </w:r>
    </w:p>
    <w:p>
      <w:pPr>
        <w:pageBreakBefore w:val="0"/>
        <w:widowControl w:val="0"/>
        <w:kinsoku/>
        <w:wordWrap/>
        <w:overflowPunct/>
        <w:topLinePunct w:val="0"/>
        <w:autoSpaceDE/>
        <w:autoSpaceDN/>
        <w:bidi w:val="0"/>
        <w:spacing w:line="560" w:lineRule="exact"/>
        <w:ind w:firstLine="480" w:firstLineChars="15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w:t>
      </w:r>
      <w:r>
        <w:rPr>
          <w:rFonts w:hint="eastAsia" w:ascii="方正仿宋_GBK" w:hAnsi="宋体" w:eastAsia="方正仿宋_GBK"/>
          <w:color w:val="auto"/>
          <w:sz w:val="32"/>
          <w:szCs w:val="32"/>
          <w:lang w:eastAsia="zh-CN"/>
        </w:rPr>
        <w:t>二</w:t>
      </w:r>
      <w:r>
        <w:rPr>
          <w:rFonts w:hint="eastAsia" w:ascii="方正仿宋_GBK" w:hAnsi="宋体" w:eastAsia="方正仿宋_GBK"/>
          <w:color w:val="auto"/>
          <w:sz w:val="32"/>
          <w:szCs w:val="32"/>
        </w:rPr>
        <w:t>）</w:t>
      </w:r>
      <w:r>
        <w:rPr>
          <w:rFonts w:hint="eastAsia" w:ascii="方正仿宋_GBK" w:hAnsi="宋体" w:eastAsia="方正仿宋_GBK"/>
          <w:color w:val="auto"/>
          <w:sz w:val="32"/>
          <w:szCs w:val="32"/>
          <w:lang w:val="en-US" w:eastAsia="zh-CN"/>
        </w:rPr>
        <w:t>竞争性磋商</w:t>
      </w:r>
      <w:r>
        <w:rPr>
          <w:rFonts w:hint="eastAsia" w:ascii="方正仿宋_GBK" w:hAnsi="宋体" w:eastAsia="方正仿宋_GBK"/>
          <w:color w:val="auto"/>
          <w:sz w:val="32"/>
          <w:szCs w:val="32"/>
        </w:rPr>
        <w:t>文件、供应商的响应文件及澄清文件等，均为签订采购合同的依据。</w:t>
      </w:r>
    </w:p>
    <w:p>
      <w:pPr>
        <w:pageBreakBefore w:val="0"/>
        <w:widowControl w:val="0"/>
        <w:kinsoku/>
        <w:wordWrap/>
        <w:overflowPunct/>
        <w:topLinePunct w:val="0"/>
        <w:autoSpaceDE/>
        <w:autoSpaceDN/>
        <w:bidi w:val="0"/>
        <w:spacing w:line="560" w:lineRule="exact"/>
        <w:ind w:firstLine="480" w:firstLineChars="15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w:t>
      </w:r>
      <w:r>
        <w:rPr>
          <w:rFonts w:hint="eastAsia" w:ascii="方正仿宋_GBK" w:hAnsi="宋体" w:eastAsia="方正仿宋_GBK"/>
          <w:color w:val="auto"/>
          <w:sz w:val="32"/>
          <w:szCs w:val="32"/>
          <w:lang w:eastAsia="zh-CN"/>
        </w:rPr>
        <w:t>三</w:t>
      </w:r>
      <w:r>
        <w:rPr>
          <w:rFonts w:hint="eastAsia" w:ascii="方正仿宋_GBK" w:hAnsi="宋体" w:eastAsia="方正仿宋_GBK"/>
          <w:color w:val="auto"/>
          <w:sz w:val="32"/>
          <w:szCs w:val="32"/>
        </w:rPr>
        <w:t>）合同生效条款由供需双方约定，法律、行政法规规定应当办理批准、登记等手续后生效的合同，依照其规定。</w:t>
      </w:r>
    </w:p>
    <w:p>
      <w:pPr>
        <w:pageBreakBefore w:val="0"/>
        <w:widowControl w:val="0"/>
        <w:kinsoku/>
        <w:wordWrap/>
        <w:overflowPunct/>
        <w:topLinePunct w:val="0"/>
        <w:autoSpaceDE/>
        <w:autoSpaceDN/>
        <w:bidi w:val="0"/>
        <w:spacing w:line="560" w:lineRule="exact"/>
        <w:ind w:firstLine="0" w:firstLineChars="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lang w:val="en-US" w:eastAsia="zh-CN"/>
        </w:rPr>
        <w:t xml:space="preserve">  </w:t>
      </w:r>
      <w:r>
        <w:rPr>
          <w:rFonts w:hint="eastAsia" w:ascii="方正仿宋_GBK" w:hAnsi="宋体" w:eastAsia="方正仿宋_GBK"/>
          <w:color w:val="auto"/>
          <w:sz w:val="32"/>
          <w:szCs w:val="32"/>
        </w:rPr>
        <w:t>（</w:t>
      </w:r>
      <w:r>
        <w:rPr>
          <w:rFonts w:hint="eastAsia" w:ascii="方正仿宋_GBK" w:hAnsi="宋体" w:eastAsia="方正仿宋_GBK"/>
          <w:color w:val="auto"/>
          <w:sz w:val="32"/>
          <w:szCs w:val="32"/>
          <w:lang w:eastAsia="zh-CN"/>
        </w:rPr>
        <w:t>四</w:t>
      </w:r>
      <w:r>
        <w:rPr>
          <w:rFonts w:hint="eastAsia" w:ascii="方正仿宋_GBK" w:hAnsi="宋体" w:eastAsia="方正仿宋_GBK"/>
          <w:color w:val="auto"/>
          <w:sz w:val="32"/>
          <w:szCs w:val="32"/>
        </w:rPr>
        <w:t>）采购人要求成交供应商提供履约保证金的，应当在</w:t>
      </w:r>
      <w:r>
        <w:rPr>
          <w:rFonts w:hint="eastAsia" w:ascii="方正仿宋_GBK" w:hAnsi="宋体" w:eastAsia="方正仿宋_GBK"/>
          <w:color w:val="auto"/>
          <w:sz w:val="32"/>
          <w:szCs w:val="32"/>
          <w:lang w:val="en-US" w:eastAsia="zh-CN"/>
        </w:rPr>
        <w:t>竞争性磋商</w:t>
      </w:r>
      <w:r>
        <w:rPr>
          <w:rFonts w:hint="eastAsia" w:ascii="方正仿宋_GBK" w:hAnsi="宋体" w:eastAsia="方正仿宋_GBK"/>
          <w:color w:val="auto"/>
          <w:sz w:val="32"/>
          <w:szCs w:val="32"/>
        </w:rPr>
        <w:t>文件中予以约定。成交供应商履约完毕后，采购人根据采购文件规定无息退还其履约保证金。</w:t>
      </w:r>
    </w:p>
    <w:p>
      <w:pPr>
        <w:pStyle w:val="4"/>
        <w:pageBreakBefore w:val="0"/>
        <w:widowControl w:val="0"/>
        <w:kinsoku/>
        <w:wordWrap/>
        <w:overflowPunct/>
        <w:topLinePunct w:val="0"/>
        <w:autoSpaceDE/>
        <w:autoSpaceDN/>
        <w:bidi w:val="0"/>
        <w:adjustRightInd w:val="0"/>
        <w:snapToGrid w:val="0"/>
        <w:spacing w:before="0" w:after="0" w:line="560" w:lineRule="exact"/>
        <w:ind w:firstLine="643" w:firstLineChars="200"/>
        <w:textAlignment w:val="auto"/>
        <w:rPr>
          <w:rFonts w:hint="eastAsia" w:ascii="方正黑体_GBK" w:hAnsi="方正黑体_GBK" w:eastAsia="方正黑体_GBK" w:cs="方正黑体_GBK"/>
          <w:color w:val="auto"/>
          <w:sz w:val="32"/>
          <w:szCs w:val="32"/>
        </w:rPr>
      </w:pPr>
      <w:bookmarkStart w:id="184" w:name="_Toc3126"/>
      <w:bookmarkStart w:id="185" w:name="_Toc106030902"/>
      <w:bookmarkStart w:id="186" w:name="_Toc5255"/>
      <w:bookmarkStart w:id="187" w:name="_Toc16198"/>
      <w:r>
        <w:rPr>
          <w:rFonts w:hint="eastAsia" w:ascii="方正黑体_GBK" w:hAnsi="方正黑体_GBK" w:eastAsia="方正黑体_GBK" w:cs="方正黑体_GBK"/>
          <w:color w:val="auto"/>
          <w:sz w:val="32"/>
          <w:szCs w:val="32"/>
          <w:lang w:eastAsia="zh-CN"/>
        </w:rPr>
        <w:t>八</w:t>
      </w:r>
      <w:r>
        <w:rPr>
          <w:rFonts w:hint="eastAsia" w:ascii="方正黑体_GBK" w:hAnsi="方正黑体_GBK" w:eastAsia="方正黑体_GBK" w:cs="方正黑体_GBK"/>
          <w:color w:val="auto"/>
          <w:sz w:val="32"/>
          <w:szCs w:val="32"/>
        </w:rPr>
        <w:t>、项目验收</w:t>
      </w:r>
      <w:bookmarkEnd w:id="184"/>
      <w:bookmarkEnd w:id="185"/>
      <w:bookmarkEnd w:id="186"/>
      <w:bookmarkEnd w:id="187"/>
    </w:p>
    <w:p>
      <w:pPr>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宋体" w:eastAsia="方正仿宋_GBK"/>
          <w:color w:val="auto"/>
          <w:sz w:val="24"/>
          <w:szCs w:val="24"/>
        </w:rPr>
      </w:pPr>
      <w:r>
        <w:rPr>
          <w:rFonts w:hint="eastAsia" w:ascii="方正仿宋_GBK" w:hAnsi="方正仿宋_GBK" w:eastAsia="方正仿宋_GBK"/>
          <w:color w:val="auto"/>
          <w:sz w:val="32"/>
          <w:szCs w:val="32"/>
        </w:rPr>
        <w:t>合同执行完毕，采购人原则上应在</w:t>
      </w:r>
      <w:r>
        <w:rPr>
          <w:rFonts w:hint="eastAsia" w:ascii="方正仿宋_GBK" w:hAnsi="方正仿宋_GBK" w:eastAsia="方正仿宋_GBK"/>
          <w:color w:val="auto"/>
          <w:sz w:val="32"/>
          <w:szCs w:val="32"/>
          <w:lang w:val="en-US" w:eastAsia="zh-CN"/>
        </w:rPr>
        <w:t>10</w:t>
      </w:r>
      <w:r>
        <w:rPr>
          <w:rFonts w:hint="eastAsia" w:ascii="方正仿宋_GBK" w:hAnsi="方正仿宋_GBK" w:eastAsia="方正仿宋_GBK"/>
          <w:color w:val="auto"/>
          <w:sz w:val="32"/>
          <w:szCs w:val="32"/>
        </w:rPr>
        <w:t>个工作日内组织履约情况验收。</w:t>
      </w:r>
    </w:p>
    <w:p>
      <w:pPr>
        <w:pStyle w:val="4"/>
        <w:spacing w:before="0" w:after="0" w:line="360" w:lineRule="auto"/>
        <w:jc w:val="center"/>
        <w:rPr>
          <w:rFonts w:hint="eastAsia" w:ascii="方正小标宋_GBK" w:hAnsi="方正小标宋_GBK" w:eastAsia="方正小标宋_GBK" w:cs="方正小标宋_GBK"/>
          <w:b w:val="0"/>
          <w:color w:val="auto"/>
          <w:sz w:val="44"/>
          <w:szCs w:val="44"/>
        </w:rPr>
      </w:pPr>
      <w:bookmarkStart w:id="188" w:name="_Toc76462348"/>
      <w:bookmarkStart w:id="189" w:name="_Toc106030904"/>
      <w:bookmarkStart w:id="190" w:name="_Toc19466"/>
      <w:bookmarkStart w:id="191" w:name="_Toc17992"/>
      <w:bookmarkStart w:id="192" w:name="_Toc21695"/>
    </w:p>
    <w:p>
      <w:pPr>
        <w:rPr>
          <w:rFonts w:hint="eastAsia" w:ascii="方正小标宋_GBK" w:hAnsi="方正小标宋_GBK" w:eastAsia="方正小标宋_GBK" w:cs="方正小标宋_GBK"/>
          <w:b w:val="0"/>
          <w:color w:val="auto"/>
          <w:sz w:val="44"/>
          <w:szCs w:val="44"/>
        </w:rPr>
      </w:pPr>
    </w:p>
    <w:p>
      <w:pPr>
        <w:pStyle w:val="2"/>
        <w:rPr>
          <w:rFonts w:hint="eastAsia" w:ascii="方正小标宋_GBK" w:hAnsi="方正小标宋_GBK" w:eastAsia="方正小标宋_GBK" w:cs="方正小标宋_GBK"/>
          <w:b w:val="0"/>
          <w:color w:val="auto"/>
          <w:sz w:val="44"/>
          <w:szCs w:val="44"/>
        </w:rPr>
      </w:pPr>
    </w:p>
    <w:p>
      <w:pPr>
        <w:pStyle w:val="3"/>
        <w:rPr>
          <w:rFonts w:hint="eastAsia" w:ascii="方正小标宋_GBK" w:hAnsi="方正小标宋_GBK" w:eastAsia="方正小标宋_GBK" w:cs="方正小标宋_GBK"/>
          <w:b w:val="0"/>
          <w:color w:val="auto"/>
          <w:sz w:val="44"/>
          <w:szCs w:val="44"/>
        </w:rPr>
      </w:pPr>
    </w:p>
    <w:p>
      <w:pPr>
        <w:rPr>
          <w:rFonts w:hint="eastAsia" w:ascii="方正小标宋_GBK" w:hAnsi="方正小标宋_GBK" w:eastAsia="方正小标宋_GBK" w:cs="方正小标宋_GBK"/>
          <w:b w:val="0"/>
          <w:color w:val="auto"/>
          <w:sz w:val="44"/>
          <w:szCs w:val="44"/>
        </w:rPr>
      </w:pPr>
    </w:p>
    <w:p>
      <w:pPr>
        <w:pStyle w:val="2"/>
        <w:rPr>
          <w:rFonts w:hint="eastAsia" w:ascii="方正小标宋_GBK" w:hAnsi="方正小标宋_GBK" w:eastAsia="方正小标宋_GBK" w:cs="方正小标宋_GBK"/>
          <w:b w:val="0"/>
          <w:color w:val="auto"/>
          <w:sz w:val="44"/>
          <w:szCs w:val="44"/>
        </w:rPr>
      </w:pPr>
    </w:p>
    <w:p>
      <w:pPr>
        <w:pStyle w:val="3"/>
        <w:rPr>
          <w:rFonts w:hint="eastAsia" w:ascii="方正小标宋_GBK" w:hAnsi="方正小标宋_GBK" w:eastAsia="方正小标宋_GBK" w:cs="方正小标宋_GBK"/>
          <w:b w:val="0"/>
          <w:color w:val="auto"/>
          <w:sz w:val="44"/>
          <w:szCs w:val="44"/>
        </w:rPr>
      </w:pPr>
    </w:p>
    <w:p>
      <w:pPr>
        <w:rPr>
          <w:rFonts w:hint="eastAsia" w:ascii="方正小标宋_GBK" w:hAnsi="方正小标宋_GBK" w:eastAsia="方正小标宋_GBK" w:cs="方正小标宋_GBK"/>
          <w:b w:val="0"/>
          <w:color w:val="auto"/>
          <w:sz w:val="44"/>
          <w:szCs w:val="44"/>
        </w:rPr>
      </w:pPr>
    </w:p>
    <w:p>
      <w:pPr>
        <w:pStyle w:val="2"/>
        <w:rPr>
          <w:rFonts w:hint="eastAsia" w:ascii="方正小标宋_GBK" w:hAnsi="方正小标宋_GBK" w:eastAsia="方正小标宋_GBK" w:cs="方正小标宋_GBK"/>
          <w:b w:val="0"/>
          <w:color w:val="auto"/>
          <w:sz w:val="44"/>
          <w:szCs w:val="44"/>
        </w:rPr>
      </w:pPr>
    </w:p>
    <w:p>
      <w:pPr>
        <w:pStyle w:val="3"/>
        <w:rPr>
          <w:rFonts w:hint="eastAsia" w:ascii="方正小标宋_GBK" w:hAnsi="方正小标宋_GBK" w:eastAsia="方正小标宋_GBK" w:cs="方正小标宋_GBK"/>
          <w:b w:val="0"/>
          <w:color w:val="auto"/>
          <w:sz w:val="44"/>
          <w:szCs w:val="44"/>
        </w:rPr>
      </w:pPr>
    </w:p>
    <w:p>
      <w:pPr>
        <w:rPr>
          <w:rFonts w:hint="eastAsia" w:ascii="方正小标宋_GBK" w:hAnsi="方正小标宋_GBK" w:eastAsia="方正小标宋_GBK" w:cs="方正小标宋_GBK"/>
          <w:b w:val="0"/>
          <w:color w:val="auto"/>
          <w:sz w:val="44"/>
          <w:szCs w:val="44"/>
        </w:rPr>
      </w:pPr>
    </w:p>
    <w:p>
      <w:pPr>
        <w:pStyle w:val="2"/>
        <w:rPr>
          <w:rFonts w:hint="eastAsia"/>
        </w:rPr>
      </w:pPr>
    </w:p>
    <w:p>
      <w:pPr>
        <w:pStyle w:val="4"/>
        <w:spacing w:before="0" w:after="0" w:line="360" w:lineRule="auto"/>
        <w:jc w:val="center"/>
        <w:rPr>
          <w:rFonts w:hint="eastAsia" w:ascii="方正小标宋_GBK" w:hAnsi="方正小标宋_GBK" w:eastAsia="方正小标宋_GBK" w:cs="方正小标宋_GBK"/>
          <w:b w:val="0"/>
          <w:color w:val="auto"/>
          <w:sz w:val="44"/>
          <w:szCs w:val="44"/>
          <w:lang w:eastAsia="zh-CN"/>
        </w:rPr>
      </w:pPr>
      <w:r>
        <w:rPr>
          <w:rFonts w:hint="eastAsia" w:ascii="方正小标宋_GBK" w:hAnsi="方正小标宋_GBK" w:eastAsia="方正小标宋_GBK" w:cs="方正小标宋_GBK"/>
          <w:b w:val="0"/>
          <w:color w:val="auto"/>
          <w:sz w:val="44"/>
          <w:szCs w:val="44"/>
        </w:rPr>
        <w:t xml:space="preserve">第六篇  </w:t>
      </w:r>
      <w:r>
        <w:rPr>
          <w:rFonts w:hint="eastAsia" w:ascii="方正小标宋_GBK" w:hAnsi="方正小标宋_GBK" w:eastAsia="方正小标宋_GBK" w:cs="方正小标宋_GBK"/>
          <w:b w:val="0"/>
          <w:color w:val="auto"/>
          <w:sz w:val="44"/>
          <w:szCs w:val="44"/>
          <w:lang w:val="en-US" w:eastAsia="zh-CN"/>
        </w:rPr>
        <w:t>竞争性磋商</w:t>
      </w:r>
      <w:r>
        <w:rPr>
          <w:rFonts w:hint="eastAsia" w:ascii="方正小标宋_GBK" w:hAnsi="方正小标宋_GBK" w:eastAsia="方正小标宋_GBK" w:cs="方正小标宋_GBK"/>
          <w:b w:val="0"/>
          <w:color w:val="auto"/>
          <w:sz w:val="44"/>
          <w:szCs w:val="44"/>
        </w:rPr>
        <w:t>合同</w:t>
      </w:r>
      <w:bookmarkEnd w:id="188"/>
      <w:bookmarkEnd w:id="189"/>
      <w:r>
        <w:rPr>
          <w:rFonts w:hint="eastAsia" w:ascii="方正小标宋_GBK" w:hAnsi="方正小标宋_GBK" w:eastAsia="方正小标宋_GBK" w:cs="方正小标宋_GBK"/>
          <w:b w:val="0"/>
          <w:color w:val="auto"/>
          <w:sz w:val="44"/>
          <w:szCs w:val="44"/>
          <w:lang w:eastAsia="zh-CN"/>
        </w:rPr>
        <w:t>（参考格式）</w:t>
      </w:r>
      <w:bookmarkEnd w:id="190"/>
      <w:bookmarkEnd w:id="191"/>
      <w:bookmarkEnd w:id="192"/>
    </w:p>
    <w:p>
      <w:pPr>
        <w:spacing w:line="500" w:lineRule="exact"/>
        <w:jc w:val="center"/>
        <w:rPr>
          <w:rFonts w:hint="eastAsia" w:ascii="方正小标宋_GBK" w:hAnsi="方正小标宋_GBK" w:eastAsia="方正小标宋_GBK" w:cs="方正小标宋_GBK"/>
          <w:b/>
          <w:color w:val="auto"/>
          <w:sz w:val="44"/>
          <w:szCs w:val="44"/>
        </w:rPr>
      </w:pPr>
      <w:r>
        <w:rPr>
          <w:rFonts w:hint="eastAsia" w:ascii="方正小标宋_GBK" w:hAnsi="方正小标宋_GBK" w:eastAsia="方正小标宋_GBK" w:cs="方正小标宋_GBK"/>
          <w:b/>
          <w:color w:val="auto"/>
          <w:sz w:val="44"/>
          <w:szCs w:val="44"/>
          <w:lang w:eastAsia="zh-CN"/>
        </w:rPr>
        <w:t>项目</w:t>
      </w:r>
      <w:r>
        <w:rPr>
          <w:rFonts w:hint="eastAsia" w:ascii="方正小标宋_GBK" w:hAnsi="方正小标宋_GBK" w:eastAsia="方正小标宋_GBK" w:cs="方正小标宋_GBK"/>
          <w:b/>
          <w:color w:val="auto"/>
          <w:sz w:val="44"/>
          <w:szCs w:val="44"/>
        </w:rPr>
        <w:t>采购合同</w:t>
      </w:r>
    </w:p>
    <w:p>
      <w:pPr>
        <w:spacing w:line="500" w:lineRule="exact"/>
        <w:jc w:val="center"/>
        <w:rPr>
          <w:rFonts w:hint="eastAsia" w:ascii="方正仿宋_GBK" w:eastAsia="方正仿宋_GBK"/>
          <w:color w:val="auto"/>
        </w:rPr>
      </w:pPr>
      <w:r>
        <w:rPr>
          <w:rFonts w:hint="eastAsia" w:ascii="方正仿宋_GBK" w:eastAsia="方正仿宋_GBK"/>
          <w:color w:val="auto"/>
        </w:rPr>
        <w:t>（项目号：     ）</w:t>
      </w:r>
    </w:p>
    <w:p>
      <w:pPr>
        <w:spacing w:line="500" w:lineRule="exact"/>
        <w:rPr>
          <w:rFonts w:hint="eastAsia" w:ascii="方正仿宋_GBK" w:eastAsia="方正仿宋_GBK"/>
          <w:color w:val="auto"/>
          <w:sz w:val="24"/>
        </w:rPr>
      </w:pPr>
      <w:r>
        <w:rPr>
          <w:rFonts w:hint="eastAsia" w:ascii="方正仿宋_GBK" w:eastAsia="方正仿宋_GBK"/>
          <w:color w:val="auto"/>
          <w:sz w:val="24"/>
        </w:rPr>
        <w:t>甲方（需方）：___________________________      计价单位：____________</w:t>
      </w:r>
    </w:p>
    <w:p>
      <w:pPr>
        <w:spacing w:line="500" w:lineRule="exact"/>
        <w:rPr>
          <w:rFonts w:hint="eastAsia" w:ascii="方正仿宋_GBK" w:eastAsia="方正仿宋_GBK"/>
          <w:color w:val="auto"/>
          <w:sz w:val="24"/>
        </w:rPr>
      </w:pPr>
      <w:r>
        <w:rPr>
          <w:rFonts w:hint="eastAsia" w:ascii="方正仿宋_GBK" w:eastAsia="方正仿宋_GBK"/>
          <w:color w:val="auto"/>
          <w:sz w:val="24"/>
        </w:rPr>
        <w:t>乙方（供方）：___________________________      计量单位：_____________</w:t>
      </w:r>
    </w:p>
    <w:p>
      <w:pPr>
        <w:spacing w:line="500" w:lineRule="exact"/>
        <w:rPr>
          <w:rFonts w:hint="eastAsia" w:ascii="方正仿宋_GBK" w:eastAsia="方正仿宋_GBK"/>
          <w:color w:val="auto"/>
          <w:sz w:val="24"/>
        </w:rPr>
      </w:pPr>
    </w:p>
    <w:p>
      <w:pPr>
        <w:spacing w:line="500" w:lineRule="exact"/>
        <w:rPr>
          <w:rFonts w:hint="eastAsia" w:ascii="方正仿宋_GBK" w:eastAsia="方正仿宋_GBK"/>
          <w:color w:val="auto"/>
          <w:sz w:val="24"/>
        </w:rPr>
      </w:pPr>
      <w:r>
        <w:rPr>
          <w:rFonts w:hint="eastAsia" w:ascii="方正仿宋_GBK" w:eastAsia="方正仿宋_GBK"/>
          <w:color w:val="auto"/>
          <w:sz w:val="24"/>
        </w:rPr>
        <w:t>经双方协商一致，达成以下</w:t>
      </w:r>
      <w:r>
        <w:rPr>
          <w:rFonts w:hint="eastAsia" w:ascii="方正仿宋_GBK" w:eastAsia="方正仿宋_GBK"/>
          <w:color w:val="auto"/>
          <w:sz w:val="24"/>
          <w:lang w:eastAsia="zh-CN"/>
        </w:rPr>
        <w:t>服务</w:t>
      </w:r>
      <w:r>
        <w:rPr>
          <w:rFonts w:hint="eastAsia" w:ascii="方正仿宋_GBK" w:eastAsia="方正仿宋_GBK"/>
          <w:color w:val="auto"/>
          <w:sz w:val="24"/>
        </w:rPr>
        <w:t>合同：</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1"/>
        <w:gridCol w:w="1200"/>
        <w:gridCol w:w="653"/>
        <w:gridCol w:w="915"/>
        <w:gridCol w:w="1159"/>
        <w:gridCol w:w="1328"/>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2791" w:type="dxa"/>
            <w:noWrap w:val="0"/>
            <w:vAlign w:val="center"/>
          </w:tcPr>
          <w:p>
            <w:pPr>
              <w:spacing w:line="240" w:lineRule="atLeast"/>
              <w:jc w:val="center"/>
              <w:rPr>
                <w:rFonts w:hint="eastAsia" w:ascii="方正仿宋_GBK" w:eastAsia="方正仿宋_GBK"/>
                <w:color w:val="auto"/>
                <w:sz w:val="21"/>
                <w:szCs w:val="21"/>
              </w:rPr>
            </w:pPr>
            <w:r>
              <w:rPr>
                <w:rFonts w:hint="eastAsia" w:ascii="方正仿宋_GBK" w:eastAsia="方正仿宋_GBK"/>
                <w:color w:val="auto"/>
                <w:sz w:val="21"/>
                <w:szCs w:val="21"/>
                <w:lang w:val="en-US" w:eastAsia="zh-CN"/>
              </w:rPr>
              <w:t>竞争性磋商</w:t>
            </w:r>
            <w:r>
              <w:rPr>
                <w:rFonts w:hint="eastAsia" w:ascii="方正仿宋_GBK" w:eastAsia="方正仿宋_GBK"/>
                <w:color w:val="auto"/>
                <w:sz w:val="21"/>
                <w:szCs w:val="21"/>
              </w:rPr>
              <w:t>项目名称</w:t>
            </w:r>
          </w:p>
        </w:tc>
        <w:tc>
          <w:tcPr>
            <w:tcW w:w="1200" w:type="dxa"/>
            <w:noWrap w:val="0"/>
            <w:vAlign w:val="center"/>
          </w:tcPr>
          <w:p>
            <w:pPr>
              <w:spacing w:line="240" w:lineRule="atLeast"/>
              <w:jc w:val="center"/>
              <w:rPr>
                <w:rFonts w:hint="eastAsia" w:ascii="方正仿宋_GBK" w:eastAsia="方正仿宋_GBK"/>
                <w:color w:val="auto"/>
                <w:sz w:val="21"/>
                <w:szCs w:val="21"/>
              </w:rPr>
            </w:pPr>
            <w:r>
              <w:rPr>
                <w:rFonts w:hint="eastAsia" w:ascii="方正仿宋_GBK" w:eastAsia="方正仿宋_GBK"/>
                <w:color w:val="auto"/>
                <w:sz w:val="21"/>
                <w:szCs w:val="21"/>
                <w:lang w:eastAsia="zh-CN"/>
              </w:rPr>
              <w:t>明细项目（如果有）</w:t>
            </w:r>
          </w:p>
        </w:tc>
        <w:tc>
          <w:tcPr>
            <w:tcW w:w="1568" w:type="dxa"/>
            <w:gridSpan w:val="2"/>
            <w:noWrap w:val="0"/>
            <w:vAlign w:val="center"/>
          </w:tcPr>
          <w:p>
            <w:pPr>
              <w:spacing w:line="240" w:lineRule="atLeast"/>
              <w:jc w:val="center"/>
              <w:rPr>
                <w:rFonts w:hint="eastAsia" w:ascii="方正仿宋_GBK" w:eastAsia="方正仿宋_GBK"/>
                <w:color w:val="auto"/>
                <w:sz w:val="21"/>
                <w:szCs w:val="21"/>
              </w:rPr>
            </w:pPr>
            <w:r>
              <w:rPr>
                <w:rFonts w:hint="eastAsia" w:ascii="方正仿宋_GBK" w:eastAsia="方正仿宋_GBK"/>
                <w:color w:val="auto"/>
                <w:sz w:val="21"/>
                <w:szCs w:val="21"/>
                <w:lang w:eastAsia="zh-CN"/>
              </w:rPr>
              <w:t>单价（如果有）</w:t>
            </w:r>
          </w:p>
        </w:tc>
        <w:tc>
          <w:tcPr>
            <w:tcW w:w="1159" w:type="dxa"/>
            <w:noWrap w:val="0"/>
            <w:vAlign w:val="center"/>
          </w:tcPr>
          <w:p>
            <w:pPr>
              <w:spacing w:line="240" w:lineRule="atLeast"/>
              <w:jc w:val="center"/>
              <w:rPr>
                <w:rFonts w:hint="eastAsia" w:ascii="方正仿宋_GBK" w:eastAsia="方正仿宋_GBK"/>
                <w:color w:val="auto"/>
                <w:sz w:val="21"/>
                <w:szCs w:val="21"/>
              </w:rPr>
            </w:pPr>
            <w:r>
              <w:rPr>
                <w:rFonts w:hint="eastAsia" w:ascii="方正仿宋_GBK" w:eastAsia="方正仿宋_GBK"/>
                <w:color w:val="auto"/>
                <w:sz w:val="21"/>
                <w:szCs w:val="21"/>
              </w:rPr>
              <w:t>总价</w:t>
            </w:r>
          </w:p>
        </w:tc>
        <w:tc>
          <w:tcPr>
            <w:tcW w:w="1328" w:type="dxa"/>
            <w:noWrap w:val="0"/>
            <w:vAlign w:val="center"/>
          </w:tcPr>
          <w:p>
            <w:pPr>
              <w:spacing w:line="240" w:lineRule="atLeast"/>
              <w:jc w:val="center"/>
              <w:rPr>
                <w:rFonts w:hint="eastAsia" w:ascii="方正仿宋_GBK" w:eastAsia="方正仿宋_GBK"/>
                <w:color w:val="auto"/>
                <w:sz w:val="21"/>
                <w:szCs w:val="21"/>
              </w:rPr>
            </w:pPr>
            <w:r>
              <w:rPr>
                <w:rFonts w:hint="eastAsia" w:ascii="方正仿宋_GBK" w:eastAsia="方正仿宋_GBK"/>
                <w:color w:val="auto"/>
                <w:sz w:val="21"/>
                <w:szCs w:val="21"/>
              </w:rPr>
              <w:t>服务时间</w:t>
            </w:r>
          </w:p>
        </w:tc>
        <w:tc>
          <w:tcPr>
            <w:tcW w:w="1567" w:type="dxa"/>
            <w:noWrap w:val="0"/>
            <w:vAlign w:val="center"/>
          </w:tcPr>
          <w:p>
            <w:pPr>
              <w:spacing w:line="240" w:lineRule="atLeast"/>
              <w:jc w:val="center"/>
              <w:rPr>
                <w:rFonts w:hint="eastAsia" w:ascii="方正仿宋_GBK" w:eastAsia="方正仿宋_GBK"/>
                <w:color w:val="auto"/>
                <w:sz w:val="21"/>
                <w:szCs w:val="21"/>
              </w:rPr>
            </w:pPr>
            <w:r>
              <w:rPr>
                <w:rFonts w:hint="eastAsia" w:ascii="方正仿宋_GBK" w:eastAsia="方正仿宋_GBK"/>
                <w:color w:val="auto"/>
                <w:sz w:val="21"/>
                <w:szCs w:val="21"/>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2791" w:type="dxa"/>
            <w:noWrap w:val="0"/>
            <w:vAlign w:val="center"/>
          </w:tcPr>
          <w:p>
            <w:pPr>
              <w:spacing w:line="240" w:lineRule="atLeast"/>
              <w:jc w:val="center"/>
              <w:rPr>
                <w:rFonts w:hint="eastAsia" w:ascii="方正仿宋_GBK" w:eastAsia="方正仿宋_GBK"/>
                <w:color w:val="auto"/>
                <w:sz w:val="21"/>
                <w:szCs w:val="21"/>
              </w:rPr>
            </w:pPr>
          </w:p>
        </w:tc>
        <w:tc>
          <w:tcPr>
            <w:tcW w:w="1200" w:type="dxa"/>
            <w:noWrap w:val="0"/>
            <w:vAlign w:val="center"/>
          </w:tcPr>
          <w:p>
            <w:pPr>
              <w:spacing w:line="240" w:lineRule="atLeast"/>
              <w:jc w:val="center"/>
              <w:rPr>
                <w:rFonts w:hint="eastAsia" w:ascii="方正仿宋_GBK" w:eastAsia="方正仿宋_GBK"/>
                <w:color w:val="auto"/>
                <w:sz w:val="21"/>
                <w:szCs w:val="21"/>
              </w:rPr>
            </w:pPr>
          </w:p>
        </w:tc>
        <w:tc>
          <w:tcPr>
            <w:tcW w:w="1568" w:type="dxa"/>
            <w:gridSpan w:val="2"/>
            <w:noWrap w:val="0"/>
            <w:vAlign w:val="center"/>
          </w:tcPr>
          <w:p>
            <w:pPr>
              <w:spacing w:line="240" w:lineRule="atLeast"/>
              <w:jc w:val="center"/>
              <w:rPr>
                <w:rFonts w:hint="eastAsia" w:ascii="方正仿宋_GBK" w:eastAsia="方正仿宋_GBK"/>
                <w:color w:val="auto"/>
                <w:sz w:val="21"/>
                <w:szCs w:val="21"/>
              </w:rPr>
            </w:pPr>
          </w:p>
        </w:tc>
        <w:tc>
          <w:tcPr>
            <w:tcW w:w="1159" w:type="dxa"/>
            <w:noWrap w:val="0"/>
            <w:vAlign w:val="center"/>
          </w:tcPr>
          <w:p>
            <w:pPr>
              <w:spacing w:line="240" w:lineRule="atLeast"/>
              <w:jc w:val="center"/>
              <w:rPr>
                <w:rFonts w:hint="eastAsia" w:ascii="方正仿宋_GBK" w:eastAsia="方正仿宋_GBK"/>
                <w:color w:val="auto"/>
                <w:sz w:val="21"/>
                <w:szCs w:val="21"/>
              </w:rPr>
            </w:pPr>
          </w:p>
        </w:tc>
        <w:tc>
          <w:tcPr>
            <w:tcW w:w="1328" w:type="dxa"/>
            <w:noWrap w:val="0"/>
            <w:vAlign w:val="center"/>
          </w:tcPr>
          <w:p>
            <w:pPr>
              <w:spacing w:line="240" w:lineRule="atLeast"/>
              <w:jc w:val="center"/>
              <w:rPr>
                <w:rFonts w:hint="eastAsia" w:ascii="方正仿宋_GBK" w:eastAsia="方正仿宋_GBK"/>
                <w:color w:val="auto"/>
                <w:sz w:val="21"/>
                <w:szCs w:val="21"/>
              </w:rPr>
            </w:pPr>
          </w:p>
        </w:tc>
        <w:tc>
          <w:tcPr>
            <w:tcW w:w="1567" w:type="dxa"/>
            <w:noWrap w:val="0"/>
            <w:vAlign w:val="center"/>
          </w:tcPr>
          <w:p>
            <w:pPr>
              <w:spacing w:line="240" w:lineRule="atLeast"/>
              <w:jc w:val="center"/>
              <w:rPr>
                <w:rFonts w:hint="eastAsia" w:ascii="方正仿宋_GBK"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2791" w:type="dxa"/>
            <w:noWrap w:val="0"/>
            <w:vAlign w:val="center"/>
          </w:tcPr>
          <w:p>
            <w:pPr>
              <w:spacing w:line="240" w:lineRule="atLeast"/>
              <w:jc w:val="center"/>
              <w:rPr>
                <w:rFonts w:hint="eastAsia" w:ascii="方正仿宋_GBK" w:eastAsia="方正仿宋_GBK"/>
                <w:color w:val="auto"/>
                <w:sz w:val="21"/>
                <w:szCs w:val="21"/>
              </w:rPr>
            </w:pPr>
          </w:p>
        </w:tc>
        <w:tc>
          <w:tcPr>
            <w:tcW w:w="1200" w:type="dxa"/>
            <w:noWrap w:val="0"/>
            <w:vAlign w:val="center"/>
          </w:tcPr>
          <w:p>
            <w:pPr>
              <w:spacing w:line="240" w:lineRule="atLeast"/>
              <w:jc w:val="center"/>
              <w:rPr>
                <w:rFonts w:hint="eastAsia" w:ascii="方正仿宋_GBK" w:eastAsia="方正仿宋_GBK"/>
                <w:color w:val="auto"/>
                <w:sz w:val="21"/>
                <w:szCs w:val="21"/>
              </w:rPr>
            </w:pPr>
          </w:p>
        </w:tc>
        <w:tc>
          <w:tcPr>
            <w:tcW w:w="1568" w:type="dxa"/>
            <w:gridSpan w:val="2"/>
            <w:noWrap w:val="0"/>
            <w:vAlign w:val="center"/>
          </w:tcPr>
          <w:p>
            <w:pPr>
              <w:spacing w:line="240" w:lineRule="atLeast"/>
              <w:jc w:val="center"/>
              <w:rPr>
                <w:rFonts w:hint="eastAsia" w:ascii="方正仿宋_GBK" w:eastAsia="方正仿宋_GBK"/>
                <w:color w:val="auto"/>
                <w:sz w:val="21"/>
                <w:szCs w:val="21"/>
              </w:rPr>
            </w:pPr>
          </w:p>
        </w:tc>
        <w:tc>
          <w:tcPr>
            <w:tcW w:w="1159" w:type="dxa"/>
            <w:noWrap w:val="0"/>
            <w:vAlign w:val="center"/>
          </w:tcPr>
          <w:p>
            <w:pPr>
              <w:spacing w:line="240" w:lineRule="atLeast"/>
              <w:jc w:val="center"/>
              <w:rPr>
                <w:rFonts w:hint="eastAsia" w:ascii="方正仿宋_GBK" w:eastAsia="方正仿宋_GBK"/>
                <w:color w:val="auto"/>
                <w:sz w:val="21"/>
                <w:szCs w:val="21"/>
              </w:rPr>
            </w:pPr>
          </w:p>
        </w:tc>
        <w:tc>
          <w:tcPr>
            <w:tcW w:w="1328" w:type="dxa"/>
            <w:noWrap w:val="0"/>
            <w:vAlign w:val="center"/>
          </w:tcPr>
          <w:p>
            <w:pPr>
              <w:spacing w:line="240" w:lineRule="atLeast"/>
              <w:jc w:val="center"/>
              <w:rPr>
                <w:rFonts w:hint="eastAsia" w:ascii="方正仿宋_GBK" w:eastAsia="方正仿宋_GBK"/>
                <w:color w:val="auto"/>
                <w:sz w:val="21"/>
                <w:szCs w:val="21"/>
              </w:rPr>
            </w:pPr>
          </w:p>
        </w:tc>
        <w:tc>
          <w:tcPr>
            <w:tcW w:w="1567" w:type="dxa"/>
            <w:noWrap w:val="0"/>
            <w:vAlign w:val="center"/>
          </w:tcPr>
          <w:p>
            <w:pPr>
              <w:spacing w:line="240" w:lineRule="atLeast"/>
              <w:jc w:val="center"/>
              <w:rPr>
                <w:rFonts w:hint="eastAsia" w:ascii="方正仿宋_GBK"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9613" w:type="dxa"/>
            <w:gridSpan w:val="7"/>
            <w:noWrap w:val="0"/>
            <w:vAlign w:val="center"/>
          </w:tcPr>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9613" w:type="dxa"/>
            <w:gridSpan w:val="7"/>
            <w:noWrap w:val="0"/>
            <w:vAlign w:val="center"/>
          </w:tcPr>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776" w:hRule="atLeast"/>
        </w:trPr>
        <w:tc>
          <w:tcPr>
            <w:tcW w:w="9613" w:type="dxa"/>
            <w:gridSpan w:val="7"/>
            <w:noWrap w:val="0"/>
            <w:vAlign w:val="top"/>
          </w:tcPr>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9628" w:type="dxa"/>
            <w:gridSpan w:val="8"/>
            <w:noWrap w:val="0"/>
            <w:vAlign w:val="top"/>
          </w:tcPr>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lang w:eastAsia="zh-CN"/>
              </w:rPr>
              <w:t>二</w:t>
            </w:r>
            <w:r>
              <w:rPr>
                <w:rFonts w:hint="eastAsia" w:ascii="方正仿宋_GBK" w:eastAsia="方正仿宋_GBK"/>
                <w:color w:val="auto"/>
                <w:sz w:val="21"/>
                <w:szCs w:val="21"/>
              </w:rPr>
              <w:t>、付款</w:t>
            </w:r>
            <w:r>
              <w:rPr>
                <w:rFonts w:hint="eastAsia" w:ascii="方正仿宋_GBK" w:eastAsia="方正仿宋_GBK"/>
                <w:color w:val="auto"/>
                <w:sz w:val="21"/>
                <w:szCs w:val="21"/>
                <w:lang w:eastAsia="zh-CN"/>
              </w:rPr>
              <w:t>约定</w:t>
            </w:r>
            <w:r>
              <w:rPr>
                <w:rFonts w:hint="eastAsia" w:ascii="方正仿宋_GBK" w:eastAsia="方正仿宋_GBK"/>
                <w:color w:val="auto"/>
                <w:sz w:val="21"/>
                <w:szCs w:val="21"/>
              </w:rPr>
              <w:t>：</w:t>
            </w:r>
          </w:p>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9628" w:type="dxa"/>
            <w:gridSpan w:val="8"/>
            <w:noWrap w:val="0"/>
            <w:vAlign w:val="top"/>
          </w:tcPr>
          <w:p>
            <w:pPr>
              <w:rPr>
                <w:rFonts w:hint="eastAsia" w:ascii="方正仿宋_GBK" w:eastAsia="方正仿宋_GBK"/>
                <w:color w:val="auto"/>
                <w:sz w:val="21"/>
                <w:szCs w:val="21"/>
              </w:rPr>
            </w:pPr>
            <w:r>
              <w:rPr>
                <w:rFonts w:hint="eastAsia" w:ascii="方正仿宋_GBK" w:eastAsia="方正仿宋_GBK"/>
                <w:color w:val="auto"/>
                <w:sz w:val="21"/>
                <w:szCs w:val="21"/>
                <w:lang w:eastAsia="zh-CN"/>
              </w:rPr>
              <w:t>三</w:t>
            </w:r>
            <w:r>
              <w:rPr>
                <w:rFonts w:hint="eastAsia" w:ascii="方正仿宋_GBK" w:eastAsia="方正仿宋_GBK"/>
                <w:color w:val="auto"/>
                <w:sz w:val="21"/>
                <w:szCs w:val="21"/>
              </w:rPr>
              <w:t>、履约保证金</w:t>
            </w:r>
            <w:r>
              <w:rPr>
                <w:rFonts w:ascii="方正仿宋_GBK" w:eastAsia="方正仿宋_GBK"/>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noWrap w:val="0"/>
            <w:vAlign w:val="top"/>
          </w:tcPr>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四、违约责任：</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按《中华人民共和国民法典》</w:t>
            </w:r>
            <w:r>
              <w:rPr>
                <w:rFonts w:hint="eastAsia" w:ascii="方正仿宋_GBK" w:eastAsia="方正仿宋_GBK"/>
                <w:color w:val="auto"/>
                <w:sz w:val="21"/>
                <w:szCs w:val="21"/>
                <w:lang w:eastAsia="zh-CN"/>
              </w:rPr>
              <w:t>及</w:t>
            </w:r>
            <w:r>
              <w:rPr>
                <w:rFonts w:hint="eastAsia" w:ascii="方正仿宋_GBK" w:eastAsia="方正仿宋_GBK"/>
                <w:color w:val="auto"/>
                <w:sz w:val="21"/>
                <w:szCs w:val="21"/>
                <w:lang w:val="en-US" w:eastAsia="zh-CN"/>
              </w:rPr>
              <w:t>竞争性磋商</w:t>
            </w:r>
            <w:r>
              <w:rPr>
                <w:rFonts w:hint="eastAsia" w:ascii="方正仿宋_GBK" w:eastAsia="方正仿宋_GBK"/>
                <w:color w:val="auto"/>
                <w:sz w:val="21"/>
                <w:szCs w:val="21"/>
                <w:lang w:eastAsia="zh-CN"/>
              </w:rPr>
              <w:t>文件约定</w:t>
            </w:r>
            <w:r>
              <w:rPr>
                <w:rFonts w:hint="eastAsia" w:ascii="方正仿宋_GBK" w:eastAsia="方正仿宋_GBK"/>
                <w:color w:val="auto"/>
                <w:sz w:val="21"/>
                <w:szCs w:val="2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noWrap w:val="0"/>
            <w:vAlign w:val="top"/>
          </w:tcPr>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五、其他约定事项：</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1.采购文件及其澄清文件、响应文件和承诺是本合同不可分割的部分。</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2.本合同如发生争议由双方协商解决，协商不成向需方所在人民法院提请诉讼。</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3.本合同一式__份， 需方__份，供方__份，具同等法律效力。</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4" w:type="dxa"/>
            <w:gridSpan w:val="3"/>
            <w:noWrap w:val="0"/>
            <w:vAlign w:val="top"/>
          </w:tcPr>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需方：</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地址：</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联系电话：</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lang w:eastAsia="zh-CN"/>
              </w:rPr>
              <w:t>联系人</w:t>
            </w:r>
            <w:r>
              <w:rPr>
                <w:rFonts w:hint="eastAsia" w:ascii="方正仿宋_GBK" w:eastAsia="方正仿宋_GBK"/>
                <w:color w:val="auto"/>
                <w:sz w:val="21"/>
                <w:szCs w:val="21"/>
              </w:rPr>
              <w:t>：</w:t>
            </w:r>
          </w:p>
        </w:tc>
        <w:tc>
          <w:tcPr>
            <w:tcW w:w="4984" w:type="dxa"/>
            <w:gridSpan w:val="5"/>
            <w:noWrap w:val="0"/>
            <w:vAlign w:val="top"/>
          </w:tcPr>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供方：</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地址：</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lang w:eastAsia="zh-CN"/>
              </w:rPr>
              <w:t>联系</w:t>
            </w:r>
            <w:r>
              <w:rPr>
                <w:rFonts w:hint="eastAsia" w:ascii="方正仿宋_GBK" w:eastAsia="方正仿宋_GBK"/>
                <w:color w:val="auto"/>
                <w:sz w:val="21"/>
                <w:szCs w:val="21"/>
              </w:rPr>
              <w:t>电话：</w:t>
            </w:r>
          </w:p>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lang w:eastAsia="zh-CN"/>
              </w:rPr>
              <w:t>联系人</w:t>
            </w:r>
            <w:r>
              <w:rPr>
                <w:rFonts w:hint="eastAsia" w:ascii="方正仿宋_GBK" w:eastAsia="方正仿宋_GBK"/>
                <w:color w:val="auto"/>
                <w:sz w:val="21"/>
                <w:szCs w:val="21"/>
              </w:rPr>
              <w:t>：</w:t>
            </w:r>
          </w:p>
          <w:p>
            <w:pPr>
              <w:widowControl/>
              <w:spacing w:line="240" w:lineRule="atLeast"/>
              <w:jc w:val="left"/>
              <w:rPr>
                <w:rFonts w:hint="eastAsia" w:ascii="方正仿宋_GBK"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noWrap w:val="0"/>
            <w:vAlign w:val="top"/>
          </w:tcPr>
          <w:p>
            <w:pPr>
              <w:spacing w:line="240" w:lineRule="atLeast"/>
              <w:rPr>
                <w:rFonts w:hint="eastAsia" w:ascii="方正仿宋_GBK" w:eastAsia="方正仿宋_GBK"/>
                <w:color w:val="auto"/>
                <w:sz w:val="21"/>
                <w:szCs w:val="21"/>
              </w:rPr>
            </w:pPr>
            <w:r>
              <w:rPr>
                <w:rFonts w:hint="eastAsia" w:ascii="方正仿宋_GBK" w:eastAsia="方正仿宋_GBK"/>
                <w:color w:val="auto"/>
                <w:sz w:val="21"/>
                <w:szCs w:val="21"/>
              </w:rPr>
              <w:t>备注：</w:t>
            </w:r>
          </w:p>
          <w:p>
            <w:pPr>
              <w:spacing w:line="240" w:lineRule="atLeast"/>
              <w:rPr>
                <w:rFonts w:hint="eastAsia" w:ascii="方正仿宋_GBK" w:eastAsia="方正仿宋_GBK"/>
                <w:color w:val="auto"/>
                <w:sz w:val="21"/>
                <w:szCs w:val="21"/>
              </w:rPr>
            </w:pPr>
          </w:p>
          <w:p>
            <w:pPr>
              <w:spacing w:line="240" w:lineRule="atLeast"/>
              <w:rPr>
                <w:rFonts w:hint="eastAsia" w:ascii="方正仿宋_GBK" w:eastAsia="方正仿宋_GBK"/>
                <w:color w:val="auto"/>
                <w:sz w:val="21"/>
                <w:szCs w:val="21"/>
              </w:rPr>
            </w:pPr>
          </w:p>
        </w:tc>
      </w:tr>
    </w:tbl>
    <w:p>
      <w:pPr>
        <w:pageBreakBefore w:val="0"/>
        <w:widowControl w:val="0"/>
        <w:kinsoku/>
        <w:wordWrap/>
        <w:overflowPunct/>
        <w:topLinePunct w:val="0"/>
        <w:autoSpaceDE/>
        <w:autoSpaceDN/>
        <w:bidi w:val="0"/>
        <w:spacing w:line="560" w:lineRule="exact"/>
        <w:textAlignment w:val="auto"/>
        <w:rPr>
          <w:rFonts w:hint="eastAsia" w:ascii="方正仿宋_GBK" w:eastAsia="方正仿宋_GBK"/>
          <w:color w:val="auto"/>
          <w:sz w:val="24"/>
        </w:rPr>
      </w:pPr>
      <w:r>
        <w:rPr>
          <w:rFonts w:hint="eastAsia" w:ascii="方正仿宋_GBK" w:eastAsia="方正仿宋_GBK"/>
          <w:color w:val="auto"/>
          <w:sz w:val="24"/>
        </w:rPr>
        <w:t>签约时间：           年   月   日      签约地点：</w:t>
      </w:r>
    </w:p>
    <w:p>
      <w:pPr>
        <w:pStyle w:val="4"/>
        <w:spacing w:before="0" w:after="0" w:line="360" w:lineRule="auto"/>
        <w:jc w:val="center"/>
        <w:rPr>
          <w:rFonts w:hint="eastAsia" w:ascii="方正小标宋_GBK" w:hAnsi="宋体" w:eastAsia="方正小标宋_GBK"/>
          <w:b w:val="0"/>
          <w:color w:val="auto"/>
          <w:sz w:val="36"/>
          <w:szCs w:val="30"/>
        </w:rPr>
      </w:pPr>
    </w:p>
    <w:p>
      <w:pPr>
        <w:pStyle w:val="4"/>
        <w:spacing w:before="0" w:after="0" w:line="360" w:lineRule="auto"/>
        <w:jc w:val="center"/>
        <w:rPr>
          <w:rFonts w:hint="eastAsia" w:ascii="方正小标宋_GBK" w:hAnsi="宋体" w:eastAsia="方正小标宋_GBK"/>
          <w:b w:val="0"/>
          <w:color w:val="auto"/>
          <w:sz w:val="36"/>
          <w:szCs w:val="30"/>
        </w:rPr>
      </w:pPr>
      <w:r>
        <w:rPr>
          <w:rFonts w:hint="eastAsia" w:ascii="方正小标宋_GBK" w:hAnsi="方正小标宋_GBK" w:eastAsia="方正小标宋_GBK" w:cs="方正小标宋_GBK"/>
          <w:b w:val="0"/>
          <w:color w:val="auto"/>
          <w:sz w:val="44"/>
          <w:szCs w:val="44"/>
        </w:rPr>
        <w:t>第七篇  响应文件编制要求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一、经济部分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方正仿宋_GBK" w:hAnsi="宋体" w:eastAsia="方正仿宋_GBK"/>
          <w:color w:val="auto"/>
          <w:sz w:val="32"/>
          <w:szCs w:val="32"/>
          <w:lang w:val="en-US" w:eastAsia="zh-CN"/>
        </w:rPr>
        <w:t>竞争性磋商</w:t>
      </w:r>
      <w:r>
        <w:rPr>
          <w:rFonts w:hint="eastAsia" w:ascii="仿宋_GB2312" w:hAnsi="仿宋_GB2312" w:eastAsia="仿宋_GB2312" w:cs="仿宋_GB2312"/>
          <w:color w:val="auto"/>
          <w:sz w:val="32"/>
          <w:szCs w:val="32"/>
        </w:rPr>
        <w:t>报价函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（二）明细报价表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二、服务部分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（一）服务响应偏离表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服务方案</w:t>
      </w:r>
      <w:r>
        <w:rPr>
          <w:rFonts w:hint="eastAsia" w:ascii="仿宋_GB2312" w:hAnsi="仿宋_GB2312" w:eastAsia="仿宋_GB2312" w:cs="仿宋_GB2312"/>
          <w:color w:val="auto"/>
          <w:sz w:val="32"/>
          <w:szCs w:val="32"/>
        </w:rPr>
        <w:t>（格式自定）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三、商务部分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（一）商务响应偏离表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业绩</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合同复印件</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四、资格条件及其他</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（一）法人营业执照（副本）或事业单位法人证书（副本）或个体工商户营业执照或有效的自然人身份证明或社会团体法人登记证书复印件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（二）法定代表人身份证明书（格式）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（三）法定代表人授权委托书（格式）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（四）基本资格条件承诺函（格式）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（五）特定资格条件证书或证明文件（如有）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）中小企业声明函、监狱企业证明文件、残疾人福利性单位声明函</w:t>
      </w:r>
    </w:p>
    <w:p>
      <w:pPr>
        <w:pStyle w:val="2"/>
        <w:rPr>
          <w:rFonts w:hint="eastAsia"/>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五、其他资料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其他与项目有关的资料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sectPr>
          <w:pgSz w:w="11907" w:h="16840"/>
          <w:pgMar w:top="1134" w:right="1191" w:bottom="1134" w:left="1304" w:header="851" w:footer="992" w:gutter="0"/>
          <w:pgNumType w:fmt="numberInDash"/>
          <w:cols w:space="720" w:num="1"/>
          <w:docGrid w:linePitch="380" w:charSpace="-5735"/>
        </w:sectPr>
      </w:pPr>
    </w:p>
    <w:p>
      <w:pPr>
        <w:pStyle w:val="4"/>
        <w:adjustRightInd w:val="0"/>
        <w:snapToGrid w:val="0"/>
        <w:spacing w:before="0" w:after="0" w:line="400" w:lineRule="exact"/>
        <w:ind w:firstLine="643" w:firstLineChars="200"/>
        <w:rPr>
          <w:rFonts w:hint="eastAsia" w:ascii="方正黑体_GBK" w:hAnsi="方正黑体_GBK" w:eastAsia="方正黑体_GBK" w:cs="方正黑体_GBK"/>
          <w:color w:val="auto"/>
          <w:sz w:val="32"/>
          <w:szCs w:val="32"/>
        </w:rPr>
      </w:pPr>
      <w:bookmarkStart w:id="193" w:name="_Toc342913419"/>
      <w:bookmarkStart w:id="194" w:name="_Toc28570"/>
      <w:bookmarkStart w:id="195" w:name="_Toc106030906"/>
      <w:bookmarkStart w:id="196" w:name="_Toc11543"/>
      <w:bookmarkStart w:id="197" w:name="_Toc76462350"/>
      <w:bookmarkStart w:id="198" w:name="_Toc13060"/>
      <w:bookmarkStart w:id="199" w:name="_Toc313888360"/>
      <w:bookmarkStart w:id="200" w:name="_Toc313008356"/>
      <w:bookmarkStart w:id="201" w:name="_Toc12789073"/>
      <w:bookmarkStart w:id="202" w:name="_Toc283382454"/>
      <w:r>
        <w:rPr>
          <w:rFonts w:hint="eastAsia" w:ascii="方正黑体_GBK" w:hAnsi="方正黑体_GBK" w:eastAsia="方正黑体_GBK" w:cs="方正黑体_GBK"/>
          <w:color w:val="auto"/>
          <w:sz w:val="32"/>
          <w:szCs w:val="32"/>
        </w:rPr>
        <w:t>一、经济部分</w:t>
      </w:r>
      <w:bookmarkEnd w:id="193"/>
      <w:bookmarkEnd w:id="194"/>
      <w:bookmarkEnd w:id="195"/>
      <w:bookmarkEnd w:id="196"/>
      <w:bookmarkEnd w:id="197"/>
      <w:bookmarkEnd w:id="198"/>
      <w:bookmarkEnd w:id="199"/>
      <w:bookmarkEnd w:id="200"/>
    </w:p>
    <w:bookmarkEnd w:id="201"/>
    <w:bookmarkEnd w:id="202"/>
    <w:p>
      <w:pPr>
        <w:tabs>
          <w:tab w:val="left" w:pos="6300"/>
        </w:tabs>
        <w:snapToGrid w:val="0"/>
        <w:spacing w:line="312" w:lineRule="auto"/>
        <w:ind w:firstLine="640" w:firstLineChars="200"/>
        <w:rPr>
          <w:rFonts w:hint="eastAsia" w:ascii="方正仿宋_GBK" w:hAnsi="宋体" w:eastAsia="方正仿宋_GBK"/>
          <w:color w:val="auto"/>
          <w:sz w:val="32"/>
          <w:szCs w:val="32"/>
        </w:rPr>
      </w:pPr>
      <w:r>
        <w:rPr>
          <w:rFonts w:hint="eastAsia" w:ascii="方正仿宋_GBK" w:hAnsi="宋体" w:eastAsia="方正仿宋_GBK"/>
          <w:color w:val="auto"/>
          <w:sz w:val="32"/>
          <w:szCs w:val="32"/>
        </w:rPr>
        <w:t>（一）</w:t>
      </w:r>
      <w:r>
        <w:rPr>
          <w:rFonts w:hint="eastAsia" w:ascii="方正仿宋_GBK" w:hAnsi="宋体" w:eastAsia="方正仿宋_GBK" w:cs="宋体"/>
          <w:color w:val="auto"/>
          <w:kern w:val="0"/>
          <w:sz w:val="32"/>
          <w:szCs w:val="32"/>
          <w:lang w:val="en-US" w:eastAsia="zh-CN"/>
        </w:rPr>
        <w:t>竞争性磋商</w:t>
      </w:r>
      <w:r>
        <w:rPr>
          <w:rFonts w:hint="eastAsia" w:ascii="方正仿宋_GBK" w:hAnsi="宋体" w:eastAsia="方正仿宋_GBK"/>
          <w:color w:val="auto"/>
          <w:sz w:val="32"/>
          <w:szCs w:val="32"/>
          <w:lang w:eastAsia="zh-CN"/>
        </w:rPr>
        <w:t>采购</w:t>
      </w:r>
      <w:r>
        <w:rPr>
          <w:rFonts w:hint="eastAsia" w:ascii="方正仿宋_GBK" w:hAnsi="宋体" w:eastAsia="方正仿宋_GBK"/>
          <w:color w:val="auto"/>
          <w:sz w:val="32"/>
          <w:szCs w:val="32"/>
        </w:rPr>
        <w:t>报价函</w:t>
      </w:r>
    </w:p>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方正仿宋_GBK" w:eastAsia="方正仿宋_GBK"/>
          <w:b/>
          <w:color w:val="auto"/>
          <w:sz w:val="32"/>
          <w:szCs w:val="32"/>
        </w:rPr>
      </w:pPr>
      <w:r>
        <w:rPr>
          <w:rFonts w:hint="eastAsia" w:ascii="方正仿宋_GBK" w:eastAsia="方正仿宋_GBK"/>
          <w:b/>
          <w:color w:val="auto"/>
          <w:sz w:val="32"/>
          <w:szCs w:val="32"/>
          <w:lang w:val="en-US" w:eastAsia="zh-CN"/>
        </w:rPr>
        <w:t>竞争性磋商</w:t>
      </w:r>
      <w:r>
        <w:rPr>
          <w:rFonts w:hint="eastAsia" w:ascii="方正仿宋_GBK" w:eastAsia="方正仿宋_GBK"/>
          <w:b/>
          <w:color w:val="auto"/>
          <w:sz w:val="32"/>
          <w:szCs w:val="32"/>
          <w:lang w:eastAsia="zh-CN"/>
        </w:rPr>
        <w:t>采购</w:t>
      </w:r>
      <w:r>
        <w:rPr>
          <w:rFonts w:hint="eastAsia" w:ascii="方正仿宋_GBK" w:eastAsia="方正仿宋_GBK"/>
          <w:b/>
          <w:color w:val="auto"/>
          <w:sz w:val="32"/>
          <w:szCs w:val="32"/>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u w:val="single"/>
        </w:rPr>
        <w:t>（采购</w:t>
      </w:r>
      <w:r>
        <w:rPr>
          <w:rFonts w:hint="eastAsia" w:ascii="方正仿宋_GBK" w:hAnsi="宋体" w:eastAsia="方正仿宋_GBK"/>
          <w:color w:val="auto"/>
          <w:sz w:val="32"/>
          <w:szCs w:val="32"/>
          <w:u w:val="single"/>
          <w:lang w:eastAsia="zh-CN"/>
        </w:rPr>
        <w:t>人</w:t>
      </w:r>
      <w:r>
        <w:rPr>
          <w:rFonts w:hint="eastAsia" w:ascii="方正仿宋_GBK" w:hAnsi="宋体" w:eastAsia="方正仿宋_GBK"/>
          <w:color w:val="auto"/>
          <w:sz w:val="32"/>
          <w:szCs w:val="32"/>
          <w:u w:val="single"/>
        </w:rPr>
        <w:t>名称）</w:t>
      </w:r>
      <w:r>
        <w:rPr>
          <w:rFonts w:hint="eastAsia" w:ascii="方正仿宋_GBK" w:hAnsi="宋体" w:eastAsia="方正仿宋_GBK"/>
          <w:color w:val="auto"/>
          <w:sz w:val="32"/>
          <w:szCs w:val="32"/>
        </w:rPr>
        <w:t>：</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我方收到____________________________（</w:t>
      </w:r>
      <w:r>
        <w:rPr>
          <w:rFonts w:hint="eastAsia" w:ascii="方正仿宋_GBK" w:hAnsi="宋体" w:eastAsia="方正仿宋_GBK" w:cs="宋体"/>
          <w:color w:val="auto"/>
          <w:kern w:val="0"/>
          <w:sz w:val="32"/>
          <w:szCs w:val="32"/>
          <w:lang w:val="en-US" w:eastAsia="zh-CN"/>
        </w:rPr>
        <w:t>竞争性磋商</w:t>
      </w:r>
      <w:r>
        <w:rPr>
          <w:rFonts w:hint="eastAsia" w:ascii="方正仿宋_GBK" w:hAnsi="宋体" w:eastAsia="方正仿宋_GBK"/>
          <w:color w:val="auto"/>
          <w:sz w:val="32"/>
          <w:szCs w:val="32"/>
        </w:rPr>
        <w:t>项目名称）的</w:t>
      </w:r>
      <w:r>
        <w:rPr>
          <w:rFonts w:hint="eastAsia" w:ascii="方正仿宋_GBK" w:hAnsi="宋体" w:eastAsia="方正仿宋_GBK"/>
          <w:color w:val="auto"/>
          <w:sz w:val="32"/>
          <w:szCs w:val="32"/>
          <w:lang w:val="en-US" w:eastAsia="zh-CN"/>
        </w:rPr>
        <w:t>竞争性磋商</w:t>
      </w:r>
      <w:r>
        <w:rPr>
          <w:rFonts w:hint="eastAsia" w:ascii="方正仿宋_GBK" w:hAnsi="宋体" w:eastAsia="方正仿宋_GBK"/>
          <w:color w:val="auto"/>
          <w:sz w:val="32"/>
          <w:szCs w:val="32"/>
        </w:rPr>
        <w:t>文件，经详细研究，决定参加该项目的</w:t>
      </w:r>
      <w:r>
        <w:rPr>
          <w:rFonts w:hint="eastAsia" w:ascii="方正仿宋_GBK" w:hAnsi="宋体" w:eastAsia="方正仿宋_GBK" w:cs="宋体"/>
          <w:color w:val="auto"/>
          <w:kern w:val="0"/>
          <w:sz w:val="32"/>
          <w:szCs w:val="32"/>
          <w:lang w:val="en-US" w:eastAsia="zh-CN"/>
        </w:rPr>
        <w:t>竞争性磋商</w:t>
      </w:r>
      <w:r>
        <w:rPr>
          <w:rFonts w:hint="eastAsia" w:ascii="方正仿宋_GBK" w:hAnsi="宋体" w:eastAsia="方正仿宋_GBK"/>
          <w:color w:val="auto"/>
          <w:sz w:val="32"/>
          <w:szCs w:val="32"/>
        </w:rPr>
        <w:t>。</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1.愿意按照</w:t>
      </w:r>
      <w:r>
        <w:rPr>
          <w:rFonts w:hint="eastAsia" w:ascii="方正仿宋_GBK" w:hAnsi="宋体" w:eastAsia="方正仿宋_GBK"/>
          <w:color w:val="auto"/>
          <w:sz w:val="32"/>
          <w:szCs w:val="32"/>
          <w:lang w:val="en-US" w:eastAsia="zh-CN"/>
        </w:rPr>
        <w:t>竞争性磋商</w:t>
      </w:r>
      <w:r>
        <w:rPr>
          <w:rFonts w:hint="eastAsia" w:ascii="方正仿宋_GBK" w:hAnsi="宋体" w:eastAsia="方正仿宋_GBK"/>
          <w:color w:val="auto"/>
          <w:sz w:val="32"/>
          <w:szCs w:val="32"/>
        </w:rPr>
        <w:t>文件中的一切要求，提供本项目的服务，报价以我公司</w:t>
      </w:r>
      <w:r>
        <w:rPr>
          <w:rFonts w:hint="eastAsia" w:ascii="方正仿宋_GBK" w:hAnsi="宋体" w:eastAsia="方正仿宋_GBK"/>
          <w:color w:val="auto"/>
          <w:sz w:val="32"/>
          <w:szCs w:val="32"/>
          <w:lang w:val="en-US" w:eastAsia="zh-CN"/>
        </w:rPr>
        <w:t>响应文件</w:t>
      </w:r>
      <w:r>
        <w:rPr>
          <w:rFonts w:hint="eastAsia" w:ascii="方正仿宋_GBK" w:hAnsi="宋体" w:eastAsia="方正仿宋_GBK"/>
          <w:color w:val="auto"/>
          <w:sz w:val="32"/>
          <w:szCs w:val="32"/>
        </w:rPr>
        <w:t>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2.我方现提交的响应文件为：响应文件正本</w:t>
      </w:r>
      <w:r>
        <w:rPr>
          <w:rFonts w:hint="eastAsia" w:ascii="方正仿宋_GBK" w:hAnsi="宋体" w:eastAsia="方正仿宋_GBK"/>
          <w:color w:val="auto"/>
          <w:sz w:val="32"/>
          <w:szCs w:val="32"/>
          <w:u w:val="single"/>
        </w:rPr>
        <w:t xml:space="preserve">   </w:t>
      </w:r>
      <w:r>
        <w:rPr>
          <w:rFonts w:hint="eastAsia" w:ascii="方正仿宋_GBK" w:hAnsi="宋体" w:eastAsia="方正仿宋_GBK"/>
          <w:color w:val="auto"/>
          <w:sz w:val="32"/>
          <w:szCs w:val="32"/>
        </w:rPr>
        <w:t>份，副本</w:t>
      </w:r>
      <w:r>
        <w:rPr>
          <w:rFonts w:hint="eastAsia" w:ascii="方正仿宋_GBK" w:hAnsi="宋体" w:eastAsia="方正仿宋_GBK"/>
          <w:color w:val="auto"/>
          <w:sz w:val="32"/>
          <w:szCs w:val="32"/>
          <w:u w:val="single"/>
        </w:rPr>
        <w:t xml:space="preserve">   </w:t>
      </w:r>
      <w:r>
        <w:rPr>
          <w:rFonts w:hint="eastAsia" w:ascii="方正仿宋_GBK" w:hAnsi="宋体" w:eastAsia="方正仿宋_GBK"/>
          <w:color w:val="auto"/>
          <w:sz w:val="32"/>
          <w:szCs w:val="32"/>
        </w:rPr>
        <w:t>份。</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3.我方承诺：本次</w:t>
      </w:r>
      <w:r>
        <w:rPr>
          <w:rFonts w:hint="eastAsia" w:ascii="方正仿宋_GBK" w:hAnsi="宋体" w:eastAsia="方正仿宋_GBK"/>
          <w:color w:val="auto"/>
          <w:sz w:val="32"/>
          <w:szCs w:val="32"/>
          <w:lang w:val="en-US" w:eastAsia="zh-CN"/>
        </w:rPr>
        <w:t>竞争性磋商</w:t>
      </w:r>
      <w:r>
        <w:rPr>
          <w:rFonts w:hint="eastAsia" w:ascii="方正仿宋_GBK" w:hAnsi="宋体" w:eastAsia="方正仿宋_GBK"/>
          <w:color w:val="auto"/>
          <w:sz w:val="32"/>
          <w:szCs w:val="32"/>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4.我方完全理解和接受贵方</w:t>
      </w:r>
      <w:r>
        <w:rPr>
          <w:rFonts w:hint="eastAsia" w:ascii="方正仿宋_GBK" w:hAnsi="宋体" w:eastAsia="方正仿宋_GBK"/>
          <w:color w:val="auto"/>
          <w:sz w:val="32"/>
          <w:szCs w:val="32"/>
          <w:lang w:val="en-US" w:eastAsia="zh-CN"/>
        </w:rPr>
        <w:t>竞争性磋商</w:t>
      </w:r>
      <w:r>
        <w:rPr>
          <w:rFonts w:hint="eastAsia" w:ascii="方正仿宋_GBK" w:hAnsi="宋体" w:eastAsia="方正仿宋_GBK"/>
          <w:color w:val="auto"/>
          <w:sz w:val="32"/>
          <w:szCs w:val="32"/>
        </w:rPr>
        <w:t>文件的一切规定和要求及评审办法。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5.在整个</w:t>
      </w:r>
      <w:r>
        <w:rPr>
          <w:rFonts w:hint="eastAsia" w:ascii="方正仿宋_GBK" w:hAnsi="宋体" w:eastAsia="方正仿宋_GBK"/>
          <w:color w:val="auto"/>
          <w:sz w:val="32"/>
          <w:szCs w:val="32"/>
          <w:lang w:val="en-US" w:eastAsia="zh-CN"/>
        </w:rPr>
        <w:t>竞争性磋商</w:t>
      </w:r>
      <w:r>
        <w:rPr>
          <w:rFonts w:hint="eastAsia" w:ascii="方正仿宋_GBK" w:hAnsi="宋体" w:eastAsia="方正仿宋_GBK"/>
          <w:color w:val="auto"/>
          <w:sz w:val="32"/>
          <w:szCs w:val="32"/>
        </w:rPr>
        <w:t>过程中，我方若有违规行为，接受</w:t>
      </w:r>
      <w:r>
        <w:rPr>
          <w:rFonts w:hint="eastAsia" w:ascii="方正仿宋_GBK" w:hAnsi="宋体" w:eastAsia="方正仿宋_GBK"/>
          <w:color w:val="auto"/>
          <w:sz w:val="32"/>
          <w:szCs w:val="32"/>
          <w:lang w:eastAsia="zh-CN"/>
        </w:rPr>
        <w:t>参</w:t>
      </w:r>
      <w:r>
        <w:rPr>
          <w:rFonts w:hint="eastAsia" w:ascii="方正仿宋_GBK" w:hAnsi="宋体" w:eastAsia="方正仿宋_GBK"/>
          <w:color w:val="auto"/>
          <w:sz w:val="32"/>
          <w:szCs w:val="32"/>
        </w:rPr>
        <w:t>照《中华人民共和国政府采购法》和</w:t>
      </w:r>
      <w:r>
        <w:rPr>
          <w:rFonts w:hint="eastAsia" w:ascii="方正仿宋_GBK" w:hAnsi="宋体" w:eastAsia="方正仿宋_GBK"/>
          <w:color w:val="auto"/>
          <w:sz w:val="32"/>
          <w:szCs w:val="32"/>
          <w:lang w:eastAsia="zh-CN"/>
        </w:rPr>
        <w:t>本项目</w:t>
      </w:r>
      <w:r>
        <w:rPr>
          <w:rFonts w:hint="eastAsia" w:ascii="方正仿宋_GBK" w:hAnsi="宋体" w:eastAsia="方正仿宋_GBK"/>
          <w:color w:val="auto"/>
          <w:sz w:val="32"/>
          <w:szCs w:val="32"/>
        </w:rPr>
        <w:t>《</w:t>
      </w:r>
      <w:r>
        <w:rPr>
          <w:rFonts w:hint="eastAsia" w:ascii="方正仿宋_GBK" w:hAnsi="宋体" w:eastAsia="方正仿宋_GBK" w:cs="宋体"/>
          <w:color w:val="auto"/>
          <w:kern w:val="0"/>
          <w:sz w:val="32"/>
          <w:szCs w:val="32"/>
          <w:lang w:val="en-US" w:eastAsia="zh-CN"/>
        </w:rPr>
        <w:t>竞争性磋商</w:t>
      </w:r>
      <w:r>
        <w:rPr>
          <w:rFonts w:hint="eastAsia" w:ascii="方正仿宋_GBK" w:hAnsi="宋体" w:eastAsia="方正仿宋_GBK"/>
          <w:color w:val="auto"/>
          <w:sz w:val="32"/>
          <w:szCs w:val="32"/>
          <w:lang w:eastAsia="zh-CN"/>
        </w:rPr>
        <w:t>采购</w:t>
      </w:r>
      <w:r>
        <w:rPr>
          <w:rFonts w:hint="eastAsia" w:ascii="方正仿宋_GBK" w:hAnsi="宋体" w:eastAsia="方正仿宋_GBK"/>
          <w:color w:val="auto"/>
          <w:sz w:val="32"/>
          <w:szCs w:val="32"/>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6.我方若成为成交供应商，将按照最终</w:t>
      </w:r>
      <w:r>
        <w:rPr>
          <w:rFonts w:hint="eastAsia" w:ascii="方正仿宋_GBK" w:hAnsi="宋体" w:eastAsia="方正仿宋_GBK" w:cs="宋体"/>
          <w:color w:val="auto"/>
          <w:kern w:val="0"/>
          <w:sz w:val="32"/>
          <w:szCs w:val="32"/>
          <w:lang w:val="en-US" w:eastAsia="zh-CN"/>
        </w:rPr>
        <w:t>竞争性磋商</w:t>
      </w:r>
      <w:r>
        <w:rPr>
          <w:rFonts w:hint="eastAsia" w:ascii="方正仿宋_GBK" w:hAnsi="宋体" w:eastAsia="方正仿宋_GBK"/>
          <w:color w:val="auto"/>
          <w:sz w:val="32"/>
          <w:szCs w:val="32"/>
        </w:rPr>
        <w:t>结果签订合同，并且严格履行合同义务。本承诺函将成为合同不可分割的一部分，与合同具有同等的法律效力</w:t>
      </w:r>
      <w:r>
        <w:rPr>
          <w:rFonts w:ascii="方正仿宋_GBK" w:hAnsi="宋体" w:eastAsia="方正仿宋_GBK"/>
          <w:color w:val="auto"/>
          <w:sz w:val="32"/>
          <w:szCs w:val="32"/>
        </w:rPr>
        <w:t>。</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7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7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 xml:space="preserve">地址： </w:t>
      </w:r>
      <w:r>
        <w:rPr>
          <w:rFonts w:hint="eastAsia" w:ascii="方正仿宋_GBK" w:hAnsi="宋体" w:eastAsia="方正仿宋_GBK"/>
          <w:color w:val="auto"/>
          <w:sz w:val="32"/>
          <w:szCs w:val="32"/>
          <w:lang w:val="en-US" w:eastAsia="zh-CN"/>
        </w:rPr>
        <w:t xml:space="preserve">                </w:t>
      </w:r>
      <w:r>
        <w:rPr>
          <w:rFonts w:hint="eastAsia" w:ascii="方正仿宋_GBK" w:hAnsi="宋体" w:eastAsia="方正仿宋_GBK"/>
          <w:color w:val="auto"/>
          <w:sz w:val="32"/>
          <w:szCs w:val="32"/>
        </w:rPr>
        <w:t xml:space="preserve">电话：       </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640" w:firstLineChars="20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传真：</w:t>
      </w:r>
      <w:r>
        <w:rPr>
          <w:rFonts w:hint="eastAsia" w:ascii="方正仿宋_GBK" w:hAnsi="宋体" w:eastAsia="方正仿宋_GBK"/>
          <w:color w:val="auto"/>
          <w:sz w:val="32"/>
          <w:szCs w:val="32"/>
          <w:lang w:val="en-US" w:eastAsia="zh-CN"/>
        </w:rPr>
        <w:t xml:space="preserve">                </w:t>
      </w:r>
      <w:r>
        <w:rPr>
          <w:rFonts w:hint="eastAsia" w:ascii="方正仿宋_GBK" w:hAnsi="宋体" w:eastAsia="方正仿宋_GBK"/>
          <w:color w:val="auto"/>
          <w:sz w:val="32"/>
          <w:szCs w:val="32"/>
        </w:rPr>
        <w:t xml:space="preserve">网址：         </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70"/>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邮编：</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7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32"/>
          <w:szCs w:val="32"/>
        </w:rPr>
        <w:t>联系人：</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方正仿宋_GBK" w:hAnsi="宋体" w:eastAsia="方正仿宋_GBK"/>
          <w:color w:val="auto"/>
          <w:sz w:val="32"/>
          <w:szCs w:val="32"/>
        </w:rPr>
      </w:pPr>
      <w:r>
        <w:rPr>
          <w:rFonts w:hint="eastAsia" w:ascii="方正仿宋_GBK" w:hAnsi="宋体" w:eastAsia="方正仿宋_GBK"/>
          <w:color w:val="auto"/>
          <w:sz w:val="24"/>
          <w:szCs w:val="24"/>
        </w:rPr>
        <w:t xml:space="preserve">                                                 </w:t>
      </w:r>
      <w:r>
        <w:rPr>
          <w:rFonts w:hint="eastAsia" w:ascii="方正仿宋_GBK" w:hAnsi="宋体" w:eastAsia="方正仿宋_GBK"/>
          <w:color w:val="auto"/>
          <w:sz w:val="32"/>
          <w:szCs w:val="32"/>
        </w:rPr>
        <w:t xml:space="preserve"> 年   月   日</w:t>
      </w:r>
    </w:p>
    <w:p>
      <w:pPr>
        <w:tabs>
          <w:tab w:val="left" w:pos="2895"/>
        </w:tabs>
        <w:spacing w:line="400" w:lineRule="exact"/>
        <w:ind w:firstLine="480" w:firstLineChars="200"/>
        <w:rPr>
          <w:rFonts w:hint="eastAsia" w:ascii="方正仿宋_GBK" w:hAnsi="宋体" w:eastAsia="方正仿宋_GBK"/>
          <w:color w:val="auto"/>
          <w:sz w:val="24"/>
          <w:szCs w:val="24"/>
        </w:rPr>
      </w:pPr>
    </w:p>
    <w:p>
      <w:pPr>
        <w:tabs>
          <w:tab w:val="left" w:pos="2895"/>
        </w:tabs>
        <w:spacing w:line="400" w:lineRule="exact"/>
        <w:ind w:firstLine="640" w:firstLineChars="200"/>
        <w:rPr>
          <w:rFonts w:hint="eastAsia" w:ascii="方正仿宋_GBK" w:hAnsi="宋体" w:eastAsia="方正仿宋_GBK"/>
          <w:color w:val="auto"/>
          <w:sz w:val="32"/>
          <w:szCs w:val="32"/>
        </w:rPr>
      </w:pPr>
      <w:r>
        <w:rPr>
          <w:rFonts w:hint="eastAsia" w:ascii="方正仿宋_GBK" w:hAnsi="宋体" w:eastAsia="方正仿宋_GBK"/>
          <w:color w:val="auto"/>
          <w:sz w:val="32"/>
          <w:szCs w:val="32"/>
        </w:rPr>
        <w:t xml:space="preserve">（二）明细报价表                             </w:t>
      </w:r>
    </w:p>
    <w:p>
      <w:pPr>
        <w:spacing w:line="400" w:lineRule="exact"/>
        <w:ind w:firstLine="640" w:firstLineChars="200"/>
        <w:rPr>
          <w:rFonts w:hint="eastAsia" w:ascii="方正仿宋_GBK" w:hAnsi="宋体" w:eastAsia="方正仿宋_GBK"/>
          <w:color w:val="auto"/>
          <w:sz w:val="32"/>
          <w:szCs w:val="32"/>
          <w:u w:val="single"/>
        </w:rPr>
      </w:pPr>
      <w:r>
        <w:rPr>
          <w:rFonts w:hint="eastAsia" w:ascii="方正仿宋_GBK" w:hAnsi="宋体" w:eastAsia="方正仿宋_GBK"/>
          <w:color w:val="auto"/>
          <w:sz w:val="32"/>
          <w:szCs w:val="32"/>
          <w:lang w:val="en-US" w:eastAsia="zh-CN"/>
        </w:rPr>
        <w:t>竞争性磋商</w:t>
      </w:r>
      <w:r>
        <w:rPr>
          <w:rFonts w:hint="eastAsia" w:ascii="方正仿宋_GBK" w:hAnsi="宋体" w:eastAsia="方正仿宋_GBK"/>
          <w:color w:val="auto"/>
          <w:sz w:val="32"/>
          <w:szCs w:val="32"/>
        </w:rPr>
        <w:t xml:space="preserve">项目名称： </w:t>
      </w:r>
    </w:p>
    <w:tbl>
      <w:tblPr>
        <w:tblStyle w:val="14"/>
        <w:tblW w:w="93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939" w:type="dxa"/>
            <w:noWrap w:val="0"/>
            <w:vAlign w:val="center"/>
          </w:tcPr>
          <w:p>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序号</w:t>
            </w:r>
          </w:p>
        </w:tc>
        <w:tc>
          <w:tcPr>
            <w:tcW w:w="1557" w:type="dxa"/>
            <w:noWrap w:val="0"/>
            <w:vAlign w:val="center"/>
          </w:tcPr>
          <w:p>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名称</w:t>
            </w:r>
          </w:p>
        </w:tc>
        <w:tc>
          <w:tcPr>
            <w:tcW w:w="3127" w:type="dxa"/>
            <w:noWrap w:val="0"/>
            <w:vAlign w:val="center"/>
          </w:tcPr>
          <w:p>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相关信息</w:t>
            </w:r>
          </w:p>
        </w:tc>
        <w:tc>
          <w:tcPr>
            <w:tcW w:w="1235" w:type="dxa"/>
            <w:noWrap w:val="0"/>
            <w:vAlign w:val="center"/>
          </w:tcPr>
          <w:p>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数量</w:t>
            </w:r>
          </w:p>
        </w:tc>
        <w:tc>
          <w:tcPr>
            <w:tcW w:w="1235" w:type="dxa"/>
            <w:noWrap w:val="0"/>
            <w:vAlign w:val="center"/>
          </w:tcPr>
          <w:p>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单价</w:t>
            </w:r>
          </w:p>
        </w:tc>
        <w:tc>
          <w:tcPr>
            <w:tcW w:w="1235" w:type="dxa"/>
            <w:noWrap w:val="0"/>
            <w:vAlign w:val="center"/>
          </w:tcPr>
          <w:p>
            <w:pPr>
              <w:jc w:val="center"/>
              <w:rPr>
                <w:rFonts w:hint="eastAsia" w:ascii="方正仿宋_GBK" w:hAnsi="宋体" w:eastAsia="方正仿宋_GBK"/>
                <w:b/>
                <w:color w:val="auto"/>
                <w:sz w:val="21"/>
                <w:szCs w:val="21"/>
              </w:rPr>
            </w:pPr>
            <w:r>
              <w:rPr>
                <w:rFonts w:hint="eastAsia" w:ascii="方正仿宋_GBK" w:hAnsi="宋体" w:eastAsia="方正仿宋_GBK"/>
                <w:b/>
                <w:color w:val="auto"/>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noWrap w:val="0"/>
            <w:vAlign w:val="center"/>
          </w:tcPr>
          <w:p>
            <w:pPr>
              <w:pStyle w:val="6"/>
              <w:spacing w:line="240" w:lineRule="atLeast"/>
              <w:ind w:left="3920"/>
              <w:jc w:val="center"/>
              <w:outlineLvl w:val="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1</w:t>
            </w:r>
          </w:p>
        </w:tc>
        <w:tc>
          <w:tcPr>
            <w:tcW w:w="1557" w:type="dxa"/>
            <w:noWrap w:val="0"/>
            <w:vAlign w:val="center"/>
          </w:tcPr>
          <w:p>
            <w:pPr>
              <w:jc w:val="center"/>
              <w:rPr>
                <w:rFonts w:hint="eastAsia" w:ascii="方正仿宋_GBK" w:hAnsi="宋体" w:eastAsia="方正仿宋_GBK"/>
                <w:color w:val="auto"/>
                <w:sz w:val="21"/>
                <w:szCs w:val="21"/>
              </w:rPr>
            </w:pPr>
          </w:p>
        </w:tc>
        <w:tc>
          <w:tcPr>
            <w:tcW w:w="3127" w:type="dxa"/>
            <w:noWrap w:val="0"/>
            <w:vAlign w:val="top"/>
          </w:tcPr>
          <w:p>
            <w:pPr>
              <w:jc w:val="center"/>
              <w:rPr>
                <w:rFonts w:ascii="方正仿宋_GBK" w:hAnsi="宋体" w:eastAsia="方正仿宋_GBK"/>
                <w:color w:val="auto"/>
                <w:sz w:val="21"/>
                <w:szCs w:val="21"/>
              </w:rPr>
            </w:pPr>
          </w:p>
        </w:tc>
        <w:tc>
          <w:tcPr>
            <w:tcW w:w="1235" w:type="dxa"/>
            <w:noWrap w:val="0"/>
            <w:vAlign w:val="center"/>
          </w:tcPr>
          <w:p>
            <w:pPr>
              <w:jc w:val="center"/>
              <w:rPr>
                <w:rFonts w:ascii="方正仿宋_GBK" w:hAnsi="宋体" w:eastAsia="方正仿宋_GBK"/>
                <w:color w:val="auto"/>
                <w:sz w:val="21"/>
                <w:szCs w:val="21"/>
              </w:rPr>
            </w:pPr>
          </w:p>
        </w:tc>
        <w:tc>
          <w:tcPr>
            <w:tcW w:w="1235" w:type="dxa"/>
            <w:noWrap w:val="0"/>
            <w:vAlign w:val="top"/>
          </w:tcPr>
          <w:p>
            <w:pPr>
              <w:jc w:val="center"/>
              <w:rPr>
                <w:rFonts w:hint="eastAsia" w:ascii="方正仿宋_GBK" w:hAnsi="宋体" w:eastAsia="方正仿宋_GBK"/>
                <w:color w:val="auto"/>
                <w:sz w:val="21"/>
                <w:szCs w:val="21"/>
              </w:rPr>
            </w:pPr>
          </w:p>
        </w:tc>
        <w:tc>
          <w:tcPr>
            <w:tcW w:w="1235" w:type="dxa"/>
            <w:noWrap w:val="0"/>
            <w:vAlign w:val="top"/>
          </w:tcPr>
          <w:p>
            <w:pPr>
              <w:jc w:val="center"/>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noWrap w:val="0"/>
            <w:vAlign w:val="center"/>
          </w:tcPr>
          <w:p>
            <w:pPr>
              <w:pStyle w:val="6"/>
              <w:spacing w:line="240" w:lineRule="atLeast"/>
              <w:ind w:left="3920"/>
              <w:jc w:val="center"/>
              <w:outlineLvl w:val="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2</w:t>
            </w:r>
          </w:p>
        </w:tc>
        <w:tc>
          <w:tcPr>
            <w:tcW w:w="1557" w:type="dxa"/>
            <w:noWrap w:val="0"/>
            <w:vAlign w:val="center"/>
          </w:tcPr>
          <w:p>
            <w:pPr>
              <w:jc w:val="center"/>
              <w:rPr>
                <w:rFonts w:hint="eastAsia" w:ascii="方正仿宋_GBK" w:hAnsi="宋体" w:eastAsia="方正仿宋_GBK"/>
                <w:color w:val="auto"/>
                <w:sz w:val="21"/>
                <w:szCs w:val="21"/>
              </w:rPr>
            </w:pPr>
          </w:p>
        </w:tc>
        <w:tc>
          <w:tcPr>
            <w:tcW w:w="3127" w:type="dxa"/>
            <w:noWrap w:val="0"/>
            <w:vAlign w:val="top"/>
          </w:tcPr>
          <w:p>
            <w:pPr>
              <w:jc w:val="center"/>
              <w:rPr>
                <w:rFonts w:hint="eastAsia" w:ascii="方正仿宋_GBK" w:hAnsi="宋体" w:eastAsia="方正仿宋_GBK"/>
                <w:color w:val="auto"/>
                <w:sz w:val="21"/>
                <w:szCs w:val="21"/>
              </w:rPr>
            </w:pPr>
          </w:p>
        </w:tc>
        <w:tc>
          <w:tcPr>
            <w:tcW w:w="1235" w:type="dxa"/>
            <w:noWrap w:val="0"/>
            <w:vAlign w:val="center"/>
          </w:tcPr>
          <w:p>
            <w:pPr>
              <w:jc w:val="center"/>
              <w:rPr>
                <w:rFonts w:hint="eastAsia" w:ascii="方正仿宋_GBK" w:hAnsi="宋体" w:eastAsia="方正仿宋_GBK"/>
                <w:color w:val="auto"/>
                <w:sz w:val="21"/>
                <w:szCs w:val="21"/>
              </w:rPr>
            </w:pPr>
          </w:p>
        </w:tc>
        <w:tc>
          <w:tcPr>
            <w:tcW w:w="1235" w:type="dxa"/>
            <w:noWrap w:val="0"/>
            <w:vAlign w:val="top"/>
          </w:tcPr>
          <w:p>
            <w:pPr>
              <w:jc w:val="center"/>
              <w:rPr>
                <w:rFonts w:hint="eastAsia" w:ascii="方正仿宋_GBK" w:hAnsi="宋体" w:eastAsia="方正仿宋_GBK"/>
                <w:color w:val="auto"/>
                <w:sz w:val="21"/>
                <w:szCs w:val="21"/>
              </w:rPr>
            </w:pPr>
          </w:p>
        </w:tc>
        <w:tc>
          <w:tcPr>
            <w:tcW w:w="1235" w:type="dxa"/>
            <w:noWrap w:val="0"/>
            <w:vAlign w:val="top"/>
          </w:tcPr>
          <w:p>
            <w:pPr>
              <w:jc w:val="center"/>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noWrap w:val="0"/>
            <w:vAlign w:val="center"/>
          </w:tcPr>
          <w:p>
            <w:pPr>
              <w:pStyle w:val="6"/>
              <w:spacing w:line="240" w:lineRule="atLeast"/>
              <w:ind w:left="3920"/>
              <w:jc w:val="center"/>
              <w:outlineLvl w:val="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3</w:t>
            </w:r>
          </w:p>
        </w:tc>
        <w:tc>
          <w:tcPr>
            <w:tcW w:w="1557" w:type="dxa"/>
            <w:noWrap w:val="0"/>
            <w:vAlign w:val="center"/>
          </w:tcPr>
          <w:p>
            <w:pPr>
              <w:jc w:val="center"/>
              <w:rPr>
                <w:rFonts w:hint="eastAsia" w:ascii="方正仿宋_GBK" w:hAnsi="宋体" w:eastAsia="方正仿宋_GBK"/>
                <w:color w:val="auto"/>
                <w:sz w:val="21"/>
                <w:szCs w:val="21"/>
              </w:rPr>
            </w:pPr>
          </w:p>
        </w:tc>
        <w:tc>
          <w:tcPr>
            <w:tcW w:w="3127" w:type="dxa"/>
            <w:noWrap w:val="0"/>
            <w:vAlign w:val="top"/>
          </w:tcPr>
          <w:p>
            <w:pPr>
              <w:jc w:val="center"/>
              <w:rPr>
                <w:rFonts w:hint="eastAsia" w:ascii="方正仿宋_GBK" w:hAnsi="宋体" w:eastAsia="方正仿宋_GBK"/>
                <w:color w:val="auto"/>
                <w:sz w:val="21"/>
                <w:szCs w:val="21"/>
              </w:rPr>
            </w:pPr>
          </w:p>
        </w:tc>
        <w:tc>
          <w:tcPr>
            <w:tcW w:w="1235" w:type="dxa"/>
            <w:noWrap w:val="0"/>
            <w:vAlign w:val="center"/>
          </w:tcPr>
          <w:p>
            <w:pPr>
              <w:jc w:val="center"/>
              <w:rPr>
                <w:rFonts w:hint="eastAsia" w:ascii="方正仿宋_GBK" w:hAnsi="宋体" w:eastAsia="方正仿宋_GBK"/>
                <w:color w:val="auto"/>
                <w:sz w:val="21"/>
                <w:szCs w:val="21"/>
              </w:rPr>
            </w:pPr>
          </w:p>
        </w:tc>
        <w:tc>
          <w:tcPr>
            <w:tcW w:w="1235" w:type="dxa"/>
            <w:noWrap w:val="0"/>
            <w:vAlign w:val="top"/>
          </w:tcPr>
          <w:p>
            <w:pPr>
              <w:jc w:val="center"/>
              <w:rPr>
                <w:rFonts w:hint="eastAsia" w:ascii="方正仿宋_GBK" w:hAnsi="宋体" w:eastAsia="方正仿宋_GBK"/>
                <w:color w:val="auto"/>
                <w:sz w:val="21"/>
                <w:szCs w:val="21"/>
              </w:rPr>
            </w:pPr>
          </w:p>
        </w:tc>
        <w:tc>
          <w:tcPr>
            <w:tcW w:w="1235" w:type="dxa"/>
            <w:noWrap w:val="0"/>
            <w:vAlign w:val="top"/>
          </w:tcPr>
          <w:p>
            <w:pPr>
              <w:jc w:val="center"/>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noWrap w:val="0"/>
            <w:vAlign w:val="center"/>
          </w:tcPr>
          <w:p>
            <w:pPr>
              <w:pStyle w:val="6"/>
              <w:spacing w:line="240" w:lineRule="atLeast"/>
              <w:ind w:left="3920"/>
              <w:jc w:val="center"/>
              <w:outlineLvl w:val="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4</w:t>
            </w:r>
          </w:p>
        </w:tc>
        <w:tc>
          <w:tcPr>
            <w:tcW w:w="1557" w:type="dxa"/>
            <w:noWrap w:val="0"/>
            <w:vAlign w:val="center"/>
          </w:tcPr>
          <w:p>
            <w:pPr>
              <w:jc w:val="center"/>
              <w:rPr>
                <w:rFonts w:hint="eastAsia" w:ascii="方正仿宋_GBK" w:hAnsi="宋体" w:eastAsia="方正仿宋_GBK"/>
                <w:color w:val="auto"/>
                <w:sz w:val="21"/>
                <w:szCs w:val="21"/>
              </w:rPr>
            </w:pPr>
          </w:p>
        </w:tc>
        <w:tc>
          <w:tcPr>
            <w:tcW w:w="3127" w:type="dxa"/>
            <w:noWrap w:val="0"/>
            <w:vAlign w:val="top"/>
          </w:tcPr>
          <w:p>
            <w:pPr>
              <w:jc w:val="center"/>
              <w:rPr>
                <w:rFonts w:hint="eastAsia" w:ascii="方正仿宋_GBK" w:hAnsi="宋体" w:eastAsia="方正仿宋_GBK"/>
                <w:color w:val="auto"/>
                <w:sz w:val="21"/>
                <w:szCs w:val="21"/>
              </w:rPr>
            </w:pPr>
          </w:p>
        </w:tc>
        <w:tc>
          <w:tcPr>
            <w:tcW w:w="1235" w:type="dxa"/>
            <w:noWrap w:val="0"/>
            <w:vAlign w:val="center"/>
          </w:tcPr>
          <w:p>
            <w:pPr>
              <w:jc w:val="center"/>
              <w:rPr>
                <w:rFonts w:hint="eastAsia" w:ascii="方正仿宋_GBK" w:hAnsi="宋体" w:eastAsia="方正仿宋_GBK"/>
                <w:color w:val="auto"/>
                <w:sz w:val="21"/>
                <w:szCs w:val="21"/>
              </w:rPr>
            </w:pPr>
          </w:p>
        </w:tc>
        <w:tc>
          <w:tcPr>
            <w:tcW w:w="1235" w:type="dxa"/>
            <w:noWrap w:val="0"/>
            <w:vAlign w:val="top"/>
          </w:tcPr>
          <w:p>
            <w:pPr>
              <w:jc w:val="center"/>
              <w:rPr>
                <w:rFonts w:hint="eastAsia" w:ascii="方正仿宋_GBK" w:hAnsi="宋体" w:eastAsia="方正仿宋_GBK"/>
                <w:color w:val="auto"/>
                <w:sz w:val="21"/>
                <w:szCs w:val="21"/>
              </w:rPr>
            </w:pPr>
          </w:p>
        </w:tc>
        <w:tc>
          <w:tcPr>
            <w:tcW w:w="1235" w:type="dxa"/>
            <w:noWrap w:val="0"/>
            <w:vAlign w:val="top"/>
          </w:tcPr>
          <w:p>
            <w:pPr>
              <w:jc w:val="center"/>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noWrap w:val="0"/>
            <w:vAlign w:val="center"/>
          </w:tcPr>
          <w:p>
            <w:pPr>
              <w:pStyle w:val="6"/>
              <w:spacing w:line="240" w:lineRule="atLeast"/>
              <w:ind w:left="3920"/>
              <w:jc w:val="center"/>
              <w:outlineLvl w:val="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5</w:t>
            </w:r>
          </w:p>
        </w:tc>
        <w:tc>
          <w:tcPr>
            <w:tcW w:w="1557" w:type="dxa"/>
            <w:noWrap w:val="0"/>
            <w:vAlign w:val="center"/>
          </w:tcPr>
          <w:p>
            <w:pPr>
              <w:jc w:val="center"/>
              <w:rPr>
                <w:rFonts w:hint="eastAsia" w:ascii="方正仿宋_GBK" w:hAnsi="宋体" w:eastAsia="方正仿宋_GBK"/>
                <w:color w:val="auto"/>
                <w:sz w:val="21"/>
                <w:szCs w:val="21"/>
              </w:rPr>
            </w:pPr>
          </w:p>
        </w:tc>
        <w:tc>
          <w:tcPr>
            <w:tcW w:w="3127" w:type="dxa"/>
            <w:noWrap w:val="0"/>
            <w:vAlign w:val="top"/>
          </w:tcPr>
          <w:p>
            <w:pPr>
              <w:jc w:val="center"/>
              <w:rPr>
                <w:rFonts w:hint="eastAsia" w:ascii="方正仿宋_GBK" w:hAnsi="宋体" w:eastAsia="方正仿宋_GBK"/>
                <w:color w:val="auto"/>
                <w:sz w:val="21"/>
                <w:szCs w:val="21"/>
              </w:rPr>
            </w:pPr>
          </w:p>
        </w:tc>
        <w:tc>
          <w:tcPr>
            <w:tcW w:w="1235" w:type="dxa"/>
            <w:noWrap w:val="0"/>
            <w:vAlign w:val="center"/>
          </w:tcPr>
          <w:p>
            <w:pPr>
              <w:jc w:val="center"/>
              <w:rPr>
                <w:rFonts w:hint="eastAsia" w:ascii="方正仿宋_GBK" w:hAnsi="宋体" w:eastAsia="方正仿宋_GBK"/>
                <w:color w:val="auto"/>
                <w:sz w:val="21"/>
                <w:szCs w:val="21"/>
              </w:rPr>
            </w:pPr>
          </w:p>
        </w:tc>
        <w:tc>
          <w:tcPr>
            <w:tcW w:w="1235" w:type="dxa"/>
            <w:noWrap w:val="0"/>
            <w:vAlign w:val="top"/>
          </w:tcPr>
          <w:p>
            <w:pPr>
              <w:jc w:val="center"/>
              <w:rPr>
                <w:rFonts w:hint="eastAsia" w:ascii="方正仿宋_GBK" w:hAnsi="宋体" w:eastAsia="方正仿宋_GBK"/>
                <w:color w:val="auto"/>
                <w:sz w:val="21"/>
                <w:szCs w:val="21"/>
              </w:rPr>
            </w:pPr>
          </w:p>
        </w:tc>
        <w:tc>
          <w:tcPr>
            <w:tcW w:w="1235" w:type="dxa"/>
            <w:noWrap w:val="0"/>
            <w:vAlign w:val="top"/>
          </w:tcPr>
          <w:p>
            <w:pPr>
              <w:jc w:val="center"/>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noWrap w:val="0"/>
            <w:vAlign w:val="center"/>
          </w:tcPr>
          <w:p>
            <w:pPr>
              <w:pStyle w:val="6"/>
              <w:spacing w:line="240" w:lineRule="atLeast"/>
              <w:ind w:left="3920"/>
              <w:jc w:val="center"/>
              <w:outlineLvl w:val="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6</w:t>
            </w:r>
          </w:p>
        </w:tc>
        <w:tc>
          <w:tcPr>
            <w:tcW w:w="1557" w:type="dxa"/>
            <w:noWrap w:val="0"/>
            <w:vAlign w:val="center"/>
          </w:tcPr>
          <w:p>
            <w:pPr>
              <w:jc w:val="center"/>
              <w:rPr>
                <w:rFonts w:hint="eastAsia" w:ascii="方正仿宋_GBK" w:hAnsi="宋体" w:eastAsia="方正仿宋_GBK"/>
                <w:color w:val="auto"/>
                <w:sz w:val="21"/>
                <w:szCs w:val="21"/>
              </w:rPr>
            </w:pPr>
          </w:p>
        </w:tc>
        <w:tc>
          <w:tcPr>
            <w:tcW w:w="3127" w:type="dxa"/>
            <w:noWrap w:val="0"/>
            <w:vAlign w:val="top"/>
          </w:tcPr>
          <w:p>
            <w:pPr>
              <w:jc w:val="center"/>
              <w:rPr>
                <w:rFonts w:hint="eastAsia" w:ascii="方正仿宋_GBK" w:hAnsi="宋体" w:eastAsia="方正仿宋_GBK"/>
                <w:color w:val="auto"/>
                <w:sz w:val="21"/>
                <w:szCs w:val="21"/>
              </w:rPr>
            </w:pPr>
          </w:p>
        </w:tc>
        <w:tc>
          <w:tcPr>
            <w:tcW w:w="1235" w:type="dxa"/>
            <w:noWrap w:val="0"/>
            <w:vAlign w:val="center"/>
          </w:tcPr>
          <w:p>
            <w:pPr>
              <w:jc w:val="center"/>
              <w:rPr>
                <w:rFonts w:hint="eastAsia" w:ascii="方正仿宋_GBK" w:hAnsi="宋体" w:eastAsia="方正仿宋_GBK"/>
                <w:color w:val="auto"/>
                <w:sz w:val="21"/>
                <w:szCs w:val="21"/>
              </w:rPr>
            </w:pPr>
          </w:p>
        </w:tc>
        <w:tc>
          <w:tcPr>
            <w:tcW w:w="1235" w:type="dxa"/>
            <w:noWrap w:val="0"/>
            <w:vAlign w:val="top"/>
          </w:tcPr>
          <w:p>
            <w:pPr>
              <w:jc w:val="center"/>
              <w:rPr>
                <w:rFonts w:hint="eastAsia" w:ascii="方正仿宋_GBK" w:hAnsi="宋体" w:eastAsia="方正仿宋_GBK"/>
                <w:color w:val="auto"/>
                <w:sz w:val="21"/>
                <w:szCs w:val="21"/>
              </w:rPr>
            </w:pPr>
          </w:p>
        </w:tc>
        <w:tc>
          <w:tcPr>
            <w:tcW w:w="1235" w:type="dxa"/>
            <w:noWrap w:val="0"/>
            <w:vAlign w:val="top"/>
          </w:tcPr>
          <w:p>
            <w:pPr>
              <w:jc w:val="center"/>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noWrap w:val="0"/>
            <w:vAlign w:val="center"/>
          </w:tcPr>
          <w:p>
            <w:pPr>
              <w:pStyle w:val="6"/>
              <w:spacing w:line="240" w:lineRule="atLeast"/>
              <w:ind w:left="3920"/>
              <w:jc w:val="center"/>
              <w:outlineLvl w:val="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7</w:t>
            </w:r>
          </w:p>
        </w:tc>
        <w:tc>
          <w:tcPr>
            <w:tcW w:w="1557" w:type="dxa"/>
            <w:noWrap w:val="0"/>
            <w:vAlign w:val="center"/>
          </w:tcPr>
          <w:p>
            <w:pPr>
              <w:jc w:val="center"/>
              <w:rPr>
                <w:rFonts w:hint="eastAsia" w:ascii="方正仿宋_GBK" w:hAnsi="宋体" w:eastAsia="方正仿宋_GBK"/>
                <w:color w:val="auto"/>
                <w:sz w:val="21"/>
                <w:szCs w:val="21"/>
              </w:rPr>
            </w:pPr>
          </w:p>
        </w:tc>
        <w:tc>
          <w:tcPr>
            <w:tcW w:w="3127" w:type="dxa"/>
            <w:noWrap w:val="0"/>
            <w:vAlign w:val="top"/>
          </w:tcPr>
          <w:p>
            <w:pPr>
              <w:jc w:val="center"/>
              <w:rPr>
                <w:rFonts w:hint="eastAsia" w:ascii="方正仿宋_GBK" w:hAnsi="宋体" w:eastAsia="方正仿宋_GBK"/>
                <w:color w:val="auto"/>
                <w:sz w:val="21"/>
                <w:szCs w:val="21"/>
              </w:rPr>
            </w:pPr>
          </w:p>
        </w:tc>
        <w:tc>
          <w:tcPr>
            <w:tcW w:w="1235" w:type="dxa"/>
            <w:noWrap w:val="0"/>
            <w:vAlign w:val="center"/>
          </w:tcPr>
          <w:p>
            <w:pPr>
              <w:jc w:val="center"/>
              <w:rPr>
                <w:rFonts w:hint="eastAsia" w:ascii="方正仿宋_GBK" w:hAnsi="宋体" w:eastAsia="方正仿宋_GBK"/>
                <w:color w:val="auto"/>
                <w:sz w:val="21"/>
                <w:szCs w:val="21"/>
              </w:rPr>
            </w:pPr>
          </w:p>
        </w:tc>
        <w:tc>
          <w:tcPr>
            <w:tcW w:w="1235" w:type="dxa"/>
            <w:noWrap w:val="0"/>
            <w:vAlign w:val="top"/>
          </w:tcPr>
          <w:p>
            <w:pPr>
              <w:jc w:val="center"/>
              <w:rPr>
                <w:rFonts w:hint="eastAsia" w:ascii="方正仿宋_GBK" w:hAnsi="宋体" w:eastAsia="方正仿宋_GBK"/>
                <w:color w:val="auto"/>
                <w:sz w:val="21"/>
                <w:szCs w:val="21"/>
              </w:rPr>
            </w:pPr>
          </w:p>
        </w:tc>
        <w:tc>
          <w:tcPr>
            <w:tcW w:w="1235" w:type="dxa"/>
            <w:noWrap w:val="0"/>
            <w:vAlign w:val="top"/>
          </w:tcPr>
          <w:p>
            <w:pPr>
              <w:jc w:val="center"/>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noWrap w:val="0"/>
            <w:vAlign w:val="center"/>
          </w:tcPr>
          <w:p>
            <w:pPr>
              <w:pStyle w:val="6"/>
              <w:spacing w:line="240" w:lineRule="atLeast"/>
              <w:ind w:left="3920"/>
              <w:jc w:val="center"/>
              <w:outlineLvl w:val="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8</w:t>
            </w:r>
          </w:p>
        </w:tc>
        <w:tc>
          <w:tcPr>
            <w:tcW w:w="1557" w:type="dxa"/>
            <w:noWrap w:val="0"/>
            <w:vAlign w:val="center"/>
          </w:tcPr>
          <w:p>
            <w:pPr>
              <w:jc w:val="center"/>
              <w:rPr>
                <w:rFonts w:hint="eastAsia" w:ascii="方正仿宋_GBK" w:hAnsi="宋体" w:eastAsia="方正仿宋_GBK"/>
                <w:color w:val="auto"/>
                <w:sz w:val="21"/>
                <w:szCs w:val="21"/>
                <w:lang w:eastAsia="zh-CN"/>
              </w:rPr>
            </w:pPr>
            <w:r>
              <w:rPr>
                <w:rFonts w:hint="eastAsia" w:ascii="方正仿宋_GBK" w:hAnsi="宋体" w:eastAsia="方正仿宋_GBK"/>
                <w:color w:val="auto"/>
                <w:sz w:val="21"/>
                <w:szCs w:val="21"/>
                <w:lang w:val="en-US" w:eastAsia="zh-CN"/>
              </w:rPr>
              <w:t xml:space="preserve"> </w:t>
            </w:r>
          </w:p>
        </w:tc>
        <w:tc>
          <w:tcPr>
            <w:tcW w:w="3127" w:type="dxa"/>
            <w:noWrap w:val="0"/>
            <w:vAlign w:val="top"/>
          </w:tcPr>
          <w:p>
            <w:pPr>
              <w:jc w:val="center"/>
              <w:rPr>
                <w:rFonts w:hint="eastAsia" w:ascii="方正仿宋_GBK" w:hAnsi="宋体" w:eastAsia="方正仿宋_GBK"/>
                <w:color w:val="auto"/>
                <w:sz w:val="21"/>
                <w:szCs w:val="21"/>
              </w:rPr>
            </w:pPr>
          </w:p>
        </w:tc>
        <w:tc>
          <w:tcPr>
            <w:tcW w:w="1235" w:type="dxa"/>
            <w:noWrap w:val="0"/>
            <w:vAlign w:val="center"/>
          </w:tcPr>
          <w:p>
            <w:pPr>
              <w:jc w:val="cente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w:t>
            </w:r>
          </w:p>
        </w:tc>
        <w:tc>
          <w:tcPr>
            <w:tcW w:w="1235" w:type="dxa"/>
            <w:noWrap w:val="0"/>
            <w:vAlign w:val="top"/>
          </w:tcPr>
          <w:p>
            <w:pPr>
              <w:jc w:val="center"/>
              <w:rPr>
                <w:rFonts w:hint="eastAsia" w:ascii="方正仿宋_GBK" w:hAnsi="宋体" w:eastAsia="方正仿宋_GBK"/>
                <w:color w:val="auto"/>
                <w:sz w:val="21"/>
                <w:szCs w:val="21"/>
              </w:rPr>
            </w:pPr>
          </w:p>
        </w:tc>
        <w:tc>
          <w:tcPr>
            <w:tcW w:w="1235" w:type="dxa"/>
            <w:noWrap w:val="0"/>
            <w:vAlign w:val="top"/>
          </w:tcPr>
          <w:p>
            <w:pPr>
              <w:jc w:val="center"/>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noWrap w:val="0"/>
            <w:vAlign w:val="center"/>
          </w:tcPr>
          <w:p>
            <w:pPr>
              <w:pStyle w:val="6"/>
              <w:spacing w:line="240" w:lineRule="atLeast"/>
              <w:ind w:left="3920"/>
              <w:jc w:val="center"/>
              <w:outlineLvl w:val="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9</w:t>
            </w:r>
          </w:p>
        </w:tc>
        <w:tc>
          <w:tcPr>
            <w:tcW w:w="1557" w:type="dxa"/>
            <w:noWrap w:val="0"/>
            <w:vAlign w:val="center"/>
          </w:tcPr>
          <w:p>
            <w:pPr>
              <w:jc w:val="center"/>
              <w:rPr>
                <w:rFonts w:hint="eastAsia" w:ascii="方正仿宋_GBK" w:hAnsi="宋体" w:eastAsia="方正仿宋_GBK"/>
                <w:color w:val="auto"/>
                <w:sz w:val="21"/>
                <w:szCs w:val="21"/>
                <w:lang w:eastAsia="zh-CN"/>
              </w:rPr>
            </w:pPr>
            <w:r>
              <w:rPr>
                <w:rFonts w:hint="eastAsia" w:ascii="方正仿宋_GBK" w:hAnsi="宋体" w:eastAsia="方正仿宋_GBK"/>
                <w:color w:val="auto"/>
                <w:sz w:val="21"/>
                <w:szCs w:val="21"/>
                <w:lang w:val="en-US" w:eastAsia="zh-CN"/>
              </w:rPr>
              <w:t xml:space="preserve"> </w:t>
            </w:r>
          </w:p>
        </w:tc>
        <w:tc>
          <w:tcPr>
            <w:tcW w:w="3127" w:type="dxa"/>
            <w:noWrap w:val="0"/>
            <w:vAlign w:val="top"/>
          </w:tcPr>
          <w:p>
            <w:pPr>
              <w:jc w:val="center"/>
              <w:rPr>
                <w:rFonts w:hint="eastAsia" w:ascii="方正仿宋_GBK" w:hAnsi="宋体" w:eastAsia="方正仿宋_GBK"/>
                <w:color w:val="auto"/>
                <w:sz w:val="21"/>
                <w:szCs w:val="21"/>
              </w:rPr>
            </w:pPr>
          </w:p>
        </w:tc>
        <w:tc>
          <w:tcPr>
            <w:tcW w:w="1235" w:type="dxa"/>
            <w:noWrap w:val="0"/>
            <w:vAlign w:val="center"/>
          </w:tcPr>
          <w:p>
            <w:pPr>
              <w:jc w:val="cente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w:t>
            </w:r>
          </w:p>
        </w:tc>
        <w:tc>
          <w:tcPr>
            <w:tcW w:w="1235" w:type="dxa"/>
            <w:noWrap w:val="0"/>
            <w:vAlign w:val="top"/>
          </w:tcPr>
          <w:p>
            <w:pPr>
              <w:jc w:val="center"/>
              <w:rPr>
                <w:rFonts w:hint="eastAsia" w:ascii="方正仿宋_GBK" w:hAnsi="宋体" w:eastAsia="方正仿宋_GBK"/>
                <w:color w:val="auto"/>
                <w:sz w:val="21"/>
                <w:szCs w:val="21"/>
              </w:rPr>
            </w:pPr>
          </w:p>
        </w:tc>
        <w:tc>
          <w:tcPr>
            <w:tcW w:w="1235" w:type="dxa"/>
            <w:noWrap w:val="0"/>
            <w:vAlign w:val="top"/>
          </w:tcPr>
          <w:p>
            <w:pPr>
              <w:jc w:val="center"/>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noWrap w:val="0"/>
            <w:vAlign w:val="center"/>
          </w:tcPr>
          <w:p>
            <w:pPr>
              <w:pStyle w:val="6"/>
              <w:spacing w:line="240" w:lineRule="atLeast"/>
              <w:ind w:left="3920"/>
              <w:jc w:val="center"/>
              <w:outlineLvl w:val="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10</w:t>
            </w:r>
          </w:p>
        </w:tc>
        <w:tc>
          <w:tcPr>
            <w:tcW w:w="1557" w:type="dxa"/>
            <w:noWrap w:val="0"/>
            <w:vAlign w:val="center"/>
          </w:tcPr>
          <w:p>
            <w:pPr>
              <w:jc w:val="center"/>
              <w:rPr>
                <w:rFonts w:hint="eastAsia" w:ascii="方正仿宋_GBK" w:hAnsi="宋体" w:eastAsia="方正仿宋_GBK"/>
                <w:color w:val="auto"/>
                <w:sz w:val="21"/>
                <w:szCs w:val="21"/>
                <w:lang w:eastAsia="zh-CN"/>
              </w:rPr>
            </w:pPr>
            <w:r>
              <w:rPr>
                <w:rFonts w:hint="eastAsia" w:ascii="方正仿宋_GBK" w:hAnsi="宋体" w:eastAsia="方正仿宋_GBK"/>
                <w:color w:val="auto"/>
                <w:sz w:val="21"/>
                <w:szCs w:val="21"/>
                <w:lang w:val="en-US" w:eastAsia="zh-CN"/>
              </w:rPr>
              <w:t xml:space="preserve"> </w:t>
            </w:r>
          </w:p>
        </w:tc>
        <w:tc>
          <w:tcPr>
            <w:tcW w:w="3127" w:type="dxa"/>
            <w:noWrap w:val="0"/>
            <w:vAlign w:val="top"/>
          </w:tcPr>
          <w:p>
            <w:pPr>
              <w:jc w:val="center"/>
              <w:rPr>
                <w:rFonts w:hint="eastAsia" w:ascii="方正仿宋_GBK" w:hAnsi="宋体" w:eastAsia="方正仿宋_GBK"/>
                <w:color w:val="auto"/>
                <w:sz w:val="21"/>
                <w:szCs w:val="21"/>
              </w:rPr>
            </w:pPr>
          </w:p>
        </w:tc>
        <w:tc>
          <w:tcPr>
            <w:tcW w:w="1235" w:type="dxa"/>
            <w:noWrap w:val="0"/>
            <w:vAlign w:val="center"/>
          </w:tcPr>
          <w:p>
            <w:pPr>
              <w:jc w:val="cente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w:t>
            </w:r>
          </w:p>
        </w:tc>
        <w:tc>
          <w:tcPr>
            <w:tcW w:w="1235" w:type="dxa"/>
            <w:noWrap w:val="0"/>
            <w:vAlign w:val="top"/>
          </w:tcPr>
          <w:p>
            <w:pPr>
              <w:jc w:val="center"/>
              <w:rPr>
                <w:rFonts w:hint="eastAsia" w:ascii="方正仿宋_GBK" w:hAnsi="宋体" w:eastAsia="方正仿宋_GBK"/>
                <w:color w:val="auto"/>
                <w:sz w:val="21"/>
                <w:szCs w:val="21"/>
              </w:rPr>
            </w:pPr>
          </w:p>
        </w:tc>
        <w:tc>
          <w:tcPr>
            <w:tcW w:w="1235" w:type="dxa"/>
            <w:noWrap w:val="0"/>
            <w:vAlign w:val="top"/>
          </w:tcPr>
          <w:p>
            <w:pPr>
              <w:jc w:val="center"/>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noWrap w:val="0"/>
            <w:vAlign w:val="center"/>
          </w:tcPr>
          <w:p>
            <w:pPr>
              <w:pStyle w:val="6"/>
              <w:spacing w:line="240" w:lineRule="atLeast"/>
              <w:ind w:left="3920"/>
              <w:jc w:val="center"/>
              <w:outlineLvl w:val="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11</w:t>
            </w:r>
          </w:p>
        </w:tc>
        <w:tc>
          <w:tcPr>
            <w:tcW w:w="1557" w:type="dxa"/>
            <w:noWrap w:val="0"/>
            <w:vAlign w:val="center"/>
          </w:tcPr>
          <w:p>
            <w:pPr>
              <w:jc w:val="center"/>
              <w:rPr>
                <w:rFonts w:hint="eastAsia" w:ascii="方正仿宋_GBK" w:hAnsi="宋体" w:eastAsia="方正仿宋_GBK"/>
                <w:color w:val="auto"/>
                <w:sz w:val="21"/>
                <w:szCs w:val="21"/>
                <w:lang w:eastAsia="zh-CN"/>
              </w:rPr>
            </w:pPr>
            <w:r>
              <w:rPr>
                <w:rFonts w:hint="eastAsia" w:ascii="方正仿宋_GBK" w:hAnsi="宋体" w:eastAsia="方正仿宋_GBK"/>
                <w:color w:val="auto"/>
                <w:sz w:val="21"/>
                <w:szCs w:val="21"/>
                <w:lang w:val="en-US" w:eastAsia="zh-CN"/>
              </w:rPr>
              <w:t xml:space="preserve"> </w:t>
            </w:r>
          </w:p>
        </w:tc>
        <w:tc>
          <w:tcPr>
            <w:tcW w:w="3127" w:type="dxa"/>
            <w:noWrap w:val="0"/>
            <w:vAlign w:val="top"/>
          </w:tcPr>
          <w:p>
            <w:pPr>
              <w:jc w:val="center"/>
              <w:rPr>
                <w:rFonts w:hint="eastAsia" w:ascii="方正仿宋_GBK" w:hAnsi="宋体" w:eastAsia="方正仿宋_GBK"/>
                <w:color w:val="auto"/>
                <w:sz w:val="21"/>
                <w:szCs w:val="21"/>
              </w:rPr>
            </w:pPr>
          </w:p>
        </w:tc>
        <w:tc>
          <w:tcPr>
            <w:tcW w:w="1235" w:type="dxa"/>
            <w:noWrap w:val="0"/>
            <w:vAlign w:val="center"/>
          </w:tcPr>
          <w:p>
            <w:pPr>
              <w:jc w:val="cente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w:t>
            </w:r>
          </w:p>
        </w:tc>
        <w:tc>
          <w:tcPr>
            <w:tcW w:w="1235" w:type="dxa"/>
            <w:noWrap w:val="0"/>
            <w:vAlign w:val="top"/>
          </w:tcPr>
          <w:p>
            <w:pPr>
              <w:jc w:val="center"/>
              <w:rPr>
                <w:rFonts w:hint="eastAsia" w:ascii="方正仿宋_GBK" w:hAnsi="宋体" w:eastAsia="方正仿宋_GBK"/>
                <w:color w:val="auto"/>
                <w:sz w:val="21"/>
                <w:szCs w:val="21"/>
              </w:rPr>
            </w:pPr>
          </w:p>
        </w:tc>
        <w:tc>
          <w:tcPr>
            <w:tcW w:w="1235" w:type="dxa"/>
            <w:noWrap w:val="0"/>
            <w:vAlign w:val="top"/>
          </w:tcPr>
          <w:p>
            <w:pPr>
              <w:jc w:val="center"/>
              <w:rPr>
                <w:rFonts w:hint="eastAsia"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noWrap w:val="0"/>
            <w:vAlign w:val="center"/>
          </w:tcPr>
          <w:p>
            <w:pPr>
              <w:pStyle w:val="6"/>
              <w:spacing w:line="240" w:lineRule="atLeast"/>
              <w:ind w:left="3920"/>
              <w:jc w:val="center"/>
              <w:outlineLvl w:val="0"/>
              <w:rPr>
                <w:rFonts w:hint="eastAsia" w:ascii="方正仿宋_GBK" w:hAnsi="宋体" w:eastAsia="方正仿宋_GBK"/>
                <w:color w:val="auto"/>
                <w:sz w:val="21"/>
                <w:szCs w:val="21"/>
              </w:rPr>
            </w:pPr>
            <w:r>
              <w:rPr>
                <w:rFonts w:hint="eastAsia" w:ascii="方正仿宋_GBK" w:hAnsi="宋体" w:eastAsia="方正仿宋_GBK"/>
                <w:color w:val="auto"/>
                <w:sz w:val="21"/>
                <w:szCs w:val="21"/>
              </w:rPr>
              <w:t>12</w:t>
            </w:r>
          </w:p>
        </w:tc>
        <w:tc>
          <w:tcPr>
            <w:tcW w:w="1557" w:type="dxa"/>
            <w:noWrap w:val="0"/>
            <w:vAlign w:val="center"/>
          </w:tcPr>
          <w:p>
            <w:pPr>
              <w:jc w:val="center"/>
              <w:rPr>
                <w:rFonts w:hint="eastAsia" w:ascii="方正仿宋_GBK" w:hAnsi="宋体" w:eastAsia="方正仿宋_GBK"/>
                <w:color w:val="auto"/>
                <w:sz w:val="21"/>
                <w:szCs w:val="21"/>
              </w:rPr>
            </w:pPr>
            <w:r>
              <w:rPr>
                <w:rFonts w:hint="eastAsia" w:ascii="方正仿宋_GBK" w:hAnsi="宋体" w:eastAsia="方正仿宋_GBK"/>
                <w:color w:val="auto"/>
                <w:sz w:val="21"/>
                <w:szCs w:val="21"/>
              </w:rPr>
              <w:t>总计</w:t>
            </w:r>
          </w:p>
        </w:tc>
        <w:tc>
          <w:tcPr>
            <w:tcW w:w="6832" w:type="dxa"/>
            <w:gridSpan w:val="4"/>
            <w:noWrap w:val="0"/>
            <w:vAlign w:val="top"/>
          </w:tcPr>
          <w:p>
            <w:pPr>
              <w:rPr>
                <w:rFonts w:hint="eastAsia" w:ascii="方正仿宋_GBK" w:hAnsi="宋体" w:eastAsia="方正仿宋_GBK"/>
                <w:color w:val="auto"/>
                <w:sz w:val="21"/>
                <w:szCs w:val="21"/>
              </w:rPr>
            </w:pPr>
          </w:p>
        </w:tc>
      </w:tr>
    </w:tbl>
    <w:p>
      <w:pPr>
        <w:snapToGrid w:val="0"/>
        <w:spacing w:line="500" w:lineRule="exact"/>
        <w:ind w:firstLine="480" w:firstLineChars="200"/>
        <w:rPr>
          <w:rFonts w:hint="eastAsia" w:ascii="方正仿宋_GBK" w:hAnsi="宋体" w:eastAsia="方正仿宋_GBK"/>
          <w:color w:val="auto"/>
          <w:sz w:val="24"/>
          <w:szCs w:val="28"/>
        </w:rPr>
      </w:pPr>
    </w:p>
    <w:p>
      <w:pPr>
        <w:snapToGrid w:val="0"/>
        <w:spacing w:line="500" w:lineRule="exact"/>
        <w:ind w:firstLine="640" w:firstLineChars="200"/>
        <w:rPr>
          <w:rFonts w:hint="eastAsia" w:ascii="方正仿宋_GBK" w:hAnsi="宋体" w:eastAsia="方正仿宋_GBK"/>
          <w:color w:val="auto"/>
          <w:sz w:val="32"/>
          <w:szCs w:val="32"/>
        </w:rPr>
      </w:pPr>
      <w:r>
        <w:rPr>
          <w:rFonts w:hint="eastAsia" w:ascii="方正仿宋_GBK" w:hAnsi="宋体" w:eastAsia="方正仿宋_GBK"/>
          <w:color w:val="auto"/>
          <w:sz w:val="32"/>
          <w:szCs w:val="32"/>
        </w:rPr>
        <w:t>注：1.供应商应完整填写本表。</w:t>
      </w:r>
    </w:p>
    <w:p>
      <w:pPr>
        <w:snapToGrid w:val="0"/>
        <w:spacing w:line="500" w:lineRule="exact"/>
        <w:rPr>
          <w:rFonts w:hint="eastAsia" w:ascii="方正仿宋_GBK" w:hAnsi="宋体" w:eastAsia="方正仿宋_GBK"/>
          <w:color w:val="auto"/>
          <w:sz w:val="32"/>
          <w:szCs w:val="32"/>
        </w:rPr>
      </w:pPr>
      <w:r>
        <w:rPr>
          <w:rFonts w:hint="eastAsia" w:ascii="方正仿宋_GBK" w:hAnsi="宋体" w:eastAsia="方正仿宋_GBK"/>
          <w:color w:val="auto"/>
          <w:sz w:val="32"/>
          <w:szCs w:val="32"/>
        </w:rPr>
        <w:t xml:space="preserve">        2.该表可扩展</w:t>
      </w:r>
      <w:bookmarkStart w:id="203" w:name="OLE_LINK1"/>
      <w:bookmarkStart w:id="204" w:name="OLE_LINK2"/>
      <w:r>
        <w:rPr>
          <w:rFonts w:hint="eastAsia" w:ascii="方正仿宋_GBK" w:hAnsi="宋体" w:eastAsia="方正仿宋_GBK"/>
          <w:color w:val="auto"/>
          <w:sz w:val="32"/>
          <w:szCs w:val="32"/>
        </w:rPr>
        <w:t>。</w:t>
      </w:r>
      <w:bookmarkEnd w:id="203"/>
      <w:bookmarkEnd w:id="204"/>
    </w:p>
    <w:p>
      <w:pPr>
        <w:pStyle w:val="12"/>
        <w:spacing w:line="360" w:lineRule="auto"/>
        <w:rPr>
          <w:rFonts w:hint="eastAsia" w:ascii="方正仿宋_GBK" w:hAnsi="宋体" w:eastAsia="方正仿宋_GBK"/>
          <w:color w:val="auto"/>
          <w:sz w:val="32"/>
          <w:szCs w:val="32"/>
        </w:rPr>
      </w:pPr>
    </w:p>
    <w:p>
      <w:pPr>
        <w:pStyle w:val="12"/>
        <w:spacing w:line="360" w:lineRule="auto"/>
        <w:rPr>
          <w:rFonts w:hint="eastAsia" w:ascii="方正仿宋_GBK" w:hAnsi="宋体" w:eastAsia="方正仿宋_GBK"/>
          <w:color w:val="auto"/>
          <w:sz w:val="32"/>
          <w:szCs w:val="32"/>
        </w:rPr>
      </w:pPr>
      <w:r>
        <w:rPr>
          <w:rFonts w:hint="eastAsia" w:ascii="方正仿宋_GBK" w:hAnsi="宋体" w:eastAsia="方正仿宋_GBK"/>
          <w:color w:val="auto"/>
          <w:sz w:val="32"/>
          <w:szCs w:val="32"/>
        </w:rPr>
        <w:t xml:space="preserve">            </w:t>
      </w:r>
    </w:p>
    <w:p>
      <w:pPr>
        <w:rPr>
          <w:rFonts w:hint="eastAsia"/>
          <w:color w:val="auto"/>
          <w:sz w:val="32"/>
          <w:szCs w:val="32"/>
        </w:rPr>
      </w:pPr>
    </w:p>
    <w:p>
      <w:pPr>
        <w:rPr>
          <w:rFonts w:hint="eastAsia"/>
          <w:color w:val="auto"/>
          <w:sz w:val="32"/>
          <w:szCs w:val="32"/>
        </w:rPr>
      </w:pPr>
    </w:p>
    <w:p>
      <w:pPr>
        <w:spacing w:line="360" w:lineRule="auto"/>
        <w:ind w:left="4160" w:hanging="4160" w:hangingChars="1300"/>
        <w:rPr>
          <w:rFonts w:hint="eastAsia" w:ascii="方正仿宋_GBK" w:hAnsi="宋体" w:eastAsia="方正仿宋_GBK"/>
          <w:color w:val="auto"/>
          <w:sz w:val="32"/>
          <w:szCs w:val="32"/>
        </w:rPr>
      </w:pPr>
      <w:r>
        <w:rPr>
          <w:rFonts w:hint="eastAsia" w:ascii="方正仿宋_GBK" w:hAnsi="宋体" w:eastAsia="方正仿宋_GBK"/>
          <w:color w:val="auto"/>
          <w:sz w:val="32"/>
          <w:szCs w:val="32"/>
        </w:rPr>
        <w:t xml:space="preserve">                   供应商名称（公章）或自然人签署：年     月    日</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方正仿宋_GBK" w:eastAsia="方正仿宋_GBK"/>
          <w:color w:val="auto"/>
          <w:sz w:val="24"/>
          <w:szCs w:val="24"/>
          <w:lang w:eastAsia="zh-CN"/>
        </w:rPr>
      </w:pP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方正仿宋_GBK" w:eastAsia="方正仿宋_GBK"/>
          <w:color w:val="auto"/>
          <w:sz w:val="24"/>
          <w:szCs w:val="24"/>
          <w:lang w:eastAsia="zh-CN"/>
        </w:rPr>
      </w:pP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方正仿宋_GBK" w:eastAsia="方正仿宋_GBK"/>
          <w:color w:val="auto"/>
          <w:sz w:val="24"/>
          <w:szCs w:val="24"/>
          <w:lang w:eastAsia="zh-CN"/>
        </w:rPr>
      </w:pP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方正仿宋_GBK" w:eastAsia="方正仿宋_GBK"/>
          <w:color w:val="auto"/>
          <w:sz w:val="24"/>
          <w:szCs w:val="24"/>
          <w:lang w:eastAsia="zh-CN"/>
        </w:rPr>
      </w:pPr>
    </w:p>
    <w:p>
      <w:pPr>
        <w:pStyle w:val="4"/>
        <w:adjustRightInd w:val="0"/>
        <w:snapToGrid w:val="0"/>
        <w:spacing w:before="0" w:after="0" w:line="400" w:lineRule="exact"/>
        <w:ind w:firstLine="643" w:firstLineChars="200"/>
        <w:rPr>
          <w:rFonts w:hint="eastAsia" w:ascii="方正仿宋_GBK" w:hAnsi="宋体" w:eastAsia="方正仿宋_GBK"/>
          <w:color w:val="auto"/>
          <w:sz w:val="24"/>
        </w:rPr>
      </w:pPr>
      <w:bookmarkStart w:id="205" w:name="_Toc313008357"/>
      <w:bookmarkStart w:id="206" w:name="_Toc76462351"/>
      <w:bookmarkStart w:id="207" w:name="_Toc313888361"/>
      <w:bookmarkStart w:id="208" w:name="_Toc8282"/>
      <w:bookmarkStart w:id="209" w:name="_Toc342913420"/>
      <w:bookmarkStart w:id="210" w:name="_Toc106030907"/>
      <w:bookmarkStart w:id="211" w:name="_Toc29766"/>
      <w:bookmarkStart w:id="212" w:name="_Toc1527"/>
      <w:r>
        <w:rPr>
          <w:rFonts w:hint="eastAsia" w:ascii="方正黑体_GBK" w:hAnsi="方正黑体_GBK" w:eastAsia="方正黑体_GBK" w:cs="方正黑体_GBK"/>
          <w:color w:val="auto"/>
          <w:sz w:val="32"/>
          <w:szCs w:val="32"/>
        </w:rPr>
        <w:t>二、服务部分</w:t>
      </w:r>
      <w:bookmarkEnd w:id="205"/>
      <w:bookmarkEnd w:id="206"/>
      <w:bookmarkEnd w:id="207"/>
      <w:bookmarkEnd w:id="208"/>
      <w:bookmarkEnd w:id="209"/>
      <w:bookmarkEnd w:id="210"/>
      <w:bookmarkEnd w:id="211"/>
      <w:bookmarkEnd w:id="212"/>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（一）技术方案（如果有，格式自定）</w:t>
      </w:r>
    </w:p>
    <w:p>
      <w:pPr>
        <w:keepNext w:val="0"/>
        <w:keepLines w:val="0"/>
        <w:pageBreakBefore w:val="0"/>
        <w:widowControl w:val="0"/>
        <w:kinsoku/>
        <w:wordWrap/>
        <w:overflowPunct/>
        <w:topLinePunct w:val="0"/>
        <w:autoSpaceDE/>
        <w:autoSpaceDN/>
        <w:bidi w:val="0"/>
        <w:adjustRightInd/>
        <w:snapToGrid w:val="0"/>
        <w:spacing w:line="400" w:lineRule="exact"/>
        <w:ind w:firstLine="960" w:firstLineChars="3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(二)承诺函</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致：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（采购</w:t>
      </w:r>
      <w:r>
        <w:rPr>
          <w:rFonts w:hint="eastAsia" w:ascii="仿宋_GB2312" w:hAnsi="仿宋_GB2312" w:eastAsia="仿宋_GB2312" w:cs="仿宋_GB2312"/>
          <w:color w:val="auto"/>
          <w:sz w:val="32"/>
          <w:szCs w:val="32"/>
          <w:lang w:val="en-US" w:eastAsia="zh-CN"/>
        </w:rPr>
        <w:t>机构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（供应商名称）承诺，如我公司中标,在该项目服务期间严格按照采购人审定的方案执行,确保本项目顺利完成。如出现重大失误或过错,我公司承担相应法律责任。</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供应商(盖章):</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bookmarkStart w:id="213" w:name="_Toc11915_WPSOffice_Level3"/>
    </w:p>
    <w:p>
      <w:pPr>
        <w:snapToGrid w:val="0"/>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（三）技术响应偏离表</w:t>
      </w:r>
      <w:bookmarkEnd w:id="213"/>
    </w:p>
    <w:p>
      <w:pPr>
        <w:snapToGrid w:val="0"/>
        <w:spacing w:line="500" w:lineRule="exact"/>
        <w:ind w:firstLine="640" w:firstLineChars="200"/>
        <w:rPr>
          <w:rFonts w:hint="eastAsia" w:ascii="仿宋_GB2312" w:hAnsi="仿宋_GB2312" w:eastAsia="仿宋_GB2312" w:cs="仿宋_GB2312"/>
          <w:color w:val="auto"/>
          <w:sz w:val="32"/>
          <w:szCs w:val="32"/>
        </w:rPr>
      </w:pPr>
      <w:bookmarkStart w:id="214" w:name="_Toc12217"/>
      <w:bookmarkStart w:id="215" w:name="_Toc32545"/>
      <w:bookmarkStart w:id="216" w:name="_Toc18608"/>
      <w:r>
        <w:rPr>
          <w:rFonts w:hint="eastAsia" w:ascii="仿宋_GB2312" w:hAnsi="仿宋_GB2312" w:eastAsia="仿宋_GB2312" w:cs="仿宋_GB2312"/>
          <w:color w:val="auto"/>
          <w:sz w:val="32"/>
          <w:szCs w:val="32"/>
        </w:rPr>
        <w:t>采购项目名称：</w:t>
      </w:r>
      <w:bookmarkEnd w:id="214"/>
      <w:bookmarkEnd w:id="215"/>
      <w:bookmarkEnd w:id="216"/>
    </w:p>
    <w:tbl>
      <w:tblPr>
        <w:tblStyle w:val="14"/>
        <w:tblW w:w="8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138" w:type="dxa"/>
            <w:noWrap w:val="0"/>
            <w:vAlign w:val="center"/>
          </w:tcPr>
          <w:p>
            <w:pPr>
              <w:snapToGrid w:val="0"/>
              <w:spacing w:line="500" w:lineRule="exact"/>
              <w:rPr>
                <w:rFonts w:hint="eastAsia" w:ascii="方正仿宋_GBK" w:hAnsi="宋体" w:eastAsia="方正仿宋_GBK" w:cs="Times New Roman"/>
                <w:color w:val="auto"/>
                <w:sz w:val="24"/>
                <w:szCs w:val="28"/>
              </w:rPr>
            </w:pPr>
            <w:bookmarkStart w:id="217" w:name="_Toc28155"/>
            <w:bookmarkStart w:id="218" w:name="_Toc181"/>
            <w:bookmarkStart w:id="219" w:name="_Toc26506"/>
            <w:r>
              <w:rPr>
                <w:rFonts w:hint="eastAsia" w:ascii="方正仿宋_GBK" w:hAnsi="宋体" w:eastAsia="方正仿宋_GBK" w:cs="Times New Roman"/>
                <w:color w:val="auto"/>
                <w:sz w:val="24"/>
                <w:szCs w:val="28"/>
              </w:rPr>
              <w:t>序号</w:t>
            </w:r>
            <w:bookmarkEnd w:id="217"/>
            <w:bookmarkEnd w:id="218"/>
            <w:bookmarkEnd w:id="219"/>
          </w:p>
        </w:tc>
        <w:tc>
          <w:tcPr>
            <w:tcW w:w="2658" w:type="dxa"/>
            <w:noWrap w:val="0"/>
            <w:vAlign w:val="center"/>
          </w:tcPr>
          <w:p>
            <w:pPr>
              <w:snapToGrid w:val="0"/>
              <w:spacing w:line="500" w:lineRule="exact"/>
              <w:ind w:firstLine="480" w:firstLineChars="200"/>
              <w:rPr>
                <w:rFonts w:hint="eastAsia" w:ascii="方正仿宋_GBK" w:hAnsi="宋体" w:eastAsia="方正仿宋_GBK" w:cs="Times New Roman"/>
                <w:color w:val="auto"/>
                <w:sz w:val="24"/>
                <w:szCs w:val="28"/>
              </w:rPr>
            </w:pPr>
            <w:bookmarkStart w:id="220" w:name="_Toc32299"/>
            <w:bookmarkStart w:id="221" w:name="_Toc15287"/>
            <w:bookmarkStart w:id="222" w:name="_Toc23325"/>
            <w:r>
              <w:rPr>
                <w:rFonts w:hint="eastAsia" w:ascii="方正仿宋_GBK" w:hAnsi="宋体" w:eastAsia="方正仿宋_GBK" w:cs="Times New Roman"/>
                <w:color w:val="auto"/>
                <w:sz w:val="24"/>
                <w:szCs w:val="28"/>
              </w:rPr>
              <w:t>采购需求</w:t>
            </w:r>
            <w:bookmarkEnd w:id="220"/>
            <w:bookmarkEnd w:id="221"/>
            <w:bookmarkEnd w:id="222"/>
          </w:p>
        </w:tc>
        <w:tc>
          <w:tcPr>
            <w:tcW w:w="2759" w:type="dxa"/>
            <w:noWrap w:val="0"/>
            <w:vAlign w:val="center"/>
          </w:tcPr>
          <w:p>
            <w:pPr>
              <w:snapToGrid w:val="0"/>
              <w:spacing w:line="500" w:lineRule="exact"/>
              <w:ind w:firstLine="480" w:firstLineChars="200"/>
              <w:rPr>
                <w:rFonts w:hint="eastAsia" w:ascii="方正仿宋_GBK" w:hAnsi="宋体" w:eastAsia="方正仿宋_GBK" w:cs="Times New Roman"/>
                <w:color w:val="auto"/>
                <w:sz w:val="24"/>
                <w:szCs w:val="28"/>
              </w:rPr>
            </w:pPr>
            <w:bookmarkStart w:id="223" w:name="_Toc8363"/>
            <w:bookmarkStart w:id="224" w:name="_Toc27367"/>
            <w:bookmarkStart w:id="225" w:name="_Toc13992"/>
            <w:r>
              <w:rPr>
                <w:rFonts w:hint="eastAsia" w:ascii="方正仿宋_GBK" w:hAnsi="宋体" w:eastAsia="方正仿宋_GBK" w:cs="Times New Roman"/>
                <w:color w:val="auto"/>
                <w:sz w:val="24"/>
                <w:szCs w:val="28"/>
              </w:rPr>
              <w:t>响应情况</w:t>
            </w:r>
            <w:bookmarkEnd w:id="223"/>
            <w:bookmarkEnd w:id="224"/>
            <w:bookmarkEnd w:id="225"/>
          </w:p>
        </w:tc>
        <w:tc>
          <w:tcPr>
            <w:tcW w:w="2067" w:type="dxa"/>
            <w:noWrap w:val="0"/>
            <w:vAlign w:val="center"/>
          </w:tcPr>
          <w:p>
            <w:pPr>
              <w:snapToGrid w:val="0"/>
              <w:spacing w:line="500" w:lineRule="exact"/>
              <w:ind w:firstLine="480" w:firstLineChars="200"/>
              <w:rPr>
                <w:rFonts w:hint="eastAsia" w:ascii="方正仿宋_GBK" w:hAnsi="宋体" w:eastAsia="方正仿宋_GBK" w:cs="Times New Roman"/>
                <w:color w:val="auto"/>
                <w:sz w:val="24"/>
                <w:szCs w:val="28"/>
              </w:rPr>
            </w:pPr>
            <w:bookmarkStart w:id="226" w:name="_Toc2863"/>
            <w:bookmarkStart w:id="227" w:name="_Toc15962"/>
            <w:bookmarkStart w:id="228" w:name="_Toc1588"/>
            <w:r>
              <w:rPr>
                <w:rFonts w:hint="eastAsia" w:ascii="方正仿宋_GBK" w:hAnsi="宋体" w:eastAsia="方正仿宋_GBK" w:cs="Times New Roman"/>
                <w:color w:val="auto"/>
                <w:sz w:val="24"/>
                <w:szCs w:val="28"/>
              </w:rPr>
              <w:t>差异说明</w:t>
            </w:r>
            <w:bookmarkEnd w:id="226"/>
            <w:bookmarkEnd w:id="227"/>
            <w:bookmarkEnd w:id="2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noWrap w:val="0"/>
            <w:vAlign w:val="center"/>
          </w:tcPr>
          <w:p>
            <w:pPr>
              <w:snapToGrid w:val="0"/>
              <w:spacing w:line="500" w:lineRule="exact"/>
              <w:ind w:firstLine="480" w:firstLineChars="200"/>
              <w:rPr>
                <w:rFonts w:hint="eastAsia" w:ascii="方正仿宋_GBK" w:hAnsi="宋体" w:eastAsia="方正仿宋_GBK" w:cs="Times New Roman"/>
                <w:color w:val="auto"/>
                <w:sz w:val="24"/>
                <w:szCs w:val="28"/>
              </w:rPr>
            </w:pPr>
          </w:p>
        </w:tc>
        <w:tc>
          <w:tcPr>
            <w:tcW w:w="2658" w:type="dxa"/>
            <w:noWrap w:val="0"/>
            <w:vAlign w:val="center"/>
          </w:tcPr>
          <w:p>
            <w:pPr>
              <w:snapToGrid w:val="0"/>
              <w:spacing w:line="500" w:lineRule="exact"/>
              <w:ind w:firstLine="480" w:firstLineChars="200"/>
              <w:rPr>
                <w:rFonts w:hint="eastAsia" w:ascii="方正仿宋_GBK" w:hAnsi="宋体" w:eastAsia="方正仿宋_GBK" w:cs="Times New Roman"/>
                <w:color w:val="auto"/>
                <w:sz w:val="24"/>
                <w:szCs w:val="28"/>
              </w:rPr>
            </w:pPr>
          </w:p>
        </w:tc>
        <w:tc>
          <w:tcPr>
            <w:tcW w:w="2759" w:type="dxa"/>
            <w:noWrap w:val="0"/>
            <w:vAlign w:val="center"/>
          </w:tcPr>
          <w:p>
            <w:pPr>
              <w:snapToGrid w:val="0"/>
              <w:spacing w:line="500" w:lineRule="exact"/>
              <w:ind w:firstLine="480" w:firstLineChars="200"/>
              <w:rPr>
                <w:rFonts w:hint="eastAsia" w:ascii="方正仿宋_GBK" w:hAnsi="宋体" w:eastAsia="方正仿宋_GBK" w:cs="Times New Roman"/>
                <w:color w:val="auto"/>
                <w:sz w:val="24"/>
                <w:szCs w:val="28"/>
              </w:rPr>
            </w:pPr>
          </w:p>
        </w:tc>
        <w:tc>
          <w:tcPr>
            <w:tcW w:w="2067" w:type="dxa"/>
            <w:noWrap w:val="0"/>
            <w:vAlign w:val="center"/>
          </w:tcPr>
          <w:p>
            <w:pPr>
              <w:snapToGrid w:val="0"/>
              <w:spacing w:line="500" w:lineRule="exact"/>
              <w:ind w:firstLine="480" w:firstLineChars="200"/>
              <w:rPr>
                <w:rFonts w:hint="eastAsia" w:ascii="方正仿宋_GBK" w:hAnsi="宋体" w:eastAsia="方正仿宋_GBK" w:cs="Times New Roman"/>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noWrap w:val="0"/>
            <w:vAlign w:val="center"/>
          </w:tcPr>
          <w:p>
            <w:pPr>
              <w:snapToGrid w:val="0"/>
              <w:spacing w:line="500" w:lineRule="exact"/>
              <w:ind w:firstLine="480" w:firstLineChars="200"/>
              <w:rPr>
                <w:rFonts w:hint="eastAsia" w:ascii="方正仿宋_GBK" w:hAnsi="宋体" w:eastAsia="方正仿宋_GBK" w:cs="Times New Roman"/>
                <w:color w:val="auto"/>
                <w:sz w:val="24"/>
                <w:szCs w:val="28"/>
              </w:rPr>
            </w:pPr>
          </w:p>
        </w:tc>
        <w:tc>
          <w:tcPr>
            <w:tcW w:w="2658" w:type="dxa"/>
            <w:noWrap w:val="0"/>
            <w:vAlign w:val="center"/>
          </w:tcPr>
          <w:p>
            <w:pPr>
              <w:snapToGrid w:val="0"/>
              <w:spacing w:line="500" w:lineRule="exact"/>
              <w:ind w:firstLine="480" w:firstLineChars="200"/>
              <w:rPr>
                <w:rFonts w:hint="eastAsia" w:ascii="方正仿宋_GBK" w:hAnsi="宋体" w:eastAsia="方正仿宋_GBK" w:cs="Times New Roman"/>
                <w:color w:val="auto"/>
                <w:sz w:val="24"/>
                <w:szCs w:val="28"/>
              </w:rPr>
            </w:pPr>
          </w:p>
        </w:tc>
        <w:tc>
          <w:tcPr>
            <w:tcW w:w="2759" w:type="dxa"/>
            <w:noWrap w:val="0"/>
            <w:vAlign w:val="center"/>
          </w:tcPr>
          <w:p>
            <w:pPr>
              <w:snapToGrid w:val="0"/>
              <w:spacing w:line="500" w:lineRule="exact"/>
              <w:ind w:firstLine="480" w:firstLineChars="200"/>
              <w:rPr>
                <w:rFonts w:hint="eastAsia" w:ascii="方正仿宋_GBK" w:hAnsi="宋体" w:eastAsia="方正仿宋_GBK" w:cs="Times New Roman"/>
                <w:color w:val="auto"/>
                <w:sz w:val="24"/>
                <w:szCs w:val="28"/>
              </w:rPr>
            </w:pPr>
          </w:p>
        </w:tc>
        <w:tc>
          <w:tcPr>
            <w:tcW w:w="2067" w:type="dxa"/>
            <w:noWrap w:val="0"/>
            <w:vAlign w:val="center"/>
          </w:tcPr>
          <w:p>
            <w:pPr>
              <w:snapToGrid w:val="0"/>
              <w:spacing w:line="500" w:lineRule="exact"/>
              <w:ind w:firstLine="480" w:firstLineChars="200"/>
              <w:rPr>
                <w:rFonts w:hint="eastAsia" w:ascii="方正仿宋_GBK" w:hAnsi="宋体" w:eastAsia="方正仿宋_GBK" w:cs="Times New Roman"/>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noWrap w:val="0"/>
            <w:vAlign w:val="center"/>
          </w:tcPr>
          <w:p>
            <w:pPr>
              <w:snapToGrid w:val="0"/>
              <w:spacing w:line="500" w:lineRule="exact"/>
              <w:ind w:firstLine="480" w:firstLineChars="200"/>
              <w:rPr>
                <w:rFonts w:hint="eastAsia" w:ascii="方正仿宋_GBK" w:hAnsi="宋体" w:eastAsia="方正仿宋_GBK" w:cs="Times New Roman"/>
                <w:color w:val="auto"/>
                <w:sz w:val="24"/>
                <w:szCs w:val="28"/>
              </w:rPr>
            </w:pPr>
          </w:p>
        </w:tc>
        <w:tc>
          <w:tcPr>
            <w:tcW w:w="2658" w:type="dxa"/>
            <w:noWrap w:val="0"/>
            <w:vAlign w:val="center"/>
          </w:tcPr>
          <w:p>
            <w:pPr>
              <w:snapToGrid w:val="0"/>
              <w:spacing w:line="500" w:lineRule="exact"/>
              <w:ind w:firstLine="480" w:firstLineChars="200"/>
              <w:rPr>
                <w:rFonts w:hint="eastAsia" w:ascii="方正仿宋_GBK" w:hAnsi="宋体" w:eastAsia="方正仿宋_GBK" w:cs="Times New Roman"/>
                <w:color w:val="auto"/>
                <w:sz w:val="24"/>
                <w:szCs w:val="28"/>
              </w:rPr>
            </w:pPr>
          </w:p>
        </w:tc>
        <w:tc>
          <w:tcPr>
            <w:tcW w:w="2759" w:type="dxa"/>
            <w:noWrap w:val="0"/>
            <w:vAlign w:val="center"/>
          </w:tcPr>
          <w:p>
            <w:pPr>
              <w:snapToGrid w:val="0"/>
              <w:spacing w:line="500" w:lineRule="exact"/>
              <w:ind w:firstLine="480" w:firstLineChars="200"/>
              <w:rPr>
                <w:rFonts w:hint="eastAsia" w:ascii="方正仿宋_GBK" w:hAnsi="宋体" w:eastAsia="方正仿宋_GBK" w:cs="Times New Roman"/>
                <w:color w:val="auto"/>
                <w:sz w:val="24"/>
                <w:szCs w:val="28"/>
              </w:rPr>
            </w:pPr>
          </w:p>
        </w:tc>
        <w:tc>
          <w:tcPr>
            <w:tcW w:w="2067" w:type="dxa"/>
            <w:noWrap w:val="0"/>
            <w:vAlign w:val="center"/>
          </w:tcPr>
          <w:p>
            <w:pPr>
              <w:snapToGrid w:val="0"/>
              <w:spacing w:line="500" w:lineRule="exact"/>
              <w:ind w:firstLine="480" w:firstLineChars="200"/>
              <w:rPr>
                <w:rFonts w:hint="eastAsia" w:ascii="方正仿宋_GBK" w:hAnsi="宋体" w:eastAsia="方正仿宋_GBK" w:cs="Times New Roman"/>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noWrap w:val="0"/>
            <w:vAlign w:val="center"/>
          </w:tcPr>
          <w:p>
            <w:pPr>
              <w:snapToGrid w:val="0"/>
              <w:spacing w:line="500" w:lineRule="exact"/>
              <w:ind w:firstLine="480" w:firstLineChars="200"/>
              <w:rPr>
                <w:rFonts w:hint="eastAsia" w:ascii="方正仿宋_GBK" w:hAnsi="宋体" w:eastAsia="方正仿宋_GBK" w:cs="Times New Roman"/>
                <w:color w:val="auto"/>
                <w:sz w:val="24"/>
                <w:szCs w:val="28"/>
              </w:rPr>
            </w:pPr>
          </w:p>
        </w:tc>
        <w:tc>
          <w:tcPr>
            <w:tcW w:w="2658" w:type="dxa"/>
            <w:noWrap w:val="0"/>
            <w:vAlign w:val="center"/>
          </w:tcPr>
          <w:p>
            <w:pPr>
              <w:snapToGrid w:val="0"/>
              <w:spacing w:line="500" w:lineRule="exact"/>
              <w:ind w:firstLine="480" w:firstLineChars="200"/>
              <w:rPr>
                <w:rFonts w:hint="eastAsia" w:ascii="方正仿宋_GBK" w:hAnsi="宋体" w:eastAsia="方正仿宋_GBK" w:cs="Times New Roman"/>
                <w:color w:val="auto"/>
                <w:sz w:val="24"/>
                <w:szCs w:val="28"/>
              </w:rPr>
            </w:pPr>
          </w:p>
        </w:tc>
        <w:tc>
          <w:tcPr>
            <w:tcW w:w="2759" w:type="dxa"/>
            <w:noWrap w:val="0"/>
            <w:vAlign w:val="center"/>
          </w:tcPr>
          <w:p>
            <w:pPr>
              <w:snapToGrid w:val="0"/>
              <w:spacing w:line="500" w:lineRule="exact"/>
              <w:ind w:firstLine="480" w:firstLineChars="200"/>
              <w:rPr>
                <w:rFonts w:hint="eastAsia" w:ascii="方正仿宋_GBK" w:hAnsi="宋体" w:eastAsia="方正仿宋_GBK" w:cs="Times New Roman"/>
                <w:color w:val="auto"/>
                <w:sz w:val="24"/>
                <w:szCs w:val="28"/>
              </w:rPr>
            </w:pPr>
          </w:p>
        </w:tc>
        <w:tc>
          <w:tcPr>
            <w:tcW w:w="2067" w:type="dxa"/>
            <w:noWrap w:val="0"/>
            <w:vAlign w:val="center"/>
          </w:tcPr>
          <w:p>
            <w:pPr>
              <w:snapToGrid w:val="0"/>
              <w:spacing w:line="500" w:lineRule="exact"/>
              <w:ind w:firstLine="480" w:firstLineChars="200"/>
              <w:rPr>
                <w:rFonts w:hint="eastAsia" w:ascii="方正仿宋_GBK" w:hAnsi="宋体" w:eastAsia="方正仿宋_GBK" w:cs="Times New Roman"/>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noWrap w:val="0"/>
            <w:vAlign w:val="center"/>
          </w:tcPr>
          <w:p>
            <w:pPr>
              <w:snapToGrid w:val="0"/>
              <w:spacing w:line="500" w:lineRule="exact"/>
              <w:ind w:firstLine="480" w:firstLineChars="200"/>
              <w:rPr>
                <w:rFonts w:hint="eastAsia" w:ascii="方正仿宋_GBK" w:hAnsi="宋体" w:eastAsia="方正仿宋_GBK" w:cs="Times New Roman"/>
                <w:color w:val="auto"/>
                <w:sz w:val="24"/>
                <w:szCs w:val="28"/>
              </w:rPr>
            </w:pPr>
          </w:p>
        </w:tc>
        <w:tc>
          <w:tcPr>
            <w:tcW w:w="2658" w:type="dxa"/>
            <w:noWrap w:val="0"/>
            <w:vAlign w:val="center"/>
          </w:tcPr>
          <w:p>
            <w:pPr>
              <w:snapToGrid w:val="0"/>
              <w:spacing w:line="500" w:lineRule="exact"/>
              <w:ind w:firstLine="480" w:firstLineChars="200"/>
              <w:rPr>
                <w:rFonts w:hint="eastAsia" w:ascii="方正仿宋_GBK" w:hAnsi="宋体" w:eastAsia="方正仿宋_GBK" w:cs="Times New Roman"/>
                <w:color w:val="auto"/>
                <w:sz w:val="24"/>
                <w:szCs w:val="28"/>
              </w:rPr>
            </w:pPr>
          </w:p>
        </w:tc>
        <w:tc>
          <w:tcPr>
            <w:tcW w:w="2759" w:type="dxa"/>
            <w:noWrap w:val="0"/>
            <w:vAlign w:val="center"/>
          </w:tcPr>
          <w:p>
            <w:pPr>
              <w:snapToGrid w:val="0"/>
              <w:spacing w:line="500" w:lineRule="exact"/>
              <w:ind w:firstLine="480" w:firstLineChars="200"/>
              <w:rPr>
                <w:rFonts w:hint="eastAsia" w:ascii="方正仿宋_GBK" w:hAnsi="宋体" w:eastAsia="方正仿宋_GBK" w:cs="Times New Roman"/>
                <w:color w:val="auto"/>
                <w:sz w:val="24"/>
                <w:szCs w:val="28"/>
              </w:rPr>
            </w:pPr>
          </w:p>
        </w:tc>
        <w:tc>
          <w:tcPr>
            <w:tcW w:w="2067" w:type="dxa"/>
            <w:noWrap w:val="0"/>
            <w:vAlign w:val="center"/>
          </w:tcPr>
          <w:p>
            <w:pPr>
              <w:snapToGrid w:val="0"/>
              <w:spacing w:line="500" w:lineRule="exact"/>
              <w:ind w:firstLine="480" w:firstLineChars="200"/>
              <w:rPr>
                <w:rFonts w:hint="eastAsia" w:ascii="方正仿宋_GBK" w:hAnsi="宋体" w:eastAsia="方正仿宋_GBK" w:cs="Times New Roman"/>
                <w:color w:val="auto"/>
                <w:sz w:val="24"/>
                <w:szCs w:val="28"/>
              </w:rPr>
            </w:pPr>
          </w:p>
        </w:tc>
      </w:tr>
    </w:tbl>
    <w:p>
      <w:pPr>
        <w:snapToGrid w:val="0"/>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供应商：               法定代表人授权代表：</w:t>
      </w:r>
    </w:p>
    <w:p>
      <w:pPr>
        <w:snapToGrid w:val="0"/>
        <w:spacing w:line="5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（供应商公章）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（签字或盖章）</w:t>
      </w:r>
    </w:p>
    <w:p>
      <w:pPr>
        <w:snapToGrid w:val="0"/>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年     月     日</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注：1、本表即为对本项目“第二篇  项目技术需求”中所列服务要求进行比较和响应；</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2、该表必须按照</w:t>
      </w:r>
      <w:r>
        <w:rPr>
          <w:rFonts w:hint="eastAsia" w:ascii="仿宋_GB2312" w:hAnsi="仿宋_GB2312" w:eastAsia="仿宋_GB2312" w:cs="仿宋_GB2312"/>
          <w:color w:val="auto"/>
          <w:sz w:val="32"/>
          <w:szCs w:val="32"/>
          <w:lang w:val="en-US" w:eastAsia="zh-CN"/>
        </w:rPr>
        <w:t>竞争性磋商</w:t>
      </w:r>
      <w:r>
        <w:rPr>
          <w:rFonts w:hint="eastAsia" w:ascii="仿宋_GB2312" w:hAnsi="仿宋_GB2312" w:eastAsia="仿宋_GB2312" w:cs="仿宋_GB2312"/>
          <w:color w:val="auto"/>
          <w:sz w:val="32"/>
          <w:szCs w:val="32"/>
        </w:rPr>
        <w:t>采购要求逐条如实填写，根据响应情况在“差异说明”项填写正偏离或负偏离及原因，完全符合的填写“无差异”；</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3、该表可扩展，并逐页签字或盖章；</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4、可附相关支撑材料。（格式自定）</w:t>
      </w:r>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5、若“响应情况”栏中仅填写“无偏离”或“有偏离”等内容而未作实质性参数描述，该供应商将失去成为成交供应商的资格，仅保留其合格供应商的身份。</w:t>
      </w:r>
    </w:p>
    <w:p>
      <w:pPr>
        <w:pStyle w:val="4"/>
        <w:adjustRightInd w:val="0"/>
        <w:snapToGrid w:val="0"/>
        <w:spacing w:before="0" w:after="0" w:line="400" w:lineRule="exact"/>
        <w:ind w:firstLine="643"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三、商务部分</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仿宋_GB2312" w:hAnsi="仿宋_GB2312" w:eastAsia="仿宋_GB2312" w:cs="仿宋_GB2312"/>
          <w:color w:val="auto"/>
          <w:sz w:val="32"/>
          <w:szCs w:val="32"/>
          <w:lang w:val="en-US" w:eastAsia="zh-CN"/>
        </w:rPr>
      </w:pPr>
      <w:bookmarkStart w:id="229" w:name="_Toc5560_WPSOffice_Level3"/>
      <w:r>
        <w:rPr>
          <w:rFonts w:hint="eastAsia" w:ascii="仿宋_GB2312" w:hAnsi="仿宋_GB2312" w:eastAsia="仿宋_GB2312" w:cs="仿宋_GB2312"/>
          <w:color w:val="auto"/>
          <w:sz w:val="32"/>
          <w:szCs w:val="32"/>
        </w:rPr>
        <w:t>（一）商务要求响应情况：交货期及地点、报价要求、质量保证及售后服务等（格式自定）</w:t>
      </w:r>
      <w:bookmarkEnd w:id="229"/>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仿宋_GB2312" w:hAnsi="仿宋_GB2312" w:eastAsia="仿宋_GB2312" w:cs="仿宋_GB2312"/>
          <w:color w:val="auto"/>
          <w:sz w:val="32"/>
          <w:szCs w:val="32"/>
        </w:rPr>
      </w:pPr>
      <w:bookmarkStart w:id="230" w:name="_Toc19445_WPSOffice_Level3"/>
      <w:r>
        <w:rPr>
          <w:rFonts w:hint="eastAsia" w:ascii="仿宋_GB2312" w:hAnsi="仿宋_GB2312" w:eastAsia="仿宋_GB2312" w:cs="仿宋_GB2312"/>
          <w:color w:val="auto"/>
          <w:sz w:val="32"/>
          <w:szCs w:val="32"/>
        </w:rPr>
        <w:t>（二）商务响应偏离表</w:t>
      </w:r>
      <w:bookmarkEnd w:id="230"/>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仿宋_GB2312" w:hAnsi="仿宋_GB2312" w:eastAsia="仿宋_GB2312" w:cs="仿宋_GB2312"/>
          <w:color w:val="auto"/>
          <w:sz w:val="32"/>
          <w:szCs w:val="32"/>
        </w:rPr>
      </w:pPr>
      <w:bookmarkStart w:id="231" w:name="_Toc16932_WPSOffice_Level2"/>
      <w:bookmarkStart w:id="232" w:name="_Toc20186_WPSOffice_Level2"/>
      <w:bookmarkStart w:id="233" w:name="_Toc22339_WPSOffice_Level2"/>
      <w:bookmarkStart w:id="234" w:name="_Toc16543_WPSOffice_Level2"/>
      <w:bookmarkStart w:id="235" w:name="_Toc11758"/>
      <w:bookmarkStart w:id="236" w:name="_Toc25198"/>
      <w:bookmarkStart w:id="237" w:name="_Toc8661"/>
      <w:r>
        <w:rPr>
          <w:rFonts w:hint="eastAsia" w:ascii="仿宋_GB2312" w:hAnsi="仿宋_GB2312" w:eastAsia="仿宋_GB2312" w:cs="仿宋_GB2312"/>
          <w:color w:val="auto"/>
          <w:sz w:val="32"/>
          <w:szCs w:val="32"/>
        </w:rPr>
        <w:t>商务响应偏离表（本表可自行设计格式）</w:t>
      </w:r>
      <w:bookmarkEnd w:id="231"/>
      <w:bookmarkEnd w:id="232"/>
      <w:bookmarkEnd w:id="233"/>
      <w:bookmarkEnd w:id="234"/>
      <w:bookmarkEnd w:id="235"/>
      <w:bookmarkEnd w:id="236"/>
      <w:bookmarkEnd w:id="237"/>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对于</w:t>
      </w:r>
      <w:r>
        <w:rPr>
          <w:rFonts w:hint="eastAsia" w:ascii="方正仿宋_GBK" w:hAnsi="宋体" w:eastAsia="方正仿宋_GBK"/>
          <w:color w:val="auto"/>
          <w:sz w:val="32"/>
          <w:szCs w:val="32"/>
          <w:lang w:val="en-US" w:eastAsia="zh-CN"/>
        </w:rPr>
        <w:t>竞争性磋商</w:t>
      </w:r>
      <w:r>
        <w:rPr>
          <w:rFonts w:hint="eastAsia" w:ascii="仿宋_GB2312" w:hAnsi="仿宋_GB2312" w:eastAsia="仿宋_GB2312" w:cs="仿宋_GB2312"/>
          <w:color w:val="auto"/>
          <w:sz w:val="32"/>
          <w:szCs w:val="32"/>
        </w:rPr>
        <w:t>文件的商务要求，如有任何偏离请如实填写下表：</w:t>
      </w:r>
    </w:p>
    <w:tbl>
      <w:tblPr>
        <w:tblStyle w:val="14"/>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510"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color w:val="auto"/>
                <w:sz w:val="24"/>
                <w:szCs w:val="28"/>
              </w:rPr>
            </w:pPr>
            <w:bookmarkStart w:id="238" w:name="_Toc1057"/>
            <w:bookmarkStart w:id="239" w:name="_Toc5792"/>
            <w:bookmarkStart w:id="240" w:name="_Toc12145"/>
            <w:r>
              <w:rPr>
                <w:rFonts w:hint="eastAsia" w:ascii="方正仿宋_GBK" w:hAnsi="宋体" w:eastAsia="方正仿宋_GBK" w:cs="Times New Roman"/>
                <w:color w:val="auto"/>
                <w:sz w:val="24"/>
                <w:szCs w:val="28"/>
              </w:rPr>
              <w:t>序号</w:t>
            </w:r>
            <w:bookmarkEnd w:id="238"/>
            <w:bookmarkEnd w:id="239"/>
            <w:bookmarkEnd w:id="240"/>
          </w:p>
        </w:tc>
        <w:tc>
          <w:tcPr>
            <w:tcW w:w="3179"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宋体" w:eastAsia="方正仿宋_GBK" w:cs="Times New Roman"/>
                <w:color w:val="auto"/>
                <w:sz w:val="24"/>
                <w:szCs w:val="28"/>
              </w:rPr>
            </w:pPr>
            <w:bookmarkStart w:id="241" w:name="_Toc441"/>
            <w:bookmarkStart w:id="242" w:name="_Toc31681"/>
            <w:bookmarkStart w:id="243" w:name="_Toc26029"/>
            <w:r>
              <w:rPr>
                <w:rFonts w:hint="eastAsia" w:ascii="方正仿宋_GBK" w:hAnsi="宋体" w:eastAsia="方正仿宋_GBK" w:cs="Times New Roman"/>
                <w:color w:val="auto"/>
                <w:sz w:val="21"/>
                <w:szCs w:val="21"/>
                <w:lang w:val="en-US" w:eastAsia="zh-CN"/>
              </w:rPr>
              <w:t>竞争性磋商</w:t>
            </w:r>
            <w:r>
              <w:rPr>
                <w:rFonts w:hint="eastAsia" w:ascii="方正仿宋_GBK" w:hAnsi="宋体" w:eastAsia="方正仿宋_GBK" w:cs="Times New Roman"/>
                <w:color w:val="auto"/>
                <w:sz w:val="21"/>
                <w:szCs w:val="21"/>
              </w:rPr>
              <w:t>采购项目服务需求</w:t>
            </w:r>
            <w:bookmarkEnd w:id="241"/>
            <w:bookmarkEnd w:id="242"/>
            <w:bookmarkEnd w:id="243"/>
          </w:p>
        </w:tc>
        <w:tc>
          <w:tcPr>
            <w:tcW w:w="2434"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color w:val="auto"/>
                <w:sz w:val="24"/>
                <w:szCs w:val="28"/>
              </w:rPr>
            </w:pPr>
            <w:bookmarkStart w:id="244" w:name="_Toc5612"/>
            <w:bookmarkStart w:id="245" w:name="_Toc3785"/>
            <w:bookmarkStart w:id="246" w:name="_Toc13172"/>
            <w:r>
              <w:rPr>
                <w:rFonts w:hint="eastAsia" w:ascii="方正仿宋_GBK" w:hAnsi="宋体" w:eastAsia="方正仿宋_GBK" w:cs="Times New Roman"/>
                <w:color w:val="auto"/>
                <w:sz w:val="24"/>
                <w:szCs w:val="28"/>
              </w:rPr>
              <w:t>响应情况</w:t>
            </w:r>
            <w:bookmarkEnd w:id="244"/>
            <w:bookmarkEnd w:id="245"/>
            <w:bookmarkEnd w:id="246"/>
          </w:p>
        </w:tc>
        <w:tc>
          <w:tcPr>
            <w:tcW w:w="2355"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color w:val="auto"/>
                <w:sz w:val="24"/>
                <w:szCs w:val="28"/>
              </w:rPr>
            </w:pPr>
            <w:bookmarkStart w:id="247" w:name="_Toc1308"/>
            <w:bookmarkStart w:id="248" w:name="_Toc781"/>
            <w:bookmarkStart w:id="249" w:name="_Toc18662"/>
            <w:r>
              <w:rPr>
                <w:rFonts w:hint="eastAsia" w:ascii="方正仿宋_GBK" w:hAnsi="宋体" w:eastAsia="方正仿宋_GBK" w:cs="Times New Roman"/>
                <w:color w:val="auto"/>
                <w:sz w:val="24"/>
                <w:szCs w:val="28"/>
              </w:rPr>
              <w:t>偏离说明</w:t>
            </w:r>
            <w:bookmarkEnd w:id="247"/>
            <w:bookmarkEnd w:id="248"/>
            <w:bookmarkEnd w:id="2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color w:val="auto"/>
                <w:sz w:val="24"/>
                <w:szCs w:val="28"/>
              </w:rPr>
            </w:pPr>
          </w:p>
        </w:tc>
        <w:tc>
          <w:tcPr>
            <w:tcW w:w="3179"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color w:val="auto"/>
                <w:sz w:val="24"/>
                <w:szCs w:val="28"/>
              </w:rPr>
            </w:pPr>
          </w:p>
        </w:tc>
        <w:tc>
          <w:tcPr>
            <w:tcW w:w="2434"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color w:val="auto"/>
                <w:sz w:val="24"/>
                <w:szCs w:val="28"/>
              </w:rPr>
            </w:pPr>
          </w:p>
        </w:tc>
        <w:tc>
          <w:tcPr>
            <w:tcW w:w="2355"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color w:val="auto"/>
                <w:sz w:val="24"/>
                <w:szCs w:val="28"/>
              </w:rPr>
            </w:pPr>
          </w:p>
        </w:tc>
        <w:tc>
          <w:tcPr>
            <w:tcW w:w="3179"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color w:val="auto"/>
                <w:sz w:val="24"/>
                <w:szCs w:val="28"/>
              </w:rPr>
            </w:pPr>
          </w:p>
        </w:tc>
        <w:tc>
          <w:tcPr>
            <w:tcW w:w="2434"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color w:val="auto"/>
                <w:sz w:val="24"/>
                <w:szCs w:val="28"/>
              </w:rPr>
            </w:pPr>
          </w:p>
        </w:tc>
        <w:tc>
          <w:tcPr>
            <w:tcW w:w="2355"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color w:val="auto"/>
                <w:sz w:val="24"/>
                <w:szCs w:val="28"/>
              </w:rPr>
            </w:pPr>
          </w:p>
        </w:tc>
        <w:tc>
          <w:tcPr>
            <w:tcW w:w="3179"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color w:val="auto"/>
                <w:sz w:val="24"/>
                <w:szCs w:val="28"/>
              </w:rPr>
            </w:pPr>
          </w:p>
        </w:tc>
        <w:tc>
          <w:tcPr>
            <w:tcW w:w="2434"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color w:val="auto"/>
                <w:sz w:val="24"/>
                <w:szCs w:val="28"/>
              </w:rPr>
            </w:pPr>
          </w:p>
        </w:tc>
        <w:tc>
          <w:tcPr>
            <w:tcW w:w="2355"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color w:val="auto"/>
                <w:sz w:val="24"/>
                <w:szCs w:val="28"/>
              </w:rPr>
            </w:pPr>
          </w:p>
        </w:tc>
        <w:tc>
          <w:tcPr>
            <w:tcW w:w="3179"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color w:val="auto"/>
                <w:sz w:val="24"/>
                <w:szCs w:val="28"/>
              </w:rPr>
            </w:pPr>
          </w:p>
        </w:tc>
        <w:tc>
          <w:tcPr>
            <w:tcW w:w="2434"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color w:val="auto"/>
                <w:sz w:val="24"/>
                <w:szCs w:val="28"/>
              </w:rPr>
            </w:pPr>
          </w:p>
        </w:tc>
        <w:tc>
          <w:tcPr>
            <w:tcW w:w="2355"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color w:val="auto"/>
                <w:sz w:val="24"/>
                <w:szCs w:val="28"/>
              </w:rPr>
            </w:pPr>
          </w:p>
        </w:tc>
        <w:tc>
          <w:tcPr>
            <w:tcW w:w="3179"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color w:val="auto"/>
                <w:sz w:val="24"/>
                <w:szCs w:val="28"/>
              </w:rPr>
            </w:pPr>
          </w:p>
        </w:tc>
        <w:tc>
          <w:tcPr>
            <w:tcW w:w="2434"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color w:val="auto"/>
                <w:sz w:val="24"/>
                <w:szCs w:val="28"/>
              </w:rPr>
            </w:pPr>
          </w:p>
        </w:tc>
        <w:tc>
          <w:tcPr>
            <w:tcW w:w="2355"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color w:val="auto"/>
                <w:sz w:val="24"/>
                <w:szCs w:val="28"/>
              </w:rPr>
            </w:pPr>
          </w:p>
        </w:tc>
        <w:tc>
          <w:tcPr>
            <w:tcW w:w="3179"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color w:val="auto"/>
                <w:sz w:val="24"/>
                <w:szCs w:val="28"/>
              </w:rPr>
            </w:pPr>
          </w:p>
        </w:tc>
        <w:tc>
          <w:tcPr>
            <w:tcW w:w="2434"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color w:val="auto"/>
                <w:sz w:val="24"/>
                <w:szCs w:val="28"/>
              </w:rPr>
            </w:pPr>
          </w:p>
        </w:tc>
        <w:tc>
          <w:tcPr>
            <w:tcW w:w="2355"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color w:val="auto"/>
                <w:sz w:val="24"/>
                <w:szCs w:val="28"/>
              </w:rPr>
            </w:pPr>
          </w:p>
        </w:tc>
      </w:tr>
    </w:tbl>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方正仿宋_GBK" w:hAnsi="宋体" w:eastAsia="方正仿宋_GBK" w:cs="Times New Roman"/>
          <w:color w:val="auto"/>
          <w:sz w:val="24"/>
          <w:szCs w:val="28"/>
        </w:rPr>
      </w:pPr>
    </w:p>
    <w:p>
      <w:pPr>
        <w:keepNext w:val="0"/>
        <w:keepLines w:val="0"/>
        <w:pageBreakBefore w:val="0"/>
        <w:widowControl w:val="0"/>
        <w:kinsoku/>
        <w:wordWrap/>
        <w:overflowPunct/>
        <w:topLinePunct w:val="0"/>
        <w:autoSpaceDE/>
        <w:autoSpaceDN/>
        <w:bidi w:val="0"/>
        <w:adjustRightInd/>
        <w:snapToGrid w:val="0"/>
        <w:spacing w:line="440" w:lineRule="exact"/>
        <w:ind w:firstLine="1280"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供应商：                  法定代表人授权代表：</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（供应商公章）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（签字或盖章）</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年     月     日</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注：1、本表即为对本项目“第三篇 项目商务需求”中所列服务要求进行比较和响应；</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2、该表必须按照</w:t>
      </w:r>
      <w:r>
        <w:rPr>
          <w:rFonts w:hint="eastAsia" w:ascii="仿宋_GB2312" w:hAnsi="仿宋_GB2312" w:eastAsia="仿宋_GB2312" w:cs="仿宋_GB2312"/>
          <w:color w:val="auto"/>
          <w:sz w:val="32"/>
          <w:szCs w:val="32"/>
          <w:lang w:val="en-US" w:eastAsia="zh-CN"/>
        </w:rPr>
        <w:t>竞争性磋商</w:t>
      </w:r>
      <w:r>
        <w:rPr>
          <w:rFonts w:hint="eastAsia" w:ascii="仿宋_GB2312" w:hAnsi="仿宋_GB2312" w:eastAsia="仿宋_GB2312" w:cs="仿宋_GB2312"/>
          <w:color w:val="auto"/>
          <w:sz w:val="32"/>
          <w:szCs w:val="32"/>
        </w:rPr>
        <w:t>采购要求逐条如实填写，根据响应情况在“差异说明”项填写正偏离或负偏离及原因，完全符合的填写“无差异”；</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3、该表可扩展，并逐页签字或盖章；</w:t>
      </w:r>
    </w:p>
    <w:p>
      <w:pPr>
        <w:snapToGrid w:val="0"/>
        <w:spacing w:line="4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业绩</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合同复印件</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方正仿宋_GBK" w:eastAsia="方正仿宋_GBK"/>
          <w:color w:val="auto"/>
          <w:sz w:val="24"/>
          <w:szCs w:val="24"/>
          <w:lang w:eastAsia="zh-CN"/>
        </w:rPr>
      </w:pP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方正仿宋_GBK" w:eastAsia="方正仿宋_GBK"/>
          <w:color w:val="auto"/>
          <w:sz w:val="24"/>
          <w:szCs w:val="24"/>
          <w:lang w:eastAsia="zh-CN"/>
        </w:rPr>
      </w:pPr>
    </w:p>
    <w:p>
      <w:pPr>
        <w:pStyle w:val="4"/>
        <w:adjustRightInd w:val="0"/>
        <w:snapToGrid w:val="0"/>
        <w:spacing w:before="0" w:after="0" w:line="400" w:lineRule="exact"/>
        <w:ind w:firstLine="643" w:firstLineChars="200"/>
        <w:rPr>
          <w:rFonts w:hint="eastAsia" w:ascii="方正仿宋_GBK" w:hAnsi="宋体" w:eastAsia="方正仿宋_GBK"/>
          <w:color w:val="auto"/>
          <w:sz w:val="24"/>
        </w:rPr>
      </w:pPr>
      <w:bookmarkStart w:id="250" w:name="_Toc5828"/>
      <w:bookmarkStart w:id="251" w:name="_Toc76462353"/>
      <w:bookmarkStart w:id="252" w:name="_Toc313008359"/>
      <w:bookmarkStart w:id="253" w:name="_Toc342913422"/>
      <w:bookmarkStart w:id="254" w:name="_Toc28692"/>
      <w:bookmarkStart w:id="255" w:name="_Toc106030909"/>
      <w:bookmarkStart w:id="256" w:name="_Toc313888363"/>
      <w:bookmarkStart w:id="257" w:name="_Toc19469"/>
      <w:r>
        <w:rPr>
          <w:rFonts w:hint="eastAsia" w:ascii="方正黑体_GBK" w:hAnsi="方正黑体_GBK" w:eastAsia="方正黑体_GBK" w:cs="方正黑体_GBK"/>
          <w:color w:val="auto"/>
          <w:sz w:val="32"/>
          <w:szCs w:val="32"/>
        </w:rPr>
        <w:t>四、资格条件</w:t>
      </w:r>
      <w:bookmarkEnd w:id="250"/>
      <w:bookmarkEnd w:id="251"/>
      <w:bookmarkEnd w:id="252"/>
      <w:bookmarkEnd w:id="253"/>
      <w:bookmarkEnd w:id="254"/>
      <w:bookmarkEnd w:id="255"/>
      <w:bookmarkEnd w:id="256"/>
      <w:bookmarkEnd w:id="257"/>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7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（一）法人营业执照（副本）或事业单位法人证书（副本）或个体工商户营业执照或有效的自然人身份证明或社会团体法人登记证书复印件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（二）法定代表人身份证明书（格式）</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7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竞争性磋商</w:t>
      </w:r>
      <w:r>
        <w:rPr>
          <w:rFonts w:hint="eastAsia" w:ascii="仿宋_GB2312" w:hAnsi="仿宋_GB2312" w:eastAsia="仿宋_GB2312" w:cs="仿宋_GB2312"/>
          <w:color w:val="auto"/>
          <w:sz w:val="32"/>
          <w:szCs w:val="32"/>
        </w:rPr>
        <w:t>项目名称：</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（采购</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7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（法定代表人姓名）在</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（供应商名称）任</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（职务名称）职务，是（供应商名称）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7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left="4881" w:leftChars="456" w:hanging="3923" w:hangingChars="1226"/>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7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7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7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（附：法定代表人身份证正反面复印件）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（三）法定代表人授权委托书（格式）</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竞争性磋商</w:t>
      </w:r>
      <w:r>
        <w:rPr>
          <w:rFonts w:hint="eastAsia" w:ascii="仿宋_GB2312" w:hAnsi="仿宋_GB2312" w:eastAsia="仿宋_GB2312" w:cs="仿宋_GB2312"/>
          <w:color w:val="auto"/>
          <w:sz w:val="32"/>
          <w:szCs w:val="32"/>
        </w:rPr>
        <w:t>项目名称：</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（采购</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应商法定代表人名称）是</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（供应商名称）的法定代表人，特授权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（被授权人姓名及身份证代码）代表我单位全权办理上述项目的</w:t>
      </w:r>
      <w:r>
        <w:rPr>
          <w:rFonts w:hint="eastAsia" w:ascii="仿宋_GB2312" w:hAnsi="仿宋_GB2312" w:eastAsia="仿宋_GB2312" w:cs="仿宋_GB2312"/>
          <w:color w:val="auto"/>
          <w:sz w:val="32"/>
          <w:szCs w:val="32"/>
          <w:lang w:val="en-US" w:eastAsia="zh-CN"/>
        </w:rPr>
        <w:t>竞争性磋商</w:t>
      </w:r>
      <w:r>
        <w:rPr>
          <w:rFonts w:hint="eastAsia" w:ascii="仿宋_GB2312" w:hAnsi="仿宋_GB2312" w:eastAsia="仿宋_GB2312" w:cs="仿宋_GB2312"/>
          <w:color w:val="auto"/>
          <w:sz w:val="32"/>
          <w:szCs w:val="32"/>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我单位对被授权人的签署负全部责任。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7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7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7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（附：被授权人身份证正反面复印件）            </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480" w:firstLine="57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480" w:firstLine="57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48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被授权人电话：XXXXXXX     电子邮箱：XXXXXX@XXXXX（若法定代表人办理并签署响应文件的可不填写）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right="480" w:firstLine="57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注：1.若为法定代表人办理并签署响应文件的，不提供此文件。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7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2.若为联合体参与的，法定代表人授权委托书由联合体主办方</w:t>
      </w:r>
      <w:r>
        <w:rPr>
          <w:rFonts w:hint="eastAsia" w:ascii="仿宋_GB2312" w:hAnsi="仿宋_GB2312" w:eastAsia="仿宋_GB2312" w:cs="仿宋_GB2312"/>
          <w:color w:val="auto"/>
          <w:kern w:val="0"/>
          <w:sz w:val="32"/>
          <w:szCs w:val="32"/>
        </w:rPr>
        <w:t>（主体）</w:t>
      </w:r>
      <w:r>
        <w:rPr>
          <w:rFonts w:hint="eastAsia" w:ascii="仿宋_GB2312" w:hAnsi="仿宋_GB2312" w:eastAsia="仿宋_GB2312" w:cs="仿宋_GB2312"/>
          <w:color w:val="auto"/>
          <w:sz w:val="32"/>
          <w:szCs w:val="32"/>
        </w:rPr>
        <w:t>出具。</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7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（四）基本资格条件承诺函</w:t>
      </w:r>
    </w:p>
    <w:p>
      <w:pPr>
        <w:tabs>
          <w:tab w:val="left" w:pos="6300"/>
        </w:tabs>
        <w:snapToGrid w:val="0"/>
        <w:spacing w:line="500" w:lineRule="exact"/>
        <w:ind w:firstLine="883" w:firstLineChars="200"/>
        <w:jc w:val="center"/>
        <w:rPr>
          <w:rFonts w:hint="eastAsia" w:ascii="方正小标宋_GBK" w:hAnsi="方正小标宋_GBK" w:eastAsia="方正小标宋_GBK" w:cs="方正小标宋_GBK"/>
          <w:b/>
          <w:bCs/>
          <w:color w:val="auto"/>
          <w:sz w:val="44"/>
          <w:szCs w:val="44"/>
        </w:rPr>
      </w:pPr>
    </w:p>
    <w:p>
      <w:pPr>
        <w:tabs>
          <w:tab w:val="left" w:pos="6300"/>
        </w:tabs>
        <w:snapToGrid w:val="0"/>
        <w:spacing w:line="500" w:lineRule="exact"/>
        <w:ind w:firstLine="883" w:firstLineChars="200"/>
        <w:jc w:val="center"/>
        <w:rPr>
          <w:rFonts w:hint="eastAsia" w:ascii="方正小标宋_GBK" w:hAnsi="方正小标宋_GBK" w:eastAsia="方正小标宋_GBK" w:cs="方正小标宋_GBK"/>
          <w:b/>
          <w:bCs/>
          <w:color w:val="auto"/>
          <w:sz w:val="44"/>
          <w:szCs w:val="44"/>
        </w:rPr>
      </w:pPr>
    </w:p>
    <w:p>
      <w:pPr>
        <w:tabs>
          <w:tab w:val="left" w:pos="6300"/>
        </w:tabs>
        <w:snapToGrid w:val="0"/>
        <w:spacing w:line="500" w:lineRule="exact"/>
        <w:ind w:firstLine="883" w:firstLineChars="200"/>
        <w:jc w:val="center"/>
        <w:rPr>
          <w:rFonts w:hint="eastAsia" w:ascii="方正小标宋_GBK" w:hAnsi="方正小标宋_GBK" w:eastAsia="方正小标宋_GBK" w:cs="方正小标宋_GBK"/>
          <w:b/>
          <w:bCs/>
          <w:color w:val="auto"/>
          <w:sz w:val="44"/>
          <w:szCs w:val="44"/>
        </w:rPr>
      </w:pPr>
    </w:p>
    <w:p>
      <w:pPr>
        <w:tabs>
          <w:tab w:val="left" w:pos="6300"/>
        </w:tabs>
        <w:snapToGrid w:val="0"/>
        <w:spacing w:line="500" w:lineRule="exact"/>
        <w:ind w:firstLine="883" w:firstLineChars="200"/>
        <w:jc w:val="center"/>
        <w:rPr>
          <w:rFonts w:hint="eastAsia" w:ascii="方正小标宋_GBK" w:hAnsi="方正小标宋_GBK" w:eastAsia="方正小标宋_GBK" w:cs="方正小标宋_GBK"/>
          <w:b/>
          <w:bCs/>
          <w:color w:val="auto"/>
          <w:sz w:val="44"/>
          <w:szCs w:val="44"/>
        </w:rPr>
      </w:pPr>
    </w:p>
    <w:p>
      <w:pPr>
        <w:tabs>
          <w:tab w:val="left" w:pos="6300"/>
        </w:tabs>
        <w:snapToGrid w:val="0"/>
        <w:spacing w:line="500" w:lineRule="exact"/>
        <w:ind w:firstLine="883" w:firstLineChars="200"/>
        <w:jc w:val="center"/>
        <w:rPr>
          <w:rFonts w:hint="eastAsia" w:ascii="方正小标宋_GBK" w:hAnsi="方正小标宋_GBK" w:eastAsia="方正小标宋_GBK" w:cs="方正小标宋_GBK"/>
          <w:b/>
          <w:bCs/>
          <w:color w:val="auto"/>
          <w:sz w:val="44"/>
          <w:szCs w:val="44"/>
        </w:rPr>
      </w:pPr>
    </w:p>
    <w:p>
      <w:pPr>
        <w:tabs>
          <w:tab w:val="left" w:pos="6300"/>
        </w:tabs>
        <w:snapToGrid w:val="0"/>
        <w:spacing w:line="500" w:lineRule="exact"/>
        <w:ind w:firstLine="883" w:firstLineChars="200"/>
        <w:jc w:val="center"/>
        <w:rPr>
          <w:rFonts w:hint="eastAsia" w:ascii="方正小标宋_GBK" w:hAnsi="方正小标宋_GBK" w:eastAsia="方正小标宋_GBK" w:cs="方正小标宋_GBK"/>
          <w:b/>
          <w:bCs/>
          <w:color w:val="auto"/>
          <w:sz w:val="44"/>
          <w:szCs w:val="44"/>
        </w:rPr>
      </w:pPr>
    </w:p>
    <w:p>
      <w:pPr>
        <w:tabs>
          <w:tab w:val="left" w:pos="6300"/>
        </w:tabs>
        <w:snapToGrid w:val="0"/>
        <w:spacing w:line="500" w:lineRule="exact"/>
        <w:jc w:val="both"/>
        <w:rPr>
          <w:rFonts w:hint="eastAsia" w:ascii="方正小标宋_GBK" w:hAnsi="方正小标宋_GBK" w:eastAsia="方正小标宋_GBK" w:cs="方正小标宋_GBK"/>
          <w:b/>
          <w:bCs/>
          <w:color w:val="auto"/>
          <w:sz w:val="44"/>
          <w:szCs w:val="44"/>
        </w:rPr>
      </w:pPr>
    </w:p>
    <w:p>
      <w:pPr>
        <w:tabs>
          <w:tab w:val="left" w:pos="6300"/>
        </w:tabs>
        <w:snapToGrid w:val="0"/>
        <w:spacing w:line="500" w:lineRule="exact"/>
        <w:ind w:firstLine="883" w:firstLineChars="200"/>
        <w:jc w:val="center"/>
        <w:rPr>
          <w:rFonts w:hint="eastAsia" w:ascii="方正仿宋_GBK" w:hAnsi="方正仿宋_GBK" w:eastAsia="方正仿宋_GBK" w:cs="方正仿宋_GBK"/>
          <w:b/>
          <w:bCs/>
          <w:color w:val="auto"/>
          <w:sz w:val="32"/>
          <w:szCs w:val="32"/>
        </w:rPr>
      </w:pPr>
      <w:r>
        <w:rPr>
          <w:rFonts w:hint="eastAsia" w:ascii="方正小标宋_GBK" w:hAnsi="方正小标宋_GBK" w:eastAsia="方正小标宋_GBK" w:cs="方正小标宋_GBK"/>
          <w:b/>
          <w:bCs/>
          <w:color w:val="auto"/>
          <w:sz w:val="44"/>
          <w:szCs w:val="44"/>
        </w:rPr>
        <w:t>基本资格条件承诺函</w:t>
      </w:r>
    </w:p>
    <w:p>
      <w:pPr>
        <w:tabs>
          <w:tab w:val="left" w:pos="6300"/>
        </w:tabs>
        <w:snapToGrid w:val="0"/>
        <w:spacing w:line="530" w:lineRule="exact"/>
        <w:rPr>
          <w:color w:val="auto"/>
          <w:sz w:val="24"/>
        </w:rPr>
      </w:pPr>
    </w:p>
    <w:p>
      <w:pPr>
        <w:tabs>
          <w:tab w:val="left" w:pos="6300"/>
        </w:tabs>
        <w:snapToGrid w:val="0"/>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（采购</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rPr>
        <w:t>名称）：</w:t>
      </w:r>
    </w:p>
    <w:p>
      <w:pPr>
        <w:tabs>
          <w:tab w:val="left" w:pos="6300"/>
        </w:tabs>
        <w:snapToGrid w:val="0"/>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（供应商名称）郑重承诺：</w:t>
      </w:r>
    </w:p>
    <w:p>
      <w:pPr>
        <w:tabs>
          <w:tab w:val="left" w:pos="6300"/>
        </w:tabs>
        <w:snapToGrid w:val="0"/>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1.我方具有良好的商业信誉和健全的财务会计制度，具有履行合同所必需的设备和专业技术能力，具</w:t>
      </w:r>
      <w:r>
        <w:rPr>
          <w:rFonts w:hint="eastAsia" w:ascii="仿宋_GB2312" w:hAnsi="仿宋_GB2312" w:eastAsia="仿宋_GB2312" w:cs="仿宋_GB2312"/>
          <w:color w:val="auto"/>
          <w:sz w:val="32"/>
          <w:szCs w:val="32"/>
          <w:lang w:val="zh-CN"/>
        </w:rPr>
        <w:t>有依法缴纳税收和社会保障金的良好记录</w:t>
      </w:r>
      <w:r>
        <w:rPr>
          <w:rFonts w:hint="eastAsia" w:ascii="仿宋_GB2312" w:hAnsi="仿宋_GB2312" w:eastAsia="仿宋_GB2312" w:cs="仿宋_GB2312"/>
          <w:color w:val="auto"/>
          <w:sz w:val="32"/>
          <w:szCs w:val="32"/>
        </w:rPr>
        <w:t>，参加本项目采购活动前三年内无重大违法活动记录。</w:t>
      </w:r>
    </w:p>
    <w:p>
      <w:pPr>
        <w:tabs>
          <w:tab w:val="left" w:pos="6300"/>
        </w:tabs>
        <w:snapToGrid w:val="0"/>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3.我方在采购项目评审（评标）环节结束后，随时接受采购人的检查验证，配合提供相关证明材料，证明符合《中华人民共和国政府采购法》规定的供应商基本资格条件。</w:t>
      </w:r>
    </w:p>
    <w:p>
      <w:pPr>
        <w:tabs>
          <w:tab w:val="left" w:pos="6300"/>
        </w:tabs>
        <w:snapToGrid w:val="0"/>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我方对以上承诺负全部法律责任。</w:t>
      </w:r>
    </w:p>
    <w:p>
      <w:pPr>
        <w:tabs>
          <w:tab w:val="left" w:pos="6300"/>
        </w:tabs>
        <w:snapToGrid w:val="0"/>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特此承诺。</w:t>
      </w:r>
    </w:p>
    <w:p>
      <w:pPr>
        <w:tabs>
          <w:tab w:val="left" w:pos="6300"/>
        </w:tabs>
        <w:snapToGrid w:val="0"/>
        <w:spacing w:line="500" w:lineRule="exact"/>
        <w:ind w:firstLine="640" w:firstLineChars="200"/>
        <w:rPr>
          <w:rFonts w:hint="eastAsia" w:ascii="仿宋_GB2312" w:hAnsi="仿宋_GB2312" w:eastAsia="仿宋_GB2312" w:cs="仿宋_GB2312"/>
          <w:color w:val="auto"/>
          <w:sz w:val="32"/>
          <w:szCs w:val="32"/>
        </w:rPr>
      </w:pPr>
    </w:p>
    <w:p>
      <w:pPr>
        <w:tabs>
          <w:tab w:val="left" w:pos="6300"/>
        </w:tabs>
        <w:snapToGrid w:val="0"/>
        <w:spacing w:line="500" w:lineRule="exact"/>
        <w:ind w:firstLine="4800" w:firstLineChars="15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（供应商公章）</w:t>
      </w:r>
    </w:p>
    <w:p>
      <w:pPr>
        <w:tabs>
          <w:tab w:val="left" w:pos="6300"/>
        </w:tabs>
        <w:snapToGrid w:val="0"/>
        <w:spacing w:line="500" w:lineRule="exact"/>
        <w:ind w:left="5107" w:leftChars="2432" w:firstLine="5440" w:firstLineChars="17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70"/>
        <w:textAlignment w:val="auto"/>
        <w:rPr>
          <w:rFonts w:hint="eastAsia" w:ascii="仿宋_GB2312" w:hAnsi="仿宋_GB2312" w:eastAsia="仿宋_GB2312" w:cs="仿宋_GB2312"/>
          <w:color w:val="auto"/>
          <w:sz w:val="32"/>
          <w:szCs w:val="32"/>
        </w:rPr>
      </w:pPr>
      <w:bookmarkStart w:id="258" w:name="_Toc76462354"/>
      <w:bookmarkStart w:id="259" w:name="_Toc106030910"/>
      <w:bookmarkStart w:id="260" w:name="_Toc14422"/>
      <w:bookmarkStart w:id="261" w:name="_Toc7667"/>
      <w:bookmarkStart w:id="262" w:name="_Toc31851"/>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70"/>
        <w:textAlignment w:val="auto"/>
        <w:rPr>
          <w:rFonts w:hint="eastAsia" w:ascii="仿宋_GB2312" w:hAnsi="仿宋_GB2312" w:eastAsia="仿宋_GB2312" w:cs="仿宋_GB2312"/>
          <w:color w:val="auto"/>
          <w:sz w:val="32"/>
          <w:szCs w:val="32"/>
        </w:rPr>
      </w:pP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70"/>
        <w:textAlignment w:val="auto"/>
        <w:rPr>
          <w:rFonts w:hint="eastAsia" w:ascii="仿宋_GB2312" w:hAnsi="仿宋_GB2312" w:eastAsia="仿宋_GB2312" w:cs="仿宋_GB2312"/>
          <w:color w:val="auto"/>
          <w:sz w:val="32"/>
          <w:szCs w:val="32"/>
        </w:rPr>
      </w:pP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70"/>
        <w:textAlignment w:val="auto"/>
        <w:rPr>
          <w:rFonts w:hint="eastAsia" w:ascii="仿宋_GB2312" w:hAnsi="仿宋_GB2312" w:eastAsia="仿宋_GB2312" w:cs="仿宋_GB2312"/>
          <w:color w:val="auto"/>
          <w:sz w:val="32"/>
          <w:szCs w:val="32"/>
        </w:rPr>
      </w:pP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70"/>
        <w:textAlignment w:val="auto"/>
        <w:rPr>
          <w:rFonts w:hint="eastAsia" w:ascii="仿宋_GB2312" w:hAnsi="仿宋_GB2312" w:eastAsia="仿宋_GB2312" w:cs="仿宋_GB2312"/>
          <w:color w:val="auto"/>
          <w:sz w:val="32"/>
          <w:szCs w:val="32"/>
        </w:rPr>
      </w:pP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7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（五）特定资格条件证书或证明文件（如有）</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7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）中小企业声明函、监狱企业证明文件、残疾人福利性单位声明函</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p>
    <w:p>
      <w:pPr>
        <w:tabs>
          <w:tab w:val="left" w:pos="6300"/>
        </w:tabs>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8"/>
          <w:szCs w:val="28"/>
          <w:highlight w:val="none"/>
        </w:rPr>
        <w:t>中小企业声明函</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本公司郑重声明，根据《政府采购促进中小企业发展管理办法》（财库〔2020〕46号）的规定，本公司参加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采购活动，工程的施工单位全部为符合政策要求的中小企业。相关企业的具体情况如下：</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竞争性磋商文件</w:t>
      </w:r>
      <w:r>
        <w:rPr>
          <w:rFonts w:hint="eastAsia" w:ascii="仿宋" w:hAnsi="仿宋" w:eastAsia="仿宋" w:cs="仿宋"/>
          <w:color w:val="auto"/>
          <w:sz w:val="24"/>
          <w:szCs w:val="24"/>
          <w:highlight w:val="none"/>
          <w:u w:val="single"/>
        </w:rPr>
        <w:t>中明确的所属行业）</w:t>
      </w:r>
      <w:r>
        <w:rPr>
          <w:rFonts w:hint="eastAsia" w:ascii="仿宋" w:hAnsi="仿宋" w:eastAsia="仿宋" w:cs="仿宋"/>
          <w:color w:val="auto"/>
          <w:sz w:val="24"/>
          <w:szCs w:val="24"/>
          <w:highlight w:val="none"/>
        </w:rPr>
        <w:t>；承建企业为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w:t>
      </w:r>
      <w:r>
        <w:rPr>
          <w:rFonts w:hint="eastAsia" w:ascii="仿宋" w:hAnsi="仿宋" w:eastAsia="仿宋" w:cs="仿宋"/>
          <w:color w:val="auto"/>
          <w:sz w:val="24"/>
          <w:szCs w:val="24"/>
          <w:highlight w:val="none"/>
        </w:rPr>
        <w:t>、微型企业）；</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为本标的提供的服务人员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人，其中与本企业签订劳动合同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人，其他人员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人。有其他人员的不符合中小企业扶持政策（适用于服务采购项目）;</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；承建企业为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为本标的提供的服务人员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人，其中与本企业签订劳动合同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人，其他人员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人。有其他人员的不符合中小企业扶持政策（适用于服务采购项目）;</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tabs>
          <w:tab w:val="left" w:pos="6300"/>
        </w:tabs>
        <w:snapToGrid w:val="0"/>
        <w:spacing w:line="360" w:lineRule="auto"/>
        <w:ind w:firstLine="6240" w:firstLineChars="2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企业名称（盖章）： </w:t>
      </w:r>
    </w:p>
    <w:p>
      <w:pPr>
        <w:tabs>
          <w:tab w:val="left" w:pos="6300"/>
        </w:tabs>
        <w:snapToGrid w:val="0"/>
        <w:spacing w:line="360" w:lineRule="auto"/>
        <w:ind w:firstLine="6240" w:firstLineChars="2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p>
    <w:p>
      <w:pPr>
        <w:tabs>
          <w:tab w:val="left" w:pos="6300"/>
        </w:tabs>
        <w:snapToGrid w:val="0"/>
        <w:spacing w:line="360" w:lineRule="auto"/>
        <w:rPr>
          <w:rFonts w:hint="eastAsia" w:ascii="仿宋" w:hAnsi="仿宋" w:eastAsia="仿宋" w:cs="仿宋"/>
          <w:color w:val="auto"/>
          <w:sz w:val="24"/>
          <w:szCs w:val="24"/>
          <w:highlight w:val="none"/>
        </w:rPr>
      </w:pPr>
    </w:p>
    <w:p>
      <w:pPr>
        <w:tabs>
          <w:tab w:val="left" w:pos="6300"/>
        </w:tabs>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填写时应注意以下事项：</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1.从业人员、营业收入、资产总额填报上一年度数据，无上一年度数据的新成立企业可不填报。</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2.中小企业应当按照《中小企业划型标准规定》（工信部联企业〔2011〕300号），如实填写并提交《中小企业声明函》。</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3.供应商填写《中小企业声明函》中所属行业时，应与采购文件第一篇“采购标的对应的中小企业划分标准所属行业”中填写的所属行业一致。</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4.本声明函“企业名称（盖章）”处为供应商盖章。</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注：各行业划型标准：</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监狱企业证明文件</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以省级以上监狱管理局、戒毒管理局（含新疆生产建设兵团）出具的属于监狱企业的证明文件为准。</w:t>
      </w:r>
    </w:p>
    <w:p>
      <w:pPr>
        <w:tabs>
          <w:tab w:val="left" w:pos="6300"/>
        </w:tabs>
        <w:snapToGrid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残疾人福利性单位声明函</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单位的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本单位对上述声明的真实性负责。如有虚假，将依法承担相应责任。</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供应商名称（盖章）：</w:t>
      </w:r>
    </w:p>
    <w:p>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  期：</w:t>
      </w:r>
    </w:p>
    <w:p>
      <w:pPr>
        <w:snapToGrid w:val="0"/>
        <w:spacing w:line="400" w:lineRule="exact"/>
        <w:ind w:firstLine="643" w:firstLineChars="200"/>
        <w:rPr>
          <w:rFonts w:hint="eastAsia" w:ascii="方正黑体_GBK" w:hAnsi="方正黑体_GBK" w:eastAsia="方正黑体_GBK" w:cs="方正黑体_GBK"/>
          <w:b/>
          <w:color w:val="auto"/>
          <w:kern w:val="2"/>
          <w:sz w:val="32"/>
          <w:szCs w:val="32"/>
          <w:lang w:val="en-US" w:eastAsia="zh-CN" w:bidi="ar-SA"/>
        </w:rPr>
      </w:pPr>
    </w:p>
    <w:p>
      <w:pPr>
        <w:snapToGrid w:val="0"/>
        <w:spacing w:line="400" w:lineRule="exact"/>
        <w:ind w:firstLine="643" w:firstLineChars="200"/>
        <w:rPr>
          <w:rFonts w:hint="eastAsia" w:ascii="仿宋_GB2312" w:hAnsi="仿宋_GB2312" w:eastAsia="仿宋_GB2312" w:cs="仿宋_GB2312"/>
          <w:color w:val="auto"/>
          <w:sz w:val="32"/>
          <w:szCs w:val="32"/>
        </w:rPr>
      </w:pPr>
      <w:r>
        <w:rPr>
          <w:rFonts w:hint="eastAsia" w:ascii="方正黑体_GBK" w:hAnsi="方正黑体_GBK" w:eastAsia="方正黑体_GBK" w:cs="方正黑体_GBK"/>
          <w:b/>
          <w:color w:val="auto"/>
          <w:kern w:val="2"/>
          <w:sz w:val="32"/>
          <w:szCs w:val="32"/>
          <w:lang w:val="en-US" w:eastAsia="zh-CN" w:bidi="ar-SA"/>
        </w:rPr>
        <w:t>五、其他资料</w:t>
      </w:r>
      <w:bookmarkEnd w:id="258"/>
      <w:bookmarkEnd w:id="259"/>
      <w:bookmarkEnd w:id="260"/>
      <w:bookmarkEnd w:id="261"/>
      <w:bookmarkEnd w:id="262"/>
    </w:p>
    <w:p>
      <w:pPr>
        <w:spacing w:line="4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其他与项目有关的资料（自附）：供应商总体情况介绍、其他与本项目有关的资料等。</w:t>
      </w:r>
    </w:p>
    <w:p>
      <w:pPr>
        <w:spacing w:line="360" w:lineRule="auto"/>
        <w:ind w:firstLine="640" w:firstLineChars="200"/>
        <w:jc w:val="center"/>
        <w:outlineLvl w:val="0"/>
        <w:rPr>
          <w:rFonts w:hint="eastAsia" w:ascii="仿宋_GB2312" w:hAnsi="仿宋_GB2312" w:eastAsia="仿宋_GB2312" w:cs="仿宋_GB2312"/>
          <w:sz w:val="32"/>
          <w:szCs w:val="32"/>
          <w:lang w:eastAsia="zh-CN"/>
        </w:rPr>
      </w:pPr>
      <w:r>
        <w:rPr>
          <w:rFonts w:hint="eastAsia" w:ascii="方正仿宋_GBK" w:hAnsi="宋体" w:eastAsia="方正仿宋_GBK"/>
          <w:color w:val="auto"/>
          <w:sz w:val="32"/>
          <w:szCs w:val="32"/>
        </w:rPr>
        <w:t>（结束）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0MmNkYmIzYjFhZjFhNThlNDlkOWQ5M2IyYmNjOTIifQ=="/>
  </w:docVars>
  <w:rsids>
    <w:rsidRoot w:val="39D627B8"/>
    <w:rsid w:val="00A055AA"/>
    <w:rsid w:val="0A4E7863"/>
    <w:rsid w:val="12A566C4"/>
    <w:rsid w:val="1E6B0501"/>
    <w:rsid w:val="23A34551"/>
    <w:rsid w:val="2B536F21"/>
    <w:rsid w:val="350156F3"/>
    <w:rsid w:val="397F3208"/>
    <w:rsid w:val="39D627B8"/>
    <w:rsid w:val="3BE24364"/>
    <w:rsid w:val="3F050172"/>
    <w:rsid w:val="45B74783"/>
    <w:rsid w:val="59854E7E"/>
    <w:rsid w:val="5F930DFE"/>
    <w:rsid w:val="68501629"/>
    <w:rsid w:val="73ED7C94"/>
    <w:rsid w:val="78184C7D"/>
    <w:rsid w:val="7A567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napToGrid/>
      <w:kern w:val="2"/>
      <w:sz w:val="32"/>
      <w:szCs w:val="20"/>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b/>
      <w:snapToGrid/>
      <w:kern w:val="2"/>
      <w:sz w:val="32"/>
      <w:szCs w:val="20"/>
    </w:rPr>
  </w:style>
  <w:style w:type="character" w:default="1" w:styleId="15">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3"/>
    <w:qFormat/>
    <w:uiPriority w:val="0"/>
    <w:pPr>
      <w:adjustRightInd w:val="0"/>
      <w:snapToGrid w:val="0"/>
      <w:spacing w:line="360" w:lineRule="auto"/>
      <w:ind w:firstLine="420"/>
    </w:pPr>
    <w:rPr>
      <w:sz w:val="24"/>
    </w:rPr>
  </w:style>
  <w:style w:type="paragraph" w:styleId="3">
    <w:name w:val="Body Text"/>
    <w:basedOn w:val="1"/>
    <w:next w:val="1"/>
    <w:qFormat/>
    <w:uiPriority w:val="0"/>
    <w:rPr>
      <w:rFonts w:ascii="仿宋_GB2312" w:eastAsia="仿宋_GB2312"/>
      <w:sz w:val="32"/>
    </w:rPr>
  </w:style>
  <w:style w:type="paragraph" w:styleId="6">
    <w:name w:val="Body Text Indent"/>
    <w:basedOn w:val="1"/>
    <w:qFormat/>
    <w:uiPriority w:val="0"/>
    <w:pPr>
      <w:spacing w:line="700" w:lineRule="exact"/>
      <w:ind w:left="960"/>
    </w:pPr>
    <w:rPr>
      <w:snapToGrid/>
      <w:kern w:val="2"/>
      <w:sz w:val="44"/>
      <w:szCs w:val="20"/>
    </w:rPr>
  </w:style>
  <w:style w:type="paragraph" w:styleId="7">
    <w:name w:val="Plain Text"/>
    <w:basedOn w:val="1"/>
    <w:qFormat/>
    <w:uiPriority w:val="0"/>
    <w:rPr>
      <w:rFonts w:ascii="宋体" w:hAnsi="Courier New"/>
      <w:sz w:val="21"/>
    </w:rPr>
  </w:style>
  <w:style w:type="paragraph" w:styleId="8">
    <w:name w:val="Date"/>
    <w:basedOn w:val="1"/>
    <w:next w:val="1"/>
    <w:qFormat/>
    <w:uiPriority w:val="0"/>
  </w:style>
  <w:style w:type="paragraph" w:styleId="9">
    <w:name w:val="footer"/>
    <w:basedOn w:val="1"/>
    <w:next w:val="10"/>
    <w:qFormat/>
    <w:uiPriority w:val="0"/>
    <w:pPr>
      <w:tabs>
        <w:tab w:val="center" w:pos="4153"/>
        <w:tab w:val="right" w:pos="8306"/>
      </w:tabs>
      <w:snapToGrid w:val="0"/>
      <w:jc w:val="left"/>
    </w:pPr>
    <w:rPr>
      <w:sz w:val="18"/>
    </w:rPr>
  </w:style>
  <w:style w:type="paragraph" w:customStyle="1" w:styleId="10">
    <w:name w:val="索引 51"/>
    <w:basedOn w:val="1"/>
    <w:next w:val="1"/>
    <w:qFormat/>
    <w:uiPriority w:val="0"/>
    <w:pPr>
      <w:ind w:left="1680"/>
    </w:p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0"/>
    <w:pPr>
      <w:spacing w:line="180" w:lineRule="auto"/>
      <w:jc w:val="center"/>
    </w:pPr>
    <w:rPr>
      <w:sz w:val="30"/>
    </w:rPr>
  </w:style>
  <w:style w:type="paragraph" w:styleId="13">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sz w:val="24"/>
    </w:rPr>
  </w:style>
  <w:style w:type="character" w:styleId="16">
    <w:name w:val="page number"/>
    <w:basedOn w:val="15"/>
    <w:qFormat/>
    <w:uiPriority w:val="0"/>
  </w:style>
  <w:style w:type="paragraph" w:customStyle="1" w:styleId="17">
    <w:name w:val="样式 宋体 五号 行距: 单倍行距"/>
    <w:basedOn w:val="1"/>
    <w:qFormat/>
    <w:uiPriority w:val="0"/>
    <w:pPr>
      <w:adjustRightInd w:val="0"/>
      <w:jc w:val="left"/>
    </w:pPr>
    <w:rPr>
      <w:rFonts w:ascii="宋体" w:hAnsi="宋体"/>
      <w:kern w:val="0"/>
      <w:sz w:val="21"/>
    </w:rPr>
  </w:style>
  <w:style w:type="paragraph" w:customStyle="1" w:styleId="18">
    <w:name w:val="1"/>
    <w:basedOn w:val="1"/>
    <w:next w:val="7"/>
    <w:qFormat/>
    <w:uiPriority w:val="0"/>
    <w:rPr>
      <w:rFonts w:ascii="宋体" w:hAnsi="Courier New"/>
      <w:sz w:val="21"/>
    </w:rPr>
  </w:style>
  <w:style w:type="paragraph" w:customStyle="1" w:styleId="19">
    <w:name w:val="正文（缩进）"/>
    <w:basedOn w:val="1"/>
    <w:qFormat/>
    <w:uiPriority w:val="99"/>
    <w:pPr>
      <w:spacing w:before="156" w:after="156"/>
      <w:ind w:firstLine="48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13771</Words>
  <Characters>14607</Characters>
  <Lines>0</Lines>
  <Paragraphs>0</Paragraphs>
  <TotalTime>4</TotalTime>
  <ScaleCrop>false</ScaleCrop>
  <LinksUpToDate>false</LinksUpToDate>
  <CharactersWithSpaces>15539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2024-10-09T01:11:00Z</dcterms:created>
  <dc:creator>乔治</dc:creator>
  <cp:lastModifiedBy>Administrator</cp:lastModifiedBy>
  <cp:lastPrinted>2024-10-09T02:57:00Z</cp:lastPrinted>
  <dcterms:modified xsi:type="dcterms:W3CDTF">2024-11-21T07:14:26Z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DEE10F829DC44E9CB33D2306176FA5B7_11</vt:lpwstr>
  </property>
</Properties>
</file>