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hd w:val="clear" w:color="auto" w:fill="FFFFFF"/>
        <w:jc w:val="left"/>
        <w:rPr>
          <w:rFonts w:ascii="宋体" w:hAnsi="宋体" w:eastAsia="宋体" w:cs="宋体"/>
          <w:vanish/>
          <w:kern w:val="0"/>
          <w:sz w:val="24"/>
          <w:szCs w:val="24"/>
        </w:rPr>
      </w:pP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重庆市渝北区水利管理站</w:t>
      </w:r>
    </w:p>
    <w:p>
      <w:pPr>
        <w:spacing w:line="560" w:lineRule="exact"/>
        <w:ind w:firstLine="1100" w:firstLineChars="250"/>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eastAsia="zh-CN"/>
        </w:rPr>
        <w:t>年度部门决算情况说明</w:t>
      </w:r>
    </w:p>
    <w:p>
      <w:pPr>
        <w:spacing w:line="560" w:lineRule="exact"/>
        <w:ind w:firstLine="1100" w:firstLineChars="250"/>
        <w:jc w:val="center"/>
        <w:rPr>
          <w:rFonts w:hint="eastAsia" w:ascii="Times New Roman" w:hAnsi="Times New Roman" w:eastAsia="方正小标宋_GBK" w:cs="Times New Roman"/>
          <w:sz w:val="44"/>
          <w:szCs w:val="44"/>
          <w:lang w:eastAsia="zh-CN"/>
        </w:rPr>
      </w:pPr>
    </w:p>
    <w:p>
      <w:pPr>
        <w:pStyle w:val="17"/>
        <w:keepNext w:val="0"/>
        <w:keepLines w:val="0"/>
        <w:pageBreakBefore w:val="0"/>
        <w:tabs>
          <w:tab w:val="center" w:pos="4153"/>
          <w:tab w:val="left" w:pos="7275"/>
        </w:tabs>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一、部门基本情况</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（一）职能职责。</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根据《中共重庆市渝北区委机构编制委员会关于重庆市渝北区水利局所属事业单位宗旨和职责任务的通知》（渝北编办〔2015〕391号）精神，我站主要宗旨是为水利工程建设及正常运行提供管理保障。具体如下：</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1.主要职责任务</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水利工程建设管理；水利工程运行管理；农村饮水安全工程建设与运行管理；水利工程造价管理；水利工程专业人员技术培训；水利技术推广。</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2.具体职责任务</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受区水利局委托，承担以下具体职责任务：</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（1）水利工程建设管理。主要包括水库大坝、小微型农田水利设施、农村机电提灌站、节水灌溉和灌区配套改造、饮用水源工程和供水工程建设管理工作。</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（2）水利工程运行管理。主要包括指导已成水利工程的运行维护和安全管理、水利工程注册登记、水利工程安全鉴定、指导农村水利社会化服务体系建设和水利工程管理制度的改革。</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3）农村饮水安全工程建设与运行管理。主要包括农村饮用水源工程和供水工程建设管理，指导已成农村饮水安全工程的运行维护管理；饮用水源及涵养区建设与保护；监督饮水安全相关法律法规执行；饮水安全工程建设与维护管理；自来水供区规划管理；饮水安全预案编制实施；水处理科技推广；节约用水管理；落实管护主体；加强水源保护和水质监测。</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（4）水利工程造价管理。主要包括为政府投资水利工程项目提供工程投资控制的咨询服务、负责水行政主管部门内水利工程造价工程师和造价员的日常管理工作。</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（5）农村水利工程专业人员技术培训。主要包括为镇街级水利技术人员提供专业指导和组织专业技术培训。</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（6）内部运行管理工作。主要包括了日常运营、维护（基础设施维护、安全保卫、物业管理等），单位内部人事、财务等管理工作。</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zh-TW" w:eastAsia="zh-TW"/>
        </w:rPr>
        <w:t>我站是渝北区水利局所属二级预算单位，没有内设机构。</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eastAsia="方正黑体_GBK"/>
          <w:sz w:val="32"/>
          <w:szCs w:val="32"/>
        </w:rPr>
      </w:pPr>
      <w:r>
        <w:rPr>
          <w:rFonts w:hint="eastAsia" w:eastAsia="方正黑体_GBK"/>
          <w:sz w:val="32"/>
          <w:szCs w:val="32"/>
        </w:rPr>
        <w:t>二、部门决算情况说明</w:t>
      </w:r>
    </w:p>
    <w:p>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snapToGrid w:val="0"/>
          <w:kern w:val="32"/>
          <w:sz w:val="32"/>
          <w:szCs w:val="32"/>
        </w:rPr>
      </w:pPr>
      <w:r>
        <w:rPr>
          <w:rFonts w:hint="eastAsia" w:ascii="方正仿宋_GBK" w:hAnsi="方正仿宋_GBK" w:eastAsia="方正仿宋_GBK" w:cs="方正仿宋_GBK"/>
          <w:snapToGrid w:val="0"/>
          <w:kern w:val="32"/>
          <w:sz w:val="32"/>
          <w:szCs w:val="32"/>
        </w:rPr>
        <w:t>（一）收入支出决算总体情况说明。</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仿宋_GB2312" w:hAnsi="仿宋_GB2312" w:eastAsia="仿宋_GB2312" w:cs="仿宋_GB2312"/>
          <w:b/>
          <w:bCs/>
          <w:sz w:val="32"/>
          <w:lang w:val="zh-TW" w:eastAsia="zh-TW"/>
        </w:rPr>
        <w:t>1.总体情况。</w:t>
      </w:r>
      <w:r>
        <w:rPr>
          <w:rFonts w:hint="eastAsia" w:ascii="方正仿宋_GBK" w:hAnsi="方正仿宋_GBK" w:eastAsia="方正仿宋_GBK" w:cs="方正仿宋_GBK"/>
          <w:color w:val="auto"/>
          <w:sz w:val="32"/>
          <w:szCs w:val="32"/>
          <w:highlight w:val="none"/>
          <w:lang w:val="en-US" w:eastAsia="zh-CN"/>
        </w:rPr>
        <w:t>2022年度收入总计1,571.12万元，支出总计1,571.12万元。收支较上年决算数减少546.92万元,下降25.8%，</w:t>
      </w:r>
      <w:r>
        <w:rPr>
          <w:rFonts w:hint="eastAsia" w:ascii="方正仿宋_GBK" w:hAnsi="方正仿宋_GBK" w:eastAsia="方正仿宋_GBK" w:cs="方正仿宋_GBK"/>
          <w:color w:val="auto"/>
          <w:sz w:val="32"/>
          <w:szCs w:val="32"/>
          <w:highlight w:val="none"/>
          <w:lang w:val="zh-TW" w:eastAsia="zh-TW"/>
        </w:rPr>
        <w:t>主要原因今年我站压减支出，减少了政府性基金项目开支。</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仿宋_GB2312" w:hAnsi="仿宋_GB2312" w:eastAsia="仿宋_GB2312" w:cs="仿宋_GB2312"/>
          <w:b/>
          <w:bCs/>
          <w:sz w:val="32"/>
          <w:lang w:val="zh-TW" w:eastAsia="zh-TW"/>
        </w:rPr>
        <w:t>2.收入情况。</w:t>
      </w:r>
      <w:r>
        <w:rPr>
          <w:rFonts w:hint="eastAsia" w:ascii="方正仿宋_GBK" w:hAnsi="方正仿宋_GBK" w:eastAsia="方正仿宋_GBK" w:cs="方正仿宋_GBK"/>
          <w:color w:val="auto"/>
          <w:sz w:val="32"/>
          <w:szCs w:val="32"/>
          <w:highlight w:val="none"/>
          <w:lang w:val="en-US" w:eastAsia="zh-CN"/>
        </w:rPr>
        <w:t>2022年度收入合计1,571.12万元，较上年决算数减少546.92万元，下降25.8%，</w:t>
      </w:r>
      <w:r>
        <w:rPr>
          <w:rFonts w:hint="eastAsia" w:ascii="方正仿宋_GBK" w:hAnsi="方正仿宋_GBK" w:eastAsia="方正仿宋_GBK" w:cs="方正仿宋_GBK"/>
          <w:color w:val="auto"/>
          <w:sz w:val="32"/>
          <w:szCs w:val="32"/>
          <w:highlight w:val="none"/>
          <w:lang w:val="zh-TW" w:eastAsia="zh-TW"/>
        </w:rPr>
        <w:t>主要原因是今年我站压减支出，减少了政府性基金项目开支。</w:t>
      </w:r>
      <w:r>
        <w:rPr>
          <w:rFonts w:hint="eastAsia" w:ascii="方正仿宋_GBK" w:hAnsi="方正仿宋_GBK" w:eastAsia="方正仿宋_GBK" w:cs="方正仿宋_GBK"/>
          <w:color w:val="auto"/>
          <w:sz w:val="32"/>
          <w:szCs w:val="32"/>
          <w:highlight w:val="none"/>
          <w:lang w:val="en-US" w:eastAsia="zh-CN"/>
        </w:rPr>
        <w:t>其中：财政拨款收入1,571.12万元，占100.0%。</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仿宋_GB2312" w:hAnsi="仿宋_GB2312" w:eastAsia="仿宋_GB2312" w:cs="仿宋_GB2312"/>
          <w:b/>
          <w:bCs/>
          <w:sz w:val="32"/>
          <w:lang w:val="zh-TW" w:eastAsia="zh-TW"/>
        </w:rPr>
        <w:t>3.支出情况。</w:t>
      </w:r>
      <w:r>
        <w:rPr>
          <w:rFonts w:hint="eastAsia" w:ascii="方正仿宋_GBK" w:hAnsi="方正仿宋_GBK" w:eastAsia="方正仿宋_GBK" w:cs="方正仿宋_GBK"/>
          <w:color w:val="auto"/>
          <w:sz w:val="32"/>
          <w:szCs w:val="32"/>
          <w:highlight w:val="none"/>
          <w:lang w:val="en-US" w:eastAsia="zh-CN"/>
        </w:rPr>
        <w:t>2022年度支出合计1,571.12万元，较上年决算减少546.92万元，下降25.8%，主要原因是</w:t>
      </w:r>
      <w:r>
        <w:rPr>
          <w:rFonts w:hint="eastAsia" w:ascii="方正仿宋_GBK" w:hAnsi="方正仿宋_GBK" w:eastAsia="方正仿宋_GBK" w:cs="方正仿宋_GBK"/>
          <w:color w:val="auto"/>
          <w:sz w:val="32"/>
          <w:szCs w:val="32"/>
          <w:highlight w:val="none"/>
          <w:lang w:val="zh-TW" w:eastAsia="zh-TW"/>
        </w:rPr>
        <w:t>今年我站压减支出，减少了政府性基金项目开支</w:t>
      </w:r>
      <w:r>
        <w:rPr>
          <w:rFonts w:hint="eastAsia" w:ascii="方正仿宋_GBK" w:hAnsi="方正仿宋_GBK" w:eastAsia="方正仿宋_GBK" w:cs="方正仿宋_GBK"/>
          <w:color w:val="auto"/>
          <w:sz w:val="32"/>
          <w:szCs w:val="32"/>
          <w:highlight w:val="none"/>
          <w:lang w:val="en-US" w:eastAsia="zh-CN"/>
        </w:rPr>
        <w:t>。其中：基本支出491.81万元，占31.3%；项目支出1,079.31万元，占68.7%。此外，结余分配0.00万元。</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仿宋_GB2312" w:hAnsi="仿宋_GB2312" w:eastAsia="仿宋_GB2312" w:cs="仿宋_GB2312"/>
          <w:b/>
          <w:bCs/>
          <w:sz w:val="32"/>
          <w:lang w:val="zh-TW" w:eastAsia="zh-TW"/>
        </w:rPr>
        <w:t>4.结转结余情况。</w:t>
      </w:r>
      <w:r>
        <w:rPr>
          <w:rFonts w:hint="eastAsia" w:ascii="方正仿宋_GBK" w:hAnsi="方正仿宋_GBK" w:eastAsia="方正仿宋_GBK" w:cs="方正仿宋_GBK"/>
          <w:color w:val="auto"/>
          <w:sz w:val="32"/>
          <w:szCs w:val="32"/>
          <w:highlight w:val="none"/>
          <w:lang w:val="en-US" w:eastAsia="zh-CN"/>
        </w:rPr>
        <w:t>2022年度年末结转和结余0.00万元，较上年决算数增加0.00万元，增长0.0%，</w:t>
      </w:r>
      <w:r>
        <w:rPr>
          <w:rFonts w:hint="eastAsia" w:ascii="方正仿宋_GBK" w:hAnsi="方正仿宋_GBK" w:eastAsia="方正仿宋_GBK" w:cs="方正仿宋_GBK"/>
          <w:color w:val="auto"/>
          <w:sz w:val="32"/>
          <w:szCs w:val="32"/>
          <w:highlight w:val="none"/>
          <w:lang w:val="zh-TW" w:eastAsia="zh-TW"/>
        </w:rPr>
        <w:t>主要原因是上年和本年我站均无结转结余情况。</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2022年度财政拨款收、支总计1,571.12万元。与2021年相比，财政拨款收、支总计各减少546.92万元，下降25.8%。主要原因是</w:t>
      </w:r>
      <w:r>
        <w:rPr>
          <w:rFonts w:hint="eastAsia" w:ascii="方正仿宋_GBK" w:hAnsi="方正仿宋_GBK" w:eastAsia="方正仿宋_GBK" w:cs="方正仿宋_GBK"/>
          <w:color w:val="auto"/>
          <w:sz w:val="32"/>
          <w:szCs w:val="32"/>
          <w:highlight w:val="none"/>
          <w:lang w:val="zh-TW" w:eastAsia="zh-TW"/>
        </w:rPr>
        <w:t>减少了政府性基金项目开支。</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kern w:val="0"/>
          <w:sz w:val="32"/>
          <w:szCs w:val="32"/>
          <w:lang w:eastAsia="zh-CN"/>
        </w:rPr>
        <w:t>　</w:t>
      </w:r>
      <w:r>
        <w:rPr>
          <w:rFonts w:hint="eastAsia" w:ascii="仿宋_GB2312" w:hAnsi="仿宋_GB2312" w:eastAsia="仿宋_GB2312" w:cs="仿宋_GB2312"/>
          <w:b/>
          <w:bCs/>
          <w:sz w:val="32"/>
          <w:lang w:val="en-US" w:eastAsia="zh-CN"/>
        </w:rPr>
        <w:t>1.收入情况。</w:t>
      </w:r>
      <w:r>
        <w:rPr>
          <w:rFonts w:hint="eastAsia" w:ascii="方正仿宋_GBK" w:hAnsi="方正仿宋_GBK" w:eastAsia="方正仿宋_GBK" w:cs="方正仿宋_GBK"/>
          <w:color w:val="auto"/>
          <w:sz w:val="32"/>
          <w:szCs w:val="32"/>
          <w:highlight w:val="none"/>
          <w:lang w:val="en-US" w:eastAsia="zh-CN"/>
        </w:rPr>
        <w:t>2022年度一般公共预算财政拨款收入1,571.12万元，较上年决算数减少194.54万元，下降11.0%。主要原因是减少了</w:t>
      </w:r>
      <w:r>
        <w:rPr>
          <w:rFonts w:hint="eastAsia" w:ascii="方正仿宋_GBK" w:hAnsi="方正仿宋_GBK" w:eastAsia="方正仿宋_GBK" w:cs="方正仿宋_GBK"/>
          <w:color w:val="auto"/>
          <w:sz w:val="32"/>
          <w:szCs w:val="32"/>
          <w:highlight w:val="none"/>
          <w:lang w:val="zh-TW" w:eastAsia="zh-TW"/>
        </w:rPr>
        <w:t>集中供水</w:t>
      </w:r>
      <w:r>
        <w:rPr>
          <w:rFonts w:hint="eastAsia" w:ascii="方正仿宋_GBK" w:hAnsi="方正仿宋_GBK" w:eastAsia="方正仿宋_GBK" w:cs="方正仿宋_GBK"/>
          <w:color w:val="auto"/>
          <w:sz w:val="32"/>
          <w:szCs w:val="32"/>
          <w:highlight w:val="none"/>
          <w:lang w:val="zh-TW" w:eastAsia="zh-CN"/>
        </w:rPr>
        <w:t>工程</w:t>
      </w:r>
      <w:r>
        <w:rPr>
          <w:rFonts w:hint="eastAsia" w:ascii="方正仿宋_GBK" w:hAnsi="方正仿宋_GBK" w:eastAsia="方正仿宋_GBK" w:cs="方正仿宋_GBK"/>
          <w:color w:val="auto"/>
          <w:sz w:val="32"/>
          <w:szCs w:val="32"/>
          <w:highlight w:val="none"/>
          <w:lang w:val="zh-TW" w:eastAsia="zh-TW"/>
        </w:rPr>
        <w:t>运行维护费</w:t>
      </w:r>
      <w:r>
        <w:rPr>
          <w:rFonts w:hint="eastAsia" w:ascii="方正仿宋_GBK" w:hAnsi="方正仿宋_GBK" w:eastAsia="方正仿宋_GBK" w:cs="方正仿宋_GBK"/>
          <w:color w:val="auto"/>
          <w:sz w:val="32"/>
          <w:szCs w:val="32"/>
          <w:highlight w:val="none"/>
          <w:lang w:val="zh-TW" w:eastAsia="zh-CN"/>
        </w:rPr>
        <w:t>及农村饮水安全管理费等工程项目</w:t>
      </w:r>
      <w:r>
        <w:rPr>
          <w:rFonts w:hint="eastAsia" w:ascii="方正仿宋_GBK" w:hAnsi="方正仿宋_GBK" w:eastAsia="方正仿宋_GBK" w:cs="方正仿宋_GBK"/>
          <w:color w:val="auto"/>
          <w:sz w:val="32"/>
          <w:szCs w:val="32"/>
          <w:highlight w:val="none"/>
          <w:lang w:val="en-US" w:eastAsia="zh-CN"/>
        </w:rPr>
        <w:t>。较年初预算数减少747.72万元，下降32.2%。主要原因是</w:t>
      </w:r>
      <w:r>
        <w:rPr>
          <w:rFonts w:hint="eastAsia" w:ascii="方正仿宋_GBK" w:hAnsi="方正仿宋_GBK" w:eastAsia="方正仿宋_GBK" w:cs="方正仿宋_GBK"/>
          <w:color w:val="auto"/>
          <w:sz w:val="32"/>
          <w:szCs w:val="32"/>
          <w:highlight w:val="none"/>
          <w:lang w:val="zh-TW" w:eastAsia="zh-TW"/>
        </w:rPr>
        <w:t>集中供水运行维护费在年度中间二次分配给其他预算单位在资金使用单位列报决算。</w:t>
      </w:r>
      <w:r>
        <w:rPr>
          <w:rFonts w:hint="eastAsia" w:ascii="方正仿宋_GBK" w:hAnsi="方正仿宋_GBK" w:eastAsia="方正仿宋_GBK" w:cs="方正仿宋_GBK"/>
          <w:color w:val="auto"/>
          <w:sz w:val="32"/>
          <w:szCs w:val="32"/>
          <w:highlight w:val="none"/>
          <w:lang w:val="en-US" w:eastAsia="zh-CN"/>
        </w:rPr>
        <w:t>此外，年初财政拨款结转和结余0.00万元。</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仿宋_GB2312" w:hAnsi="仿宋_GB2312" w:eastAsia="仿宋_GB2312" w:cs="仿宋_GB2312"/>
          <w:b/>
          <w:bCs/>
          <w:sz w:val="32"/>
          <w:lang w:val="en-US" w:eastAsia="zh-CN"/>
        </w:rPr>
        <w:t>2.支出情况。</w:t>
      </w:r>
      <w:r>
        <w:rPr>
          <w:rFonts w:hint="eastAsia" w:ascii="方正仿宋_GBK" w:hAnsi="方正仿宋_GBK" w:eastAsia="方正仿宋_GBK" w:cs="方正仿宋_GBK"/>
          <w:color w:val="auto"/>
          <w:sz w:val="32"/>
          <w:szCs w:val="32"/>
          <w:highlight w:val="none"/>
          <w:lang w:val="en-US" w:eastAsia="zh-CN"/>
        </w:rPr>
        <w:t>2022年度一般公共预算财政拨款支出1,571.12万元，较上年决算数减少194.54万元，下降11.0%。主要原因是减少了</w:t>
      </w:r>
      <w:r>
        <w:rPr>
          <w:rFonts w:hint="eastAsia" w:ascii="方正仿宋_GBK" w:hAnsi="方正仿宋_GBK" w:eastAsia="方正仿宋_GBK" w:cs="方正仿宋_GBK"/>
          <w:color w:val="auto"/>
          <w:sz w:val="32"/>
          <w:szCs w:val="32"/>
          <w:highlight w:val="none"/>
          <w:lang w:val="zh-TW" w:eastAsia="zh-TW"/>
        </w:rPr>
        <w:t>集中供水</w:t>
      </w:r>
      <w:r>
        <w:rPr>
          <w:rFonts w:hint="eastAsia" w:ascii="方正仿宋_GBK" w:hAnsi="方正仿宋_GBK" w:eastAsia="方正仿宋_GBK" w:cs="方正仿宋_GBK"/>
          <w:color w:val="auto"/>
          <w:sz w:val="32"/>
          <w:szCs w:val="32"/>
          <w:highlight w:val="none"/>
          <w:lang w:val="zh-TW" w:eastAsia="zh-CN"/>
        </w:rPr>
        <w:t>工程</w:t>
      </w:r>
      <w:r>
        <w:rPr>
          <w:rFonts w:hint="eastAsia" w:ascii="方正仿宋_GBK" w:hAnsi="方正仿宋_GBK" w:eastAsia="方正仿宋_GBK" w:cs="方正仿宋_GBK"/>
          <w:color w:val="auto"/>
          <w:sz w:val="32"/>
          <w:szCs w:val="32"/>
          <w:highlight w:val="none"/>
          <w:lang w:val="zh-TW" w:eastAsia="zh-TW"/>
        </w:rPr>
        <w:t>运行维护费</w:t>
      </w:r>
      <w:r>
        <w:rPr>
          <w:rFonts w:hint="eastAsia" w:ascii="方正仿宋_GBK" w:hAnsi="方正仿宋_GBK" w:eastAsia="方正仿宋_GBK" w:cs="方正仿宋_GBK"/>
          <w:color w:val="auto"/>
          <w:sz w:val="32"/>
          <w:szCs w:val="32"/>
          <w:highlight w:val="none"/>
          <w:lang w:val="zh-TW" w:eastAsia="zh-CN"/>
        </w:rPr>
        <w:t>及农村饮水安全管理费等工程项目</w:t>
      </w:r>
      <w:r>
        <w:rPr>
          <w:rFonts w:hint="eastAsia" w:ascii="方正仿宋_GBK" w:hAnsi="方正仿宋_GBK" w:eastAsia="方正仿宋_GBK" w:cs="方正仿宋_GBK"/>
          <w:color w:val="auto"/>
          <w:sz w:val="32"/>
          <w:szCs w:val="32"/>
          <w:highlight w:val="none"/>
          <w:lang w:val="en-US" w:eastAsia="zh-CN"/>
        </w:rPr>
        <w:t>。较年初预算数减少747.72万元，下降32.2%。主要原因是</w:t>
      </w:r>
      <w:r>
        <w:rPr>
          <w:rFonts w:hint="eastAsia" w:ascii="方正仿宋_GBK" w:hAnsi="方正仿宋_GBK" w:eastAsia="方正仿宋_GBK" w:cs="方正仿宋_GBK"/>
          <w:color w:val="auto"/>
          <w:sz w:val="32"/>
          <w:szCs w:val="32"/>
          <w:highlight w:val="none"/>
          <w:lang w:val="zh-TW" w:eastAsia="zh-TW"/>
        </w:rPr>
        <w:t>集中供水运行维护费在年度中间二次分配给其他预算单位在资金使用单位列报决算。</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仿宋_GB2312" w:hAnsi="仿宋_GB2312" w:eastAsia="仿宋_GB2312" w:cs="仿宋_GB2312"/>
          <w:b/>
          <w:bCs/>
          <w:sz w:val="32"/>
          <w:lang w:val="en-US" w:eastAsia="zh-CN"/>
        </w:rPr>
        <w:t>3.结转结余情况。</w:t>
      </w:r>
      <w:r>
        <w:rPr>
          <w:rFonts w:hint="eastAsia" w:ascii="方正仿宋_GBK" w:hAnsi="方正仿宋_GBK" w:eastAsia="方正仿宋_GBK" w:cs="方正仿宋_GBK"/>
          <w:color w:val="auto"/>
          <w:sz w:val="32"/>
          <w:szCs w:val="32"/>
          <w:highlight w:val="none"/>
          <w:lang w:val="en-US" w:eastAsia="zh-CN"/>
        </w:rPr>
        <w:t>2022年度年末一般公共预算财政拨款结转和结余0.00万元，较上年决算数增加0.00万元，增长0.0%，</w:t>
      </w:r>
      <w:r>
        <w:rPr>
          <w:rFonts w:hint="eastAsia" w:ascii="方正仿宋_GBK" w:hAnsi="方正仿宋_GBK" w:eastAsia="方正仿宋_GBK" w:cs="方正仿宋_GBK"/>
          <w:color w:val="auto"/>
          <w:sz w:val="32"/>
          <w:szCs w:val="32"/>
          <w:highlight w:val="none"/>
          <w:lang w:val="zh-TW" w:eastAsia="zh-TW"/>
        </w:rPr>
        <w:t>主要原因是上年和本年我站均无结转结余情况。</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仿宋_GB2312" w:hAnsi="仿宋_GB2312" w:eastAsia="仿宋_GB2312" w:cs="仿宋_GB2312"/>
          <w:b/>
          <w:bCs/>
          <w:sz w:val="32"/>
          <w:lang w:val="en-US" w:eastAsia="zh-CN"/>
        </w:rPr>
        <w:t>4.比较情况。</w:t>
      </w:r>
      <w:r>
        <w:rPr>
          <w:rFonts w:hint="eastAsia" w:ascii="方正仿宋_GBK" w:hAnsi="方正仿宋_GBK" w:eastAsia="方正仿宋_GBK" w:cs="方正仿宋_GBK"/>
          <w:color w:val="auto"/>
          <w:sz w:val="32"/>
          <w:szCs w:val="32"/>
          <w:highlight w:val="none"/>
          <w:lang w:val="en-US" w:eastAsia="zh-CN"/>
        </w:rPr>
        <w:t>本部门2022年度一般公共预算财政拨款支出主要用于以下几个方面：</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（1）社会保障与就业支出80.02万元，占5.1%，较年初预算数增加16.76万元，增长26.5%，主要原因是保险基数调整。</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（2）卫生健康支出22.64万元，占1.4%，较年初预算数增加3.13万元，增长16.0%，主要原因是保险基数调整。</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CN"/>
        </w:rPr>
      </w:pPr>
      <w:r>
        <w:rPr>
          <w:rFonts w:hint="eastAsia" w:ascii="方正仿宋_GBK" w:hAnsi="方正仿宋_GBK" w:eastAsia="方正仿宋_GBK" w:cs="方正仿宋_GBK"/>
          <w:color w:val="auto"/>
          <w:sz w:val="32"/>
          <w:szCs w:val="32"/>
          <w:highlight w:val="none"/>
          <w:lang w:val="en-US" w:eastAsia="zh-CN"/>
        </w:rPr>
        <w:t>（3）农林水支出1,448.77万元，占92.2%，较年初预算数减少770.53万元，下降34.7%，主要原因是减少了</w:t>
      </w:r>
      <w:r>
        <w:rPr>
          <w:rFonts w:hint="eastAsia" w:ascii="方正仿宋_GBK" w:hAnsi="方正仿宋_GBK" w:eastAsia="方正仿宋_GBK" w:cs="方正仿宋_GBK"/>
          <w:color w:val="auto"/>
          <w:sz w:val="32"/>
          <w:szCs w:val="32"/>
          <w:highlight w:val="none"/>
          <w:lang w:val="zh-TW" w:eastAsia="zh-TW"/>
        </w:rPr>
        <w:t>集中供水</w:t>
      </w:r>
      <w:r>
        <w:rPr>
          <w:rFonts w:hint="eastAsia" w:ascii="方正仿宋_GBK" w:hAnsi="方正仿宋_GBK" w:eastAsia="方正仿宋_GBK" w:cs="方正仿宋_GBK"/>
          <w:color w:val="auto"/>
          <w:sz w:val="32"/>
          <w:szCs w:val="32"/>
          <w:highlight w:val="none"/>
          <w:lang w:val="zh-TW" w:eastAsia="zh-CN"/>
        </w:rPr>
        <w:t>工程</w:t>
      </w:r>
      <w:r>
        <w:rPr>
          <w:rFonts w:hint="eastAsia" w:ascii="方正仿宋_GBK" w:hAnsi="方正仿宋_GBK" w:eastAsia="方正仿宋_GBK" w:cs="方正仿宋_GBK"/>
          <w:color w:val="auto"/>
          <w:sz w:val="32"/>
          <w:szCs w:val="32"/>
          <w:highlight w:val="none"/>
          <w:lang w:val="zh-TW" w:eastAsia="zh-TW"/>
        </w:rPr>
        <w:t>运行维护费</w:t>
      </w:r>
      <w:r>
        <w:rPr>
          <w:rFonts w:hint="eastAsia" w:ascii="方正仿宋_GBK" w:hAnsi="方正仿宋_GBK" w:eastAsia="方正仿宋_GBK" w:cs="方正仿宋_GBK"/>
          <w:color w:val="auto"/>
          <w:sz w:val="32"/>
          <w:szCs w:val="32"/>
          <w:highlight w:val="none"/>
          <w:lang w:val="zh-TW" w:eastAsia="zh-CN"/>
        </w:rPr>
        <w:t>及农村饮水安全管理费等项目支出。</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zh-TW" w:eastAsia="zh-TW"/>
        </w:rPr>
      </w:pPr>
      <w:r>
        <w:rPr>
          <w:rFonts w:hint="eastAsia" w:ascii="方正仿宋_GBK" w:hAnsi="方正仿宋_GBK" w:eastAsia="方正仿宋_GBK" w:cs="方正仿宋_GBK"/>
          <w:color w:val="auto"/>
          <w:sz w:val="32"/>
          <w:szCs w:val="32"/>
          <w:highlight w:val="none"/>
          <w:lang w:val="en-US" w:eastAsia="zh-CN"/>
        </w:rPr>
        <w:t>（4）住房保障支出19.71万元，占1.3%，较年初预算数增加2.92万元，增长17.4%，主要原因是</w:t>
      </w:r>
      <w:r>
        <w:rPr>
          <w:rFonts w:hint="eastAsia" w:ascii="方正仿宋_GBK" w:hAnsi="方正仿宋_GBK" w:eastAsia="方正仿宋_GBK" w:cs="方正仿宋_GBK"/>
          <w:color w:val="auto"/>
          <w:sz w:val="32"/>
          <w:szCs w:val="32"/>
          <w:highlight w:val="none"/>
          <w:lang w:val="zh-TW" w:eastAsia="zh-TW"/>
        </w:rPr>
        <w:t>年度中间追加了住房补贴支出。</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sz w:val="32"/>
          <w:szCs w:val="32"/>
          <w:lang w:val="en-US" w:eastAsia="zh-CN"/>
        </w:rPr>
        <w:t>2022年度一般公共预算财政拨款基本支出491.81万元。其中：人员经费361.81万元，较上年决算数增加42.68万元，增长13.4%，主要原因是2022年发了2021年的年终考核及退休人员健康休养费。</w:t>
      </w:r>
      <w:r>
        <w:rPr>
          <w:rFonts w:hint="eastAsia" w:ascii="方正仿宋_GBK" w:hAnsi="方正仿宋_GBK" w:eastAsia="方正仿宋_GBK" w:cs="方正仿宋_GBK"/>
          <w:sz w:val="32"/>
          <w:szCs w:val="32"/>
          <w:lang w:val="zh-TW" w:eastAsia="zh-TW"/>
        </w:rPr>
        <w:t>人员经费用途主要包括基本工资、津贴补贴、奖金、绩效工资、机关事业单位基本养老保险缴费、职业年金缴费、职工基本医疗保险缴费、公务员医疗补助缴费、其他社会保障缴费、住房公积金、医疗费、生活补助、其他工资福利支出。</w:t>
      </w:r>
      <w:r>
        <w:rPr>
          <w:rFonts w:hint="eastAsia" w:ascii="方正仿宋_GBK" w:hAnsi="方正仿宋_GBK" w:eastAsia="方正仿宋_GBK" w:cs="方正仿宋_GBK"/>
          <w:sz w:val="32"/>
          <w:szCs w:val="32"/>
          <w:lang w:val="en-US" w:eastAsia="zh-CN"/>
        </w:rPr>
        <w:t>公用经费130.00万元，较上年决算数增加11.97万元，增长10.1%，主要原因是为应对2022年旱性，开展了一系列的抗旱保供工作导致公用经费约有增加。公用经费用途主要包括</w:t>
      </w:r>
      <w:r>
        <w:rPr>
          <w:rFonts w:hint="eastAsia" w:ascii="方正仿宋_GBK" w:hAnsi="方正仿宋_GBK" w:eastAsia="方正仿宋_GBK" w:cs="方正仿宋_GBK"/>
          <w:sz w:val="32"/>
          <w:szCs w:val="32"/>
          <w:lang w:val="zh-TW" w:eastAsia="zh-TW"/>
        </w:rPr>
        <w:t>公用经费用途主要包括包括办公费、印刷费、水费、电费、邮电费、物业管理费、差旅费、维修（护）费、工会经费、福利费、公务接待费、公务用车运行维护费、其他交通费、会议费、培训费、咨询费、劳务费、其他商品和服务支出。</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lang w:eastAsia="zh-CN"/>
        </w:rPr>
        <w:t>五</w:t>
      </w:r>
      <w:r>
        <w:rPr>
          <w:rFonts w:hint="eastAsia" w:ascii="方正楷体_GBK" w:hAnsi="方正楷体_GBK" w:eastAsia="方正楷体_GBK" w:cs="方正楷体_GBK"/>
          <w:snapToGrid w:val="0"/>
          <w:kern w:val="32"/>
          <w:sz w:val="32"/>
          <w:szCs w:val="32"/>
        </w:rPr>
        <w:t>）政府性基金预算收支决算情况说明。</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2022年度政府性基金预算财政拨款年初结转结余0.00万元，年末结转结余0.00万元。本年收入0.00万元，较上年决算数减少352.38万元，下降100%，主要原因是</w:t>
      </w:r>
      <w:r>
        <w:rPr>
          <w:rFonts w:hint="eastAsia" w:ascii="方正仿宋_GBK" w:hAnsi="方正仿宋_GBK" w:eastAsia="方正仿宋_GBK" w:cs="方正仿宋_GBK"/>
          <w:color w:val="auto"/>
          <w:sz w:val="32"/>
          <w:szCs w:val="32"/>
          <w:highlight w:val="none"/>
          <w:lang w:val="en-US" w:eastAsia="zh-CN"/>
        </w:rPr>
        <w:t>本部门2022年度无政府性基金预算财政拨款收支。</w:t>
      </w:r>
      <w:r>
        <w:rPr>
          <w:rFonts w:hint="eastAsia" w:ascii="方正仿宋_GBK" w:hAnsi="方正仿宋_GBK" w:eastAsia="方正仿宋_GBK" w:cs="方正仿宋_GBK"/>
          <w:sz w:val="32"/>
          <w:szCs w:val="32"/>
          <w:lang w:val="en-US" w:eastAsia="zh-CN"/>
        </w:rPr>
        <w:t>较年初预算数增长0万元，增长0.0%，主要原因是</w:t>
      </w:r>
      <w:r>
        <w:rPr>
          <w:rFonts w:hint="eastAsia" w:ascii="方正仿宋_GBK" w:hAnsi="方正仿宋_GBK" w:eastAsia="方正仿宋_GBK" w:cs="方正仿宋_GBK"/>
          <w:color w:val="auto"/>
          <w:sz w:val="32"/>
          <w:szCs w:val="32"/>
          <w:highlight w:val="none"/>
          <w:lang w:val="en-US" w:eastAsia="zh-CN"/>
        </w:rPr>
        <w:t>本部门2022年度无政府性基金预算财政拨款收支。</w:t>
      </w:r>
      <w:r>
        <w:rPr>
          <w:rFonts w:hint="eastAsia" w:ascii="方正仿宋_GBK" w:hAnsi="方正仿宋_GBK" w:eastAsia="方正仿宋_GBK" w:cs="方正仿宋_GBK"/>
          <w:sz w:val="32"/>
          <w:szCs w:val="32"/>
          <w:lang w:val="en-US" w:eastAsia="zh-CN"/>
        </w:rPr>
        <w:t>本年支出0.00万元，较上年决算数减少352.38万元，下降100%，主要原因是</w:t>
      </w:r>
      <w:r>
        <w:rPr>
          <w:rFonts w:hint="eastAsia" w:ascii="方正仿宋_GBK" w:hAnsi="方正仿宋_GBK" w:eastAsia="方正仿宋_GBK" w:cs="方正仿宋_GBK"/>
          <w:color w:val="auto"/>
          <w:sz w:val="32"/>
          <w:szCs w:val="32"/>
          <w:highlight w:val="none"/>
          <w:lang w:val="en-US" w:eastAsia="zh-CN"/>
        </w:rPr>
        <w:t>本部门2022年度无政府性基金预算财政拨款收支。</w:t>
      </w:r>
      <w:r>
        <w:rPr>
          <w:rFonts w:hint="eastAsia" w:ascii="方正仿宋_GBK" w:hAnsi="方正仿宋_GBK" w:eastAsia="方正仿宋_GBK" w:cs="方正仿宋_GBK"/>
          <w:sz w:val="32"/>
          <w:szCs w:val="32"/>
          <w:lang w:val="en-US" w:eastAsia="zh-CN"/>
        </w:rPr>
        <w:t>较预算支出数增长0万元，增长0.0%，主要原因是年初没有安排政府性基金项目。</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lang w:val="en-US" w:eastAsia="zh-CN"/>
        </w:rPr>
        <w:t>六</w:t>
      </w:r>
      <w:r>
        <w:rPr>
          <w:rFonts w:hint="eastAsia" w:ascii="方正楷体_GBK" w:hAnsi="方正楷体_GBK" w:eastAsia="方正楷体_GBK" w:cs="方正楷体_GBK"/>
          <w:snapToGrid w:val="0"/>
          <w:kern w:val="32"/>
          <w:sz w:val="32"/>
          <w:szCs w:val="32"/>
        </w:rPr>
        <w:t>）国有资本经营预算财政拨款支出决算情况说明。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本部门2022年度无国有资本经营预算财政拨款支出。</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eastAsia="方正黑体_GBK"/>
          <w:sz w:val="32"/>
          <w:szCs w:val="32"/>
        </w:rPr>
      </w:pPr>
      <w:r>
        <w:rPr>
          <w:rFonts w:hint="eastAsia" w:eastAsia="方正黑体_GBK"/>
          <w:sz w:val="32"/>
          <w:szCs w:val="32"/>
        </w:rPr>
        <w:t>三、“三公”经费情况说明</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2022年度“三公”经费支出共计0.68万元，较年初预算数增加0.00万元，增长0.0%，较上年支出数增加0.00万元，增长0.0%，与上年持平。</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color w:val="auto"/>
          <w:sz w:val="32"/>
          <w:szCs w:val="32"/>
          <w:highlight w:val="none"/>
          <w:lang w:val="en-US" w:eastAsia="zh-CN"/>
        </w:rPr>
        <w:t>2022年度本部门因公出国（境）费用0.00万元，费用支出较年初预算数增加0.00万元，增长0.0%，较上年支出数增加0.00万元，增长0.0%，主要原因是上年及本年我站均未安排也未支出因公出国（境）费用。</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公务车购置费0.00万元，费用支出较年初预算数增加0.00万元，增长0.0%，较上年支出数增加0.00万元，增长0.0%，主要原因是上年及本年我站均未安排也未支出公务车购置费。</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公务车运行维护费0.00万元，主要用于机要文件交换、市内因公出行、水利工程检查等工作所需车辆的燃料费、维修费、过桥过路费、保险费等。费用支出较年初预算数增加0.00万元，增长0.0%，较上年支出数增加0.00万元，增长0.0%，本单位2022年度未发生公务车运行维护费支出。</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公务接待费0.68万元，</w:t>
      </w:r>
      <w:r>
        <w:rPr>
          <w:rFonts w:hint="eastAsia" w:ascii="方正仿宋_GBK" w:hAnsi="方正仿宋_GBK" w:eastAsia="方正仿宋_GBK" w:cs="方正仿宋_GBK"/>
          <w:color w:val="auto"/>
          <w:sz w:val="32"/>
          <w:szCs w:val="32"/>
          <w:highlight w:val="none"/>
          <w:lang w:val="zh-TW" w:eastAsia="zh-TW"/>
        </w:rPr>
        <w:t>主要用于接待接待其他区县水利部门到我区交流学习，接受相关部门检查指导工作发生的接待支出</w:t>
      </w:r>
      <w:r>
        <w:rPr>
          <w:rFonts w:hint="eastAsia" w:ascii="方正仿宋_GBK" w:hAnsi="方正仿宋_GBK" w:eastAsia="方正仿宋_GBK" w:cs="方正仿宋_GBK"/>
          <w:color w:val="auto"/>
          <w:sz w:val="32"/>
          <w:szCs w:val="32"/>
          <w:highlight w:val="none"/>
          <w:lang w:val="en-US" w:eastAsia="zh-CN"/>
        </w:rPr>
        <w:t>费用支出较年初预算数增加0.00万元，增长0.0%，与年初预算持平。较上年支出数增加0.00万元，增长0.0%，与上年持平。</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2022年度本部门因公出国（境）共计0个团组，0人；公务用车购置0辆，公务车保有量为0辆；国内公务接待17批次170人，其中：国内外事接待0批次，0人；国（境）外公务接待0批次，0人。2022年本部门人均接待费40.00元，车均购置费0.00万元，车均维护费0.00万元。</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eastAsia="方正黑体_GBK"/>
          <w:sz w:val="32"/>
          <w:szCs w:val="32"/>
        </w:rPr>
      </w:pPr>
      <w:r>
        <w:rPr>
          <w:rFonts w:hint="eastAsia" w:eastAsia="方正黑体_GBK"/>
          <w:sz w:val="32"/>
          <w:szCs w:val="32"/>
        </w:rPr>
        <w:t>四、其他需要说明的事项</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keepNext w:val="0"/>
        <w:keepLines w:val="0"/>
        <w:pageBreakBefore w:val="0"/>
        <w:widowControl/>
        <w:kinsoku/>
        <w:wordWrap/>
        <w:overflowPunct/>
        <w:topLinePunct w:val="0"/>
        <w:autoSpaceDE/>
        <w:autoSpaceDN/>
        <w:bidi w:val="0"/>
        <w:adjustRightInd/>
        <w:spacing w:beforeAutospacing="0" w:afterAutospacing="0" w:line="240" w:lineRule="auto"/>
        <w:ind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本年度会议费支出0.00万元，较上年决算数增加0.00万元，增长0.0%，</w:t>
      </w:r>
      <w:r>
        <w:rPr>
          <w:rFonts w:hint="eastAsia" w:ascii="方正仿宋_GBK" w:hAnsi="方正仿宋_GBK" w:eastAsia="方正仿宋_GBK" w:cs="方正仿宋_GBK"/>
          <w:color w:val="auto"/>
          <w:sz w:val="32"/>
          <w:szCs w:val="32"/>
          <w:highlight w:val="none"/>
          <w:lang w:val="zh-TW" w:eastAsia="zh-TW"/>
        </w:rPr>
        <w:t>主要原因是上年及本年我站均无会议费支出。</w:t>
      </w:r>
      <w:r>
        <w:rPr>
          <w:rFonts w:hint="eastAsia" w:ascii="方正仿宋_GBK" w:hAnsi="方正仿宋_GBK" w:eastAsia="方正仿宋_GBK" w:cs="方正仿宋_GBK"/>
          <w:color w:val="auto"/>
          <w:sz w:val="32"/>
          <w:szCs w:val="32"/>
          <w:highlight w:val="none"/>
          <w:lang w:val="en-US" w:eastAsia="zh-CN"/>
        </w:rPr>
        <w:t>本年度培训费支出1.11万元，较上年决算数减少0.02万元，下降1.8%，主</w:t>
      </w:r>
      <w:r>
        <w:rPr>
          <w:rFonts w:hint="eastAsia" w:ascii="方正仿宋_GBK" w:hAnsi="方正仿宋_GBK" w:eastAsia="方正仿宋_GBK" w:cs="方正仿宋_GBK"/>
          <w:color w:val="auto"/>
          <w:sz w:val="32"/>
          <w:szCs w:val="32"/>
          <w:highlight w:val="none"/>
          <w:lang w:val="zh-TW" w:eastAsia="zh-TW"/>
        </w:rPr>
        <w:t>要原因是我站更加严格贯彻八项规定，厉行节约，减少了培训费支出。</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keepNext w:val="0"/>
        <w:keepLines w:val="0"/>
        <w:pageBreakBefore w:val="0"/>
        <w:widowControl/>
        <w:kinsoku/>
        <w:wordWrap/>
        <w:overflowPunct/>
        <w:topLinePunct w:val="0"/>
        <w:autoSpaceDE/>
        <w:autoSpaceDN/>
        <w:bidi w:val="0"/>
        <w:adjustRightInd/>
        <w:spacing w:beforeAutospacing="0" w:afterAutospacing="0" w:line="240" w:lineRule="auto"/>
        <w:ind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2022年度本部门机关运行经费支出130.00万元，</w:t>
      </w:r>
      <w:r>
        <w:rPr>
          <w:rFonts w:hint="eastAsia" w:ascii="方正仿宋_GBK" w:hAnsi="方正仿宋_GBK" w:eastAsia="方正仿宋_GBK" w:cs="方正仿宋_GBK"/>
          <w:color w:val="auto"/>
          <w:sz w:val="32"/>
          <w:szCs w:val="32"/>
          <w:highlight w:val="none"/>
          <w:lang w:val="zh-TW" w:eastAsia="zh-TW"/>
        </w:rPr>
        <w:t>机关运行经费主要用于开支开支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r>
        <w:rPr>
          <w:rFonts w:hint="eastAsia" w:ascii="方正仿宋_GBK" w:hAnsi="方正仿宋_GBK" w:eastAsia="方正仿宋_GBK" w:cs="方正仿宋_GBK"/>
          <w:color w:val="auto"/>
          <w:sz w:val="32"/>
          <w:szCs w:val="32"/>
          <w:highlight w:val="none"/>
          <w:lang w:val="en-US" w:eastAsia="zh-CN"/>
        </w:rPr>
        <w:t>机关运行经费较上年决算数增加11.97万元，增长10.1%，主要原因是2022年大力开展防汛抗旱工作，公用经费略有增加。</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lang w:eastAsia="zh-CN"/>
        </w:rPr>
        <w:t>三</w:t>
      </w:r>
      <w:r>
        <w:rPr>
          <w:rFonts w:hint="eastAsia" w:ascii="方正楷体_GBK" w:hAnsi="方正楷体_GBK" w:eastAsia="方正楷体_GBK" w:cs="方正楷体_GBK"/>
          <w:snapToGrid w:val="0"/>
          <w:kern w:val="32"/>
          <w:sz w:val="32"/>
          <w:szCs w:val="32"/>
        </w:rPr>
        <w:t>）国有资产占用情况说明。</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240" w:lineRule="auto"/>
        <w:ind w:right="0" w:rightChars="0" w:firstLine="640" w:firstLineChars="200"/>
        <w:jc w:val="left"/>
        <w:textAlignment w:val="auto"/>
        <w:outlineLvl w:val="9"/>
        <w:rPr>
          <w:rFonts w:hint="eastAsia" w:ascii="方正仿宋_GBK" w:hAnsi="方正仿宋_GBK" w:eastAsia="方正仿宋_GBK" w:cs="方正仿宋_GBK"/>
          <w:snapToGrid w:val="0"/>
          <w:kern w:val="32"/>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w:t>
      </w:r>
      <w:r>
        <w:rPr>
          <w:rFonts w:hint="eastAsia" w:ascii="方正楷体_GBK" w:hAnsi="方正楷体_GBK" w:eastAsia="方正楷体_GBK" w:cs="方正楷体_GBK"/>
          <w:snapToGrid w:val="0"/>
          <w:kern w:val="32"/>
          <w:sz w:val="32"/>
          <w:szCs w:val="32"/>
          <w:lang w:eastAsia="zh-CN"/>
        </w:rPr>
        <w:t>四</w:t>
      </w:r>
      <w:r>
        <w:rPr>
          <w:rFonts w:hint="eastAsia" w:ascii="方正楷体_GBK" w:hAnsi="方正楷体_GBK" w:eastAsia="方正楷体_GBK" w:cs="方正楷体_GBK"/>
          <w:snapToGrid w:val="0"/>
          <w:kern w:val="32"/>
          <w:sz w:val="32"/>
          <w:szCs w:val="32"/>
        </w:rPr>
        <w:t>）政府采购支出情况说明。</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240" w:lineRule="auto"/>
        <w:ind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2022年度我单位未发生政府采购事项，无相关经费支出。</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eastAsia="方正黑体_GBK"/>
          <w:sz w:val="32"/>
          <w:szCs w:val="32"/>
        </w:rPr>
      </w:pPr>
      <w:r>
        <w:rPr>
          <w:rFonts w:hint="eastAsia" w:eastAsia="方正黑体_GBK"/>
          <w:sz w:val="32"/>
          <w:szCs w:val="32"/>
        </w:rPr>
        <w:t>五、预算绩效管理情况说明</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keepNext w:val="0"/>
        <w:keepLines w:val="0"/>
        <w:pageBreakBefore w:val="0"/>
        <w:kinsoku/>
        <w:wordWrap/>
        <w:overflowPunct/>
        <w:topLinePunct w:val="0"/>
        <w:autoSpaceDE/>
        <w:autoSpaceDN/>
        <w:bidi w:val="0"/>
        <w:adjustRightInd/>
        <w:spacing w:beforeAutospacing="0" w:afterAutospacing="0" w:line="240" w:lineRule="auto"/>
        <w:ind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根据预算绩效管理要求，我站对11个项目开展了绩效自评，其中，以填报自评表形式开展自评11项，涉及资金1079.31万元；没有以委托第三方出具报告的方式开展绩效。</w:t>
      </w:r>
    </w:p>
    <w:p>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keepNext w:val="0"/>
        <w:keepLines w:val="0"/>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仿宋_GB2312" w:hAnsi="仿宋_GB2312" w:eastAsia="仿宋_GB2312" w:cs="仿宋_GB2312"/>
          <w:b/>
          <w:bCs/>
          <w:sz w:val="32"/>
          <w:lang w:val="zh-TW" w:eastAsia="zh-TW"/>
        </w:rPr>
      </w:pP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b/>
          <w:bCs/>
          <w:sz w:val="32"/>
          <w:lang w:val="zh-TW" w:eastAsia="zh-TW"/>
        </w:rPr>
        <w:t>绩效目标自评表。</w:t>
      </w:r>
    </w:p>
    <w:p>
      <w:pPr>
        <w:keepNext w:val="0"/>
        <w:keepLines w:val="0"/>
        <w:pageBreakBefore w:val="0"/>
        <w:kinsoku/>
        <w:wordWrap/>
        <w:overflowPunct/>
        <w:topLinePunct w:val="0"/>
        <w:autoSpaceDE/>
        <w:autoSpaceDN/>
        <w:bidi w:val="0"/>
        <w:spacing w:beforeAutospacing="0" w:afterAutospacing="0" w:line="240" w:lineRule="auto"/>
        <w:ind w:right="0" w:rightChars="0" w:firstLine="300" w:firstLineChars="200"/>
        <w:jc w:val="left"/>
        <w:textAlignment w:val="auto"/>
        <w:outlineLvl w:val="9"/>
        <w:rPr>
          <w:rFonts w:hint="eastAsia" w:ascii="方正仿宋_GBK" w:hAnsi="方正仿宋_GBK" w:eastAsia="方正仿宋_GBK" w:cs="方正仿宋_GBK"/>
          <w:sz w:val="15"/>
          <w:szCs w:val="15"/>
          <w:lang w:val="en-US" w:eastAsia="zh-CN"/>
        </w:rPr>
      </w:pPr>
    </w:p>
    <w:tbl>
      <w:tblPr>
        <w:tblStyle w:val="9"/>
        <w:tblpPr w:leftFromText="180" w:rightFromText="180" w:vertAnchor="text" w:horzAnchor="page" w:tblpX="1629" w:tblpY="1470"/>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农田水利管理（山坪塘）</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50011221T000000053545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kern w:val="0"/>
                <w:sz w:val="15"/>
                <w:szCs w:val="15"/>
                <w:u w:val="none"/>
                <w:lang w:val="en-US" w:eastAsia="zh-CN" w:bidi="ar"/>
              </w:rPr>
            </w:pPr>
            <w:r>
              <w:rPr>
                <w:rFonts w:hint="eastAsia" w:ascii="方正仿宋_GBK" w:hAnsi="方正仿宋_GBK" w:eastAsia="方正仿宋_GBK" w:cs="方正仿宋_GBK"/>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kern w:val="0"/>
                <w:sz w:val="15"/>
                <w:szCs w:val="15"/>
                <w:u w:val="none"/>
                <w:lang w:val="en-US" w:eastAsia="zh-CN" w:bidi="ar"/>
              </w:rPr>
            </w:pPr>
            <w:r>
              <w:rPr>
                <w:rFonts w:hint="eastAsia" w:ascii="方正仿宋_GBK" w:hAnsi="方正仿宋_GBK" w:eastAsia="方正仿宋_GBK" w:cs="方正仿宋_GBK"/>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kern w:val="0"/>
                <w:sz w:val="15"/>
                <w:szCs w:val="15"/>
                <w:u w:val="none"/>
                <w:lang w:val="en-US" w:eastAsia="zh-CN" w:bidi="ar"/>
              </w:rPr>
            </w:pPr>
            <w:r>
              <w:rPr>
                <w:rFonts w:hint="eastAsia" w:ascii="方正仿宋_GBK" w:hAnsi="方正仿宋_GBK" w:eastAsia="方正仿宋_GBK" w:cs="方正仿宋_GBK"/>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kern w:val="0"/>
                <w:sz w:val="15"/>
                <w:szCs w:val="15"/>
                <w:u w:val="none"/>
                <w:lang w:val="en-US" w:eastAsia="zh-CN" w:bidi="ar"/>
              </w:rPr>
            </w:pPr>
            <w:r>
              <w:rPr>
                <w:rFonts w:hint="eastAsia" w:ascii="方正仿宋_GBK" w:hAnsi="方正仿宋_GBK" w:eastAsia="方正仿宋_GBK" w:cs="方正仿宋_GBK"/>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kern w:val="0"/>
                <w:sz w:val="15"/>
                <w:szCs w:val="15"/>
                <w:u w:val="none"/>
                <w:lang w:val="en-US" w:eastAsia="zh-CN" w:bidi="ar"/>
              </w:rPr>
            </w:pPr>
            <w:r>
              <w:rPr>
                <w:rFonts w:hint="eastAsia" w:ascii="方正仿宋_GBK" w:hAnsi="方正仿宋_GBK" w:eastAsia="方正仿宋_GBK" w:cs="方正仿宋_GBK"/>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kern w:val="0"/>
                <w:sz w:val="15"/>
                <w:szCs w:val="15"/>
                <w:u w:val="none"/>
                <w:lang w:val="en-US" w:eastAsia="zh-CN" w:bidi="ar"/>
              </w:rPr>
            </w:pPr>
            <w:r>
              <w:rPr>
                <w:rFonts w:hint="eastAsia" w:ascii="方正仿宋_GBK" w:hAnsi="方正仿宋_GBK" w:eastAsia="方正仿宋_GBK" w:cs="方正仿宋_GBK"/>
                <w:i w:val="0"/>
                <w:color w:val="000000"/>
                <w:kern w:val="0"/>
                <w:sz w:val="15"/>
                <w:szCs w:val="15"/>
                <w:u w:val="none"/>
                <w:lang w:val="en-US" w:eastAsia="zh-CN" w:bidi="ar"/>
              </w:rPr>
              <w:t>张怡</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67822278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5"/>
                <w:szCs w:val="15"/>
                <w:u w:val="none"/>
              </w:rPr>
            </w:pPr>
            <w:r>
              <w:rPr>
                <w:rFonts w:hint="eastAsia" w:ascii="方正仿宋_GBK" w:hAnsi="方正仿宋_GBK" w:eastAsia="方正仿宋_GBK" w:cs="方正仿宋_GBK"/>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 xml:space="preserve">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 xml:space="preserve">25,157.69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 xml:space="preserve">25,157.69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 xml:space="preserve">50,000.00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 xml:space="preserve">25,157.69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 xml:space="preserve">25,157.69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5"/>
                <w:szCs w:val="15"/>
                <w:u w:val="none"/>
              </w:rPr>
            </w:pPr>
            <w:r>
              <w:rPr>
                <w:rFonts w:hint="eastAsia" w:ascii="方正仿宋_GBK" w:hAnsi="方正仿宋_GBK" w:eastAsia="方正仿宋_GBK" w:cs="方正仿宋_GBK"/>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全区山坪塘、灌区行业监督和指导，保障山坪塘和灌区的正常运行。</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方正仿宋_GBK" w:hAnsi="方正仿宋_GBK" w:eastAsia="方正仿宋_GBK" w:cs="方正仿宋_GBK"/>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全区山坪塘、灌区行业监督和指导，保障山坪塘和灌区的正常运行。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15"/>
                <w:szCs w:val="15"/>
                <w:u w:val="none"/>
              </w:rPr>
            </w:pPr>
            <w:r>
              <w:rPr>
                <w:rFonts w:hint="eastAsia" w:ascii="方正仿宋_GBK" w:hAnsi="方正仿宋_GBK" w:eastAsia="方正仿宋_GBK" w:cs="方正仿宋_GBK"/>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5"/>
                <w:szCs w:val="15"/>
                <w:u w:val="none"/>
              </w:rPr>
            </w:pPr>
            <w:r>
              <w:rPr>
                <w:rFonts w:hint="eastAsia" w:ascii="方正仿宋_GBK" w:hAnsi="方正仿宋_GBK" w:eastAsia="方正仿宋_GBK" w:cs="方正仿宋_GBK"/>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完成全区</w:t>
            </w:r>
            <w:bookmarkStart w:id="0" w:name="_GoBack"/>
            <w:bookmarkEnd w:id="0"/>
            <w:r>
              <w:rPr>
                <w:rFonts w:hint="eastAsia" w:ascii="方正仿宋_GBK" w:hAnsi="方正仿宋_GBK" w:eastAsia="方正仿宋_GBK" w:cs="方正仿宋_GBK"/>
                <w:i w:val="0"/>
                <w:color w:val="000000"/>
                <w:kern w:val="0"/>
                <w:sz w:val="15"/>
                <w:szCs w:val="15"/>
                <w:u w:val="none"/>
                <w:lang w:val="en-US" w:eastAsia="zh-CN" w:bidi="ar"/>
              </w:rPr>
              <w:t>山坪塘、灌区行政管理</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40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完成时间</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项目成本</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万元</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0.25157</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因区财政对该项目预算数进行了调整。</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管理效果</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处</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中</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5"/>
                <w:szCs w:val="15"/>
                <w:u w:val="none"/>
                <w:lang w:val="en-US" w:eastAsia="zh-CN" w:bidi="ar"/>
              </w:rPr>
            </w:pPr>
            <w:r>
              <w:rPr>
                <w:rFonts w:hint="eastAsia" w:ascii="方正仿宋_GBK" w:hAnsi="方正仿宋_GBK" w:eastAsia="方正仿宋_GBK" w:cs="方正仿宋_GBK"/>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15"/>
                <w:szCs w:val="15"/>
                <w:u w:val="none"/>
              </w:rPr>
            </w:pPr>
          </w:p>
        </w:tc>
      </w:tr>
    </w:tbl>
    <w:p>
      <w:pPr>
        <w:pStyle w:val="2"/>
        <w:rPr>
          <w:rFonts w:hint="eastAsia" w:ascii="方正仿宋_GBK" w:hAnsi="方正仿宋_GBK" w:eastAsia="方正仿宋_GBK" w:cs="方正仿宋_GBK"/>
          <w:sz w:val="15"/>
          <w:szCs w:val="15"/>
          <w:lang w:val="en-US" w:eastAsia="zh-CN"/>
        </w:rPr>
      </w:pPr>
    </w:p>
    <w:p>
      <w:pPr>
        <w:pStyle w:val="2"/>
        <w:rPr>
          <w:rFonts w:hint="eastAsia" w:ascii="方正仿宋_GBK" w:hAnsi="方正仿宋_GBK" w:eastAsia="方正仿宋_GBK" w:cs="方正仿宋_GBK"/>
          <w:sz w:val="32"/>
          <w:szCs w:val="32"/>
          <w:lang w:val="zh-TW" w:eastAsia="zh-TW"/>
        </w:rPr>
      </w:pPr>
    </w:p>
    <w:tbl>
      <w:tblPr>
        <w:tblStyle w:val="9"/>
        <w:tblpPr w:leftFromText="180" w:rightFromText="180" w:vertAnchor="text" w:horzAnchor="page" w:tblpX="1624" w:tblpY="599"/>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水库监控中心运行维护</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50011221T000000053547</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柯文利</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67822278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4,560.00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4,560.00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20,000.00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4,560.00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4,560.00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2022年5月1日-2023年4月30日为区级监控中心设施设备的正常运行提供保障</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2022年5月1日-2023年4月30日为区级监控中心设施设备的正常运行提供保障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设备数量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套</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设备正常运行时间</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设施设备正常运行</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为水库安全运行管理提供保障和便利</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2"/>
        <w:rPr>
          <w:rFonts w:hint="eastAsia"/>
          <w:lang w:val="zh-TW" w:eastAsia="zh-TW"/>
        </w:rPr>
      </w:pPr>
    </w:p>
    <w:tbl>
      <w:tblPr>
        <w:tblStyle w:val="9"/>
        <w:tblpPr w:leftFromText="180" w:rightFromText="180" w:vertAnchor="text" w:horzAnchor="page" w:tblpX="1624" w:tblpY="599"/>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农田灌溉水有效利用系数测算</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50011221T000000053548</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柯文利</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67822278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100,000.00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100,000.00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100,000.00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灌溉水系数达到市水利局下达的任务指标，完成农田灌溉水有效利用系数测算。</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灌溉水系数达到市水利局下达的任务指标，完成农田灌溉水有效利用系数测算。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灌溉水测算系数测算报告</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套</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报告合格率</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灌溉水系数分析准确率</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2"/>
      </w:pPr>
    </w:p>
    <w:tbl>
      <w:tblPr>
        <w:tblStyle w:val="9"/>
        <w:tblpPr w:leftFromText="180" w:rightFromText="180" w:vertAnchor="text" w:horzAnchor="page" w:tblpX="1624" w:tblpY="599"/>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369"/>
        <w:gridCol w:w="281"/>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编外聘用人员经费</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50011222T000000068165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柯文利</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67822278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400,000.00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398,289.24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398,289.24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400,000.00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398,289.24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398,289.24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从事水利工程建设管理、农村饮水安全工程建设与运行管理及内部运行管理等工作。</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从事水利工程建设管理、农村饮水安全工程建设与运行管理及内部运行管理等工作。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编外人员</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聘请编外人员成本</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万元/年</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改善农村生产生活条件</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7884"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Pr>
        <w:pStyle w:val="2"/>
      </w:pPr>
    </w:p>
    <w:tbl>
      <w:tblPr>
        <w:tblStyle w:val="9"/>
        <w:tblpPr w:leftFromText="180" w:rightFromText="180" w:vertAnchor="text" w:horzAnchor="page" w:tblpX="1624" w:tblpY="599"/>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2"/>
        <w:gridCol w:w="176"/>
        <w:gridCol w:w="474"/>
        <w:gridCol w:w="398"/>
        <w:gridCol w:w="1015"/>
        <w:gridCol w:w="599"/>
        <w:gridCol w:w="669"/>
        <w:gridCol w:w="1092"/>
        <w:gridCol w:w="381"/>
        <w:gridCol w:w="447"/>
        <w:gridCol w:w="816"/>
        <w:gridCol w:w="1033"/>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农村饮水工程维修养护</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50011222T000002038761</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项目主管部门：</w:t>
            </w:r>
          </w:p>
        </w:tc>
        <w:tc>
          <w:tcPr>
            <w:tcW w:w="10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405-重庆市渝北区水利局</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财政归口处室：</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007-农业农村科</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部门联系人：</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柯文利</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67822278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年初预算数</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3,130,000.00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3,246,000.00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3,246,000.00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18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3,130,000.00 </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3,246,000.00 </w:t>
            </w:r>
          </w:p>
        </w:tc>
        <w:tc>
          <w:tcPr>
            <w:tcW w:w="147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3,246,000.00 </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sz w:val="15"/>
                <w:szCs w:val="15"/>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74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全年（调整）绩效目标</w:t>
            </w:r>
          </w:p>
        </w:tc>
        <w:tc>
          <w:tcPr>
            <w:tcW w:w="344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321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农村饮水工程维修养护数量69处，农村饮水工程维修养护覆盖服务人口11万人。</w:t>
            </w:r>
          </w:p>
        </w:tc>
        <w:tc>
          <w:tcPr>
            <w:tcW w:w="2741" w:type="dxa"/>
            <w:gridSpan w:val="4"/>
            <w:tcBorders>
              <w:top w:val="single" w:color="000000" w:sz="4" w:space="0"/>
              <w:left w:val="single" w:color="000000" w:sz="4" w:space="0"/>
              <w:bottom w:val="single" w:color="000000" w:sz="4" w:space="0"/>
              <w:right w:val="single" w:color="000000" w:sz="4" w:space="0"/>
            </w:tcBorders>
            <w:vAlign w:val="top"/>
          </w:tcPr>
          <w:p>
            <w:pPr>
              <w:jc w:val="left"/>
              <w:rPr>
                <w:sz w:val="15"/>
                <w:szCs w:val="15"/>
              </w:rPr>
            </w:pPr>
          </w:p>
        </w:tc>
        <w:tc>
          <w:tcPr>
            <w:tcW w:w="3449"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农村饮水工程维修养护数量69处，农村饮水工程维修养护覆盖服务人口11万人。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9405"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说明</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工程维修养护数量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69</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69</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项目质量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处</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定性</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截至2022年底，投资完成比例</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工程维修养护覆盖服务人口数量</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万人</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受益群众满意度</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r>
              <w:rPr>
                <w:rFonts w:hint="eastAsia" w:ascii="宋体" w:hAnsi="宋体" w:eastAsia="宋体" w:cs="宋体"/>
                <w:i w:val="0"/>
                <w:color w:val="000000"/>
                <w:kern w:val="0"/>
                <w:sz w:val="15"/>
                <w:szCs w:val="15"/>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p>
        </w:tc>
        <w:tc>
          <w:tcPr>
            <w:tcW w:w="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p>
        </w:tc>
        <w:tc>
          <w:tcPr>
            <w:tcW w:w="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3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未完成绩效目标或偏离较多的原因、改进措施及其他说明</w:t>
            </w:r>
          </w:p>
        </w:tc>
        <w:tc>
          <w:tcPr>
            <w:tcW w:w="8077"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bl>
    <w:p/>
    <w:p>
      <w:pPr>
        <w:pStyle w:val="2"/>
      </w:pPr>
    </w:p>
    <w:p>
      <w:pPr>
        <w:pStyle w:val="18"/>
        <w:tabs>
          <w:tab w:val="center" w:pos="4153"/>
          <w:tab w:val="left" w:pos="7275"/>
        </w:tabs>
        <w:spacing w:line="560" w:lineRule="exact"/>
        <w:ind w:firstLine="64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2.绩效自评报告或案例。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我站是采用填报目标自评表形式开展绩效自评，没有绩效自评报告。</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Times New Roman" w:hAnsi="Times New Roman" w:eastAsia="方正仿宋_GBK" w:cs="宋体"/>
          <w:kern w:val="0"/>
          <w:sz w:val="32"/>
          <w:szCs w:val="32"/>
        </w:rPr>
        <w:t>3.关于绩效自评结果的说明。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经评价，各项目均达到了年度绩效目标。</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仿宋_GBK" w:hAnsi="方正仿宋_GBK" w:eastAsia="方正仿宋_GBK" w:cs="方正仿宋_GBK"/>
          <w:sz w:val="32"/>
          <w:szCs w:val="32"/>
          <w:lang w:val="zh-TW" w:eastAsia="zh-TW"/>
        </w:rPr>
        <w:t>我站是采用填报目标自评表形式开展绩效自评，没有重点绩效自评项目。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eastAsia="方正黑体_GBK"/>
          <w:sz w:val="32"/>
          <w:szCs w:val="32"/>
        </w:rPr>
      </w:pPr>
      <w:r>
        <w:rPr>
          <w:rFonts w:hint="eastAsia" w:eastAsia="方正黑体_GBK"/>
          <w:sz w:val="32"/>
          <w:szCs w:val="32"/>
        </w:rPr>
        <w:t>六、专业名词解释</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（一）财政拨款收入：</w:t>
      </w:r>
      <w:r>
        <w:rPr>
          <w:rFonts w:hint="eastAsia" w:ascii="方正仿宋_GBK" w:hAnsi="方正仿宋_GBK" w:eastAsia="方正仿宋_GBK" w:cs="方正仿宋_GBK"/>
          <w:sz w:val="32"/>
          <w:szCs w:val="32"/>
          <w:lang w:val="zh-TW" w:eastAsia="zh-TW"/>
        </w:rPr>
        <w:t>指本年度从本级财政部门取得的财政拨款，包括一般公共预算财政拨款和政府性基金预算财政拨款。</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（二）事业收入：</w:t>
      </w:r>
      <w:r>
        <w:rPr>
          <w:rFonts w:hint="eastAsia" w:ascii="方正仿宋_GBK" w:hAnsi="方正仿宋_GBK" w:eastAsia="方正仿宋_GBK" w:cs="方正仿宋_GBK"/>
          <w:sz w:val="32"/>
          <w:szCs w:val="32"/>
          <w:lang w:val="zh-TW" w:eastAsia="zh-TW"/>
        </w:rPr>
        <w:t>指事业单位开展专业业务活动及其辅助活动取得的现金流入；事业单位收到的财政专户实际核拨的教育收费等资金在此反映。</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lang w:val="en-US" w:eastAsia="zh-CN" w:bidi="ar-SA"/>
        </w:rPr>
        <w:t>（三）经营收入：</w:t>
      </w:r>
      <w:r>
        <w:rPr>
          <w:rFonts w:hint="eastAsia" w:ascii="方正仿宋_GBK" w:hAnsi="方正仿宋_GBK" w:eastAsia="方正仿宋_GBK" w:cs="方正仿宋_GBK"/>
          <w:sz w:val="32"/>
          <w:szCs w:val="32"/>
          <w:lang w:val="zh-TW" w:eastAsia="zh-TW"/>
        </w:rPr>
        <w:t>指事业单位在专业业务活动及其辅助活动之外开展非独立核算经营活动取得的现金流入。</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（四）其他收入：</w:t>
      </w:r>
      <w:r>
        <w:rPr>
          <w:rFonts w:hint="eastAsia" w:ascii="方正仿宋_GBK" w:hAnsi="方正仿宋_GBK" w:eastAsia="方正仿宋_GBK" w:cs="方正仿宋_GBK"/>
          <w:sz w:val="32"/>
          <w:szCs w:val="32"/>
          <w:lang w:val="zh-TW" w:eastAsia="zh-TW"/>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（五）使用非财政拨款结余：</w:t>
      </w:r>
      <w:r>
        <w:rPr>
          <w:rFonts w:hint="eastAsia" w:ascii="方正仿宋_GBK" w:hAnsi="方正仿宋_GBK" w:eastAsia="方正仿宋_GBK" w:cs="方正仿宋_GBK"/>
          <w:sz w:val="32"/>
          <w:szCs w:val="32"/>
          <w:lang w:val="zh-TW" w:eastAsia="zh-TW"/>
        </w:rPr>
        <w:t>指单位在当年的“财政拨款收入”、“事业收入”、“经营收入”、“其他收入”等不足以安排当年支出的情况下，使用以前年度积累的非财政拨款结余弥补本年度收支缺口的资金。</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（六）年初结转和结余：</w:t>
      </w:r>
      <w:r>
        <w:rPr>
          <w:rFonts w:hint="eastAsia" w:ascii="方正仿宋_GBK" w:hAnsi="方正仿宋_GBK" w:eastAsia="方正仿宋_GBK" w:cs="方正仿宋_GBK"/>
          <w:sz w:val="32"/>
          <w:szCs w:val="32"/>
          <w:lang w:val="zh-TW" w:eastAsia="zh-TW"/>
        </w:rPr>
        <w:t>指单位上年结转本年使用的基本支出结转、项目支出结转和结余、经营结余。</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（七）结余分配：</w:t>
      </w:r>
      <w:r>
        <w:rPr>
          <w:rFonts w:hint="eastAsia" w:ascii="方正仿宋_GBK" w:hAnsi="方正仿宋_GBK" w:eastAsia="方正仿宋_GBK" w:cs="方正仿宋_GBK"/>
          <w:sz w:val="32"/>
          <w:szCs w:val="32"/>
          <w:lang w:val="zh-TW" w:eastAsia="zh-TW"/>
        </w:rPr>
        <w:t>指单位按照国家有关规定，缴纳所得税、提取专用基金、转入非财政拨款结余等当年结余的分配情况。</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（八）年末结转和结余：</w:t>
      </w:r>
      <w:r>
        <w:rPr>
          <w:rFonts w:hint="eastAsia" w:ascii="方正仿宋_GBK" w:hAnsi="方正仿宋_GBK" w:eastAsia="方正仿宋_GBK" w:cs="方正仿宋_GBK"/>
          <w:sz w:val="32"/>
          <w:szCs w:val="32"/>
          <w:lang w:val="zh-TW" w:eastAsia="zh-TW"/>
        </w:rPr>
        <w:t>指单位结转下年的基本支出结转、项目支出结转和结余、经营结余。</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（九）基本支出：</w:t>
      </w:r>
      <w:r>
        <w:rPr>
          <w:rFonts w:hint="eastAsia" w:ascii="方正仿宋_GBK" w:hAnsi="方正仿宋_GBK" w:eastAsia="方正仿宋_GBK" w:cs="方正仿宋_GBK"/>
          <w:sz w:val="32"/>
          <w:szCs w:val="32"/>
          <w:lang w:val="zh-TW" w:eastAsia="zh-TW"/>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（十）项目支出：</w:t>
      </w:r>
      <w:r>
        <w:rPr>
          <w:rFonts w:hint="eastAsia" w:ascii="方正仿宋_GBK" w:hAnsi="方正仿宋_GBK" w:eastAsia="方正仿宋_GBK" w:cs="方正仿宋_GBK"/>
          <w:sz w:val="32"/>
          <w:szCs w:val="32"/>
          <w:lang w:val="zh-TW" w:eastAsia="zh-TW"/>
        </w:rPr>
        <w:t>指在基本支出之外为完成特定行政任务和事业发展目标所发生的支出。</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（十一）经营支出：</w:t>
      </w:r>
      <w:r>
        <w:rPr>
          <w:rFonts w:hint="eastAsia" w:ascii="方正仿宋_GBK" w:hAnsi="方正仿宋_GBK" w:eastAsia="方正仿宋_GBK" w:cs="方正仿宋_GBK"/>
          <w:sz w:val="32"/>
          <w:szCs w:val="32"/>
          <w:lang w:val="zh-TW" w:eastAsia="zh-TW"/>
        </w:rPr>
        <w:t>指事业单位在专业业务活动及其辅助活动之外开展非独立核算经营活动发生的支出。</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（十二）“三公”经费：</w:t>
      </w:r>
      <w:r>
        <w:rPr>
          <w:rFonts w:hint="eastAsia" w:ascii="方正仿宋_GBK" w:hAnsi="方正仿宋_GBK" w:eastAsia="方正仿宋_GBK" w:cs="方正仿宋_GBK"/>
          <w:sz w:val="32"/>
          <w:szCs w:val="32"/>
          <w:lang w:val="zh-TW" w:eastAsia="zh-TW"/>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（十三）机关运行经费：</w:t>
      </w:r>
      <w:r>
        <w:rPr>
          <w:rFonts w:hint="eastAsia" w:ascii="方正仿宋_GBK" w:hAnsi="方正仿宋_GBK" w:eastAsia="方正仿宋_GBK" w:cs="方正仿宋_GBK"/>
          <w:sz w:val="32"/>
          <w:szCs w:val="32"/>
          <w:lang w:val="zh-TW" w:eastAsia="zh-TW"/>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（十四）工资福利支出（支出经济分类科目类级）：</w:t>
      </w:r>
      <w:r>
        <w:rPr>
          <w:rFonts w:hint="eastAsia" w:ascii="方正仿宋_GBK" w:hAnsi="方正仿宋_GBK" w:eastAsia="方正仿宋_GBK" w:cs="方正仿宋_GBK"/>
          <w:sz w:val="32"/>
          <w:szCs w:val="32"/>
          <w:lang w:val="zh-TW" w:eastAsia="zh-TW"/>
        </w:rPr>
        <w:t>反映单位开支的在职职工和编制外长期聘用人员的各类劳动报酬，以及为上述人员缴纳的各项社会保险费等。</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lang w:val="en-US" w:eastAsia="zh-CN" w:bidi="ar-SA"/>
        </w:rPr>
        <w:t>（十五）商品和服务支出（支出经济分类科目类级）：</w:t>
      </w:r>
      <w:r>
        <w:rPr>
          <w:rFonts w:hint="eastAsia" w:ascii="方正仿宋_GBK" w:hAnsi="方正仿宋_GBK" w:eastAsia="方正仿宋_GBK" w:cs="方正仿宋_GBK"/>
          <w:sz w:val="32"/>
          <w:szCs w:val="32"/>
          <w:lang w:val="zh-TW" w:eastAsia="zh-TW"/>
        </w:rPr>
        <w:t>反映单位购买商品和服务的支出（不包括用于购置固定资产的支出、战略性和应急储备支出）。</w:t>
      </w:r>
    </w:p>
    <w:p>
      <w:pPr>
        <w:pStyle w:val="18"/>
        <w:keepNext w:val="0"/>
        <w:keepLines w:val="0"/>
        <w:pageBreakBefore w:val="0"/>
        <w:widowControl w:val="0"/>
        <w:tabs>
          <w:tab w:val="center" w:pos="4153"/>
          <w:tab w:val="left" w:pos="7275"/>
        </w:tabs>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lang w:val="en-US" w:eastAsia="zh-CN" w:bidi="ar-SA"/>
        </w:rPr>
        <w:t>（十六）对个人和家庭的补助（支出经济分类科目类级）：</w:t>
      </w:r>
      <w:r>
        <w:rPr>
          <w:rFonts w:hint="eastAsia" w:ascii="方正仿宋_GBK" w:hAnsi="方正仿宋_GBK" w:eastAsia="方正仿宋_GBK" w:cs="方正仿宋_GBK"/>
          <w:sz w:val="32"/>
          <w:szCs w:val="32"/>
          <w:lang w:val="zh-TW" w:eastAsia="zh-TW"/>
        </w:rPr>
        <w:t>反映用于对个人和家庭的补助支出。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TW" w:eastAsia="zh-TW"/>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方正仿宋_GBK" w:hAnsi="方正仿宋_GBK" w:eastAsia="方正仿宋_GBK" w:cs="方正仿宋_GBK"/>
          <w:sz w:val="32"/>
          <w:szCs w:val="32"/>
          <w:lang w:val="zh-TW" w:eastAsia="zh-TW"/>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val="0"/>
        <w:tabs>
          <w:tab w:val="center" w:pos="4153"/>
          <w:tab w:val="left" w:pos="7275"/>
        </w:tabs>
        <w:kinsoku/>
        <w:wordWrap/>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方正黑体_GBK" w:cs="Times New Roman"/>
          <w:sz w:val="32"/>
          <w:szCs w:val="32"/>
          <w:lang w:val="zh-TW" w:eastAsia="zh-TW"/>
        </w:rPr>
      </w:pPr>
      <w:r>
        <w:rPr>
          <w:rFonts w:hint="eastAsia" w:ascii="Times New Roman" w:hAnsi="Times New Roman" w:eastAsia="方正黑体_GBK" w:cs="Times New Roman"/>
          <w:sz w:val="32"/>
          <w:szCs w:val="32"/>
          <w:lang w:val="zh-TW" w:eastAsia="zh-TW"/>
        </w:rPr>
        <w:t>七、决算公开联系方式及信息反馈渠道</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仿宋_GBK" w:eastAsia="方正仿宋_GBK"/>
          <w:snapToGrid w:val="0"/>
          <w:kern w:val="32"/>
          <w:sz w:val="32"/>
          <w:szCs w:val="24"/>
          <w:lang w:val="zh-TW" w:eastAsia="zh-TW"/>
        </w:rPr>
      </w:pPr>
      <w:r>
        <w:rPr>
          <w:rFonts w:hint="eastAsia" w:ascii="方正仿宋_GBK" w:eastAsia="方正仿宋_GBK"/>
          <w:snapToGrid w:val="0"/>
          <w:kern w:val="32"/>
          <w:sz w:val="32"/>
          <w:szCs w:val="24"/>
          <w:lang w:val="zh-TW" w:eastAsia="zh-TW"/>
        </w:rPr>
        <w:t>部门决算公开联系人：胡志娟</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仿宋_GBK" w:eastAsia="方正仿宋_GBK"/>
          <w:snapToGrid w:val="0"/>
          <w:kern w:val="32"/>
          <w:sz w:val="32"/>
          <w:szCs w:val="24"/>
          <w:lang w:val="zh-TW" w:eastAsia="zh-TW"/>
        </w:rPr>
      </w:pPr>
      <w:r>
        <w:rPr>
          <w:rFonts w:hint="eastAsia" w:ascii="方正仿宋_GBK" w:eastAsia="方正仿宋_GBK"/>
          <w:snapToGrid w:val="0"/>
          <w:kern w:val="32"/>
          <w:sz w:val="32"/>
          <w:szCs w:val="24"/>
          <w:lang w:val="zh-TW" w:eastAsia="zh-TW"/>
        </w:rPr>
        <w:t>联系电话：023-67822433</w:t>
      </w:r>
    </w:p>
    <w:p>
      <w:pPr>
        <w:snapToGrid w:val="0"/>
        <w:spacing w:line="600" w:lineRule="exact"/>
        <w:ind w:firstLine="640" w:firstLineChars="200"/>
        <w:rPr>
          <w:rFonts w:hint="eastAsia" w:ascii="方正仿宋_GBK" w:eastAsia="方正仿宋_GBK"/>
          <w:snapToGrid w:val="0"/>
          <w:kern w:val="32"/>
          <w:sz w:val="32"/>
          <w:szCs w:val="24"/>
          <w:lang w:val="zh-TW" w:eastAsia="zh-TW"/>
        </w:rPr>
      </w:pPr>
      <w:r>
        <w:rPr>
          <w:rFonts w:hint="eastAsia" w:ascii="方正仿宋_GBK" w:eastAsia="方正仿宋_GBK"/>
          <w:snapToGrid w:val="0"/>
          <w:kern w:val="32"/>
          <w:sz w:val="32"/>
          <w:szCs w:val="24"/>
          <w:lang w:val="zh-TW" w:eastAsia="zh-TW"/>
        </w:rPr>
        <w:t>邮箱：168116809@QQ.COM</w:t>
      </w:r>
    </w:p>
    <w:p>
      <w:pPr>
        <w:snapToGrid w:val="0"/>
        <w:spacing w:line="600" w:lineRule="exact"/>
        <w:ind w:firstLine="640" w:firstLineChars="200"/>
        <w:rPr>
          <w:rFonts w:hint="eastAsia" w:ascii="方正仿宋_GBK" w:eastAsia="方正仿宋_GBK"/>
          <w:snapToGrid w:val="0"/>
          <w:kern w:val="32"/>
          <w:sz w:val="32"/>
          <w:szCs w:val="24"/>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F225D"/>
    <w:multiLevelType w:val="multilevel"/>
    <w:tmpl w:val="728F22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473C"/>
    <w:rsid w:val="00032141"/>
    <w:rsid w:val="0011070E"/>
    <w:rsid w:val="00151D60"/>
    <w:rsid w:val="00156EB1"/>
    <w:rsid w:val="002D4808"/>
    <w:rsid w:val="0040727D"/>
    <w:rsid w:val="00544452"/>
    <w:rsid w:val="005762B9"/>
    <w:rsid w:val="00613C6C"/>
    <w:rsid w:val="006B473C"/>
    <w:rsid w:val="00730C6F"/>
    <w:rsid w:val="00753076"/>
    <w:rsid w:val="00867374"/>
    <w:rsid w:val="00867C50"/>
    <w:rsid w:val="00896003"/>
    <w:rsid w:val="008E735E"/>
    <w:rsid w:val="00AB58B4"/>
    <w:rsid w:val="00B12116"/>
    <w:rsid w:val="00B45D4D"/>
    <w:rsid w:val="00B63700"/>
    <w:rsid w:val="00B8171C"/>
    <w:rsid w:val="00BF4711"/>
    <w:rsid w:val="00C643F8"/>
    <w:rsid w:val="00C85545"/>
    <w:rsid w:val="00D43D01"/>
    <w:rsid w:val="00DB16C7"/>
    <w:rsid w:val="00DC0D39"/>
    <w:rsid w:val="00DC2063"/>
    <w:rsid w:val="00DD4618"/>
    <w:rsid w:val="00FF75D7"/>
    <w:rsid w:val="0108415D"/>
    <w:rsid w:val="01413347"/>
    <w:rsid w:val="031130E7"/>
    <w:rsid w:val="03682842"/>
    <w:rsid w:val="03A35EEC"/>
    <w:rsid w:val="03AB3DAE"/>
    <w:rsid w:val="03CC0E91"/>
    <w:rsid w:val="03D92996"/>
    <w:rsid w:val="043F71A3"/>
    <w:rsid w:val="047E4E70"/>
    <w:rsid w:val="04C72E01"/>
    <w:rsid w:val="04F07334"/>
    <w:rsid w:val="061E06A9"/>
    <w:rsid w:val="06446CAF"/>
    <w:rsid w:val="06CF32B5"/>
    <w:rsid w:val="06E034C4"/>
    <w:rsid w:val="06F54FD7"/>
    <w:rsid w:val="07734C9C"/>
    <w:rsid w:val="07C4294D"/>
    <w:rsid w:val="07D00D6E"/>
    <w:rsid w:val="080F5748"/>
    <w:rsid w:val="08367FA2"/>
    <w:rsid w:val="08BE4BC7"/>
    <w:rsid w:val="09001CEF"/>
    <w:rsid w:val="092C3C8B"/>
    <w:rsid w:val="09A33404"/>
    <w:rsid w:val="0A4B5EE1"/>
    <w:rsid w:val="0A4D50F9"/>
    <w:rsid w:val="0A614614"/>
    <w:rsid w:val="0A715AA3"/>
    <w:rsid w:val="0AFD676F"/>
    <w:rsid w:val="0B671B54"/>
    <w:rsid w:val="0BF33CDD"/>
    <w:rsid w:val="0CA6694D"/>
    <w:rsid w:val="0CC43E9F"/>
    <w:rsid w:val="0D6D17FF"/>
    <w:rsid w:val="0D7050D2"/>
    <w:rsid w:val="0D802F15"/>
    <w:rsid w:val="0DB95CF4"/>
    <w:rsid w:val="0E324103"/>
    <w:rsid w:val="0E4E1324"/>
    <w:rsid w:val="0F180E96"/>
    <w:rsid w:val="0F197105"/>
    <w:rsid w:val="0F64292D"/>
    <w:rsid w:val="0FC76A15"/>
    <w:rsid w:val="0FE02C89"/>
    <w:rsid w:val="11BF69DF"/>
    <w:rsid w:val="124B45A9"/>
    <w:rsid w:val="13497C8E"/>
    <w:rsid w:val="13552CD9"/>
    <w:rsid w:val="13BC168F"/>
    <w:rsid w:val="13DD16F4"/>
    <w:rsid w:val="140B0BD4"/>
    <w:rsid w:val="14CA2FDD"/>
    <w:rsid w:val="15FE46EF"/>
    <w:rsid w:val="164F35FD"/>
    <w:rsid w:val="167B28ED"/>
    <w:rsid w:val="16C67AE1"/>
    <w:rsid w:val="17FC4B3F"/>
    <w:rsid w:val="18351141"/>
    <w:rsid w:val="18BB5371"/>
    <w:rsid w:val="191A4742"/>
    <w:rsid w:val="19C1672F"/>
    <w:rsid w:val="19CC7454"/>
    <w:rsid w:val="1B007D53"/>
    <w:rsid w:val="1B0D17CC"/>
    <w:rsid w:val="1B4406BA"/>
    <w:rsid w:val="1BBF52CA"/>
    <w:rsid w:val="1CFF6AB5"/>
    <w:rsid w:val="1D1738A7"/>
    <w:rsid w:val="1D267479"/>
    <w:rsid w:val="1D4D350B"/>
    <w:rsid w:val="1D5D5B4A"/>
    <w:rsid w:val="1DC51D77"/>
    <w:rsid w:val="1DEC4772"/>
    <w:rsid w:val="1E6140A5"/>
    <w:rsid w:val="1FD53F57"/>
    <w:rsid w:val="20022CB9"/>
    <w:rsid w:val="21680529"/>
    <w:rsid w:val="21A36DC2"/>
    <w:rsid w:val="21DE52A3"/>
    <w:rsid w:val="22570BF7"/>
    <w:rsid w:val="225A1037"/>
    <w:rsid w:val="226F3CFA"/>
    <w:rsid w:val="227E7176"/>
    <w:rsid w:val="22D41E0D"/>
    <w:rsid w:val="23205652"/>
    <w:rsid w:val="237A0A0F"/>
    <w:rsid w:val="23E233AE"/>
    <w:rsid w:val="25371FDE"/>
    <w:rsid w:val="25722609"/>
    <w:rsid w:val="25883709"/>
    <w:rsid w:val="25C357CA"/>
    <w:rsid w:val="2620701E"/>
    <w:rsid w:val="264E2C04"/>
    <w:rsid w:val="270601D4"/>
    <w:rsid w:val="27882886"/>
    <w:rsid w:val="279D46BE"/>
    <w:rsid w:val="27A036C4"/>
    <w:rsid w:val="27E171E6"/>
    <w:rsid w:val="281A0F21"/>
    <w:rsid w:val="281E46E8"/>
    <w:rsid w:val="28E07925"/>
    <w:rsid w:val="2A2269F9"/>
    <w:rsid w:val="2A33281B"/>
    <w:rsid w:val="2A3A14BC"/>
    <w:rsid w:val="2A4F0BB0"/>
    <w:rsid w:val="2A502D8C"/>
    <w:rsid w:val="2A5148B8"/>
    <w:rsid w:val="2AA835AA"/>
    <w:rsid w:val="2ABD64AC"/>
    <w:rsid w:val="2BA75582"/>
    <w:rsid w:val="2BA9619F"/>
    <w:rsid w:val="2D0660DA"/>
    <w:rsid w:val="2D434CE4"/>
    <w:rsid w:val="2D490D18"/>
    <w:rsid w:val="2D633D89"/>
    <w:rsid w:val="2DD769CE"/>
    <w:rsid w:val="2DE65EC7"/>
    <w:rsid w:val="2F2B0A09"/>
    <w:rsid w:val="2F42759F"/>
    <w:rsid w:val="2F934389"/>
    <w:rsid w:val="2F9A0B72"/>
    <w:rsid w:val="2FEC01BE"/>
    <w:rsid w:val="3002729C"/>
    <w:rsid w:val="300F4777"/>
    <w:rsid w:val="304E2004"/>
    <w:rsid w:val="308F2FB0"/>
    <w:rsid w:val="31353E51"/>
    <w:rsid w:val="31BC0631"/>
    <w:rsid w:val="31CB4A47"/>
    <w:rsid w:val="31F23644"/>
    <w:rsid w:val="32EF1E29"/>
    <w:rsid w:val="331045A2"/>
    <w:rsid w:val="33634259"/>
    <w:rsid w:val="33F6435B"/>
    <w:rsid w:val="34DC6F05"/>
    <w:rsid w:val="350A045A"/>
    <w:rsid w:val="35363D75"/>
    <w:rsid w:val="3538132B"/>
    <w:rsid w:val="35480EAC"/>
    <w:rsid w:val="35960E3F"/>
    <w:rsid w:val="36133894"/>
    <w:rsid w:val="365A19BB"/>
    <w:rsid w:val="368D29A8"/>
    <w:rsid w:val="36B03C38"/>
    <w:rsid w:val="371521DE"/>
    <w:rsid w:val="38515801"/>
    <w:rsid w:val="386311DA"/>
    <w:rsid w:val="38E01FFD"/>
    <w:rsid w:val="39E61C2A"/>
    <w:rsid w:val="3A09273C"/>
    <w:rsid w:val="3A156A22"/>
    <w:rsid w:val="3A764BA0"/>
    <w:rsid w:val="3B894295"/>
    <w:rsid w:val="3C065A43"/>
    <w:rsid w:val="3C1859A0"/>
    <w:rsid w:val="3C241287"/>
    <w:rsid w:val="3C274AB4"/>
    <w:rsid w:val="3C5D3870"/>
    <w:rsid w:val="3D3D6144"/>
    <w:rsid w:val="3D805D03"/>
    <w:rsid w:val="3EBF74B8"/>
    <w:rsid w:val="3F820608"/>
    <w:rsid w:val="40432AE2"/>
    <w:rsid w:val="412C0A84"/>
    <w:rsid w:val="417B61A0"/>
    <w:rsid w:val="426806A8"/>
    <w:rsid w:val="43183EA9"/>
    <w:rsid w:val="43A7793A"/>
    <w:rsid w:val="442B17B9"/>
    <w:rsid w:val="44351A84"/>
    <w:rsid w:val="46666DBA"/>
    <w:rsid w:val="46816DA4"/>
    <w:rsid w:val="469067EA"/>
    <w:rsid w:val="46DF1D0C"/>
    <w:rsid w:val="46E83A24"/>
    <w:rsid w:val="473C2B4C"/>
    <w:rsid w:val="494B5FCE"/>
    <w:rsid w:val="49D13901"/>
    <w:rsid w:val="4AB23078"/>
    <w:rsid w:val="4AC67EDF"/>
    <w:rsid w:val="4ACD7A85"/>
    <w:rsid w:val="4AFE6C8C"/>
    <w:rsid w:val="4BE23FC5"/>
    <w:rsid w:val="4C6B09C9"/>
    <w:rsid w:val="4DC2471D"/>
    <w:rsid w:val="4E050C05"/>
    <w:rsid w:val="4E3F7134"/>
    <w:rsid w:val="4E6F1B0D"/>
    <w:rsid w:val="4E79612F"/>
    <w:rsid w:val="4EFE21B3"/>
    <w:rsid w:val="4F3A77B9"/>
    <w:rsid w:val="4F3D250D"/>
    <w:rsid w:val="4F7B6110"/>
    <w:rsid w:val="4FE82CD0"/>
    <w:rsid w:val="5124725C"/>
    <w:rsid w:val="51361F08"/>
    <w:rsid w:val="5309545D"/>
    <w:rsid w:val="534C17DE"/>
    <w:rsid w:val="536A26DA"/>
    <w:rsid w:val="539F3BC5"/>
    <w:rsid w:val="53CF0A4A"/>
    <w:rsid w:val="54781869"/>
    <w:rsid w:val="54CD6D86"/>
    <w:rsid w:val="54D10C82"/>
    <w:rsid w:val="54D23460"/>
    <w:rsid w:val="55045093"/>
    <w:rsid w:val="55C146B8"/>
    <w:rsid w:val="55D83F70"/>
    <w:rsid w:val="55F11B00"/>
    <w:rsid w:val="5676589B"/>
    <w:rsid w:val="57263448"/>
    <w:rsid w:val="577B6BD7"/>
    <w:rsid w:val="57EA1E91"/>
    <w:rsid w:val="57ED4939"/>
    <w:rsid w:val="57ED746C"/>
    <w:rsid w:val="57FE7775"/>
    <w:rsid w:val="581F6055"/>
    <w:rsid w:val="58E2333E"/>
    <w:rsid w:val="59771E5D"/>
    <w:rsid w:val="59B31266"/>
    <w:rsid w:val="59C1159A"/>
    <w:rsid w:val="5A562CB8"/>
    <w:rsid w:val="5BFC0151"/>
    <w:rsid w:val="5C5C58BA"/>
    <w:rsid w:val="5C6121C4"/>
    <w:rsid w:val="5CA0741E"/>
    <w:rsid w:val="5CAA00EE"/>
    <w:rsid w:val="5D477DA8"/>
    <w:rsid w:val="5D495D16"/>
    <w:rsid w:val="5DD328C9"/>
    <w:rsid w:val="5E380B05"/>
    <w:rsid w:val="5E725087"/>
    <w:rsid w:val="5E957DF6"/>
    <w:rsid w:val="5E9826A2"/>
    <w:rsid w:val="5EBF3244"/>
    <w:rsid w:val="5EEB252E"/>
    <w:rsid w:val="5F666F8D"/>
    <w:rsid w:val="5F7A4B0E"/>
    <w:rsid w:val="5FF4305E"/>
    <w:rsid w:val="609F17C0"/>
    <w:rsid w:val="60C85EF4"/>
    <w:rsid w:val="60FD3DA7"/>
    <w:rsid w:val="61604418"/>
    <w:rsid w:val="62177C15"/>
    <w:rsid w:val="622D5F22"/>
    <w:rsid w:val="63CD7E80"/>
    <w:rsid w:val="641E5A33"/>
    <w:rsid w:val="646305D0"/>
    <w:rsid w:val="64BF1AF5"/>
    <w:rsid w:val="66341370"/>
    <w:rsid w:val="66520B0C"/>
    <w:rsid w:val="66E82A7E"/>
    <w:rsid w:val="67AE2CEA"/>
    <w:rsid w:val="67CB44CE"/>
    <w:rsid w:val="682136E3"/>
    <w:rsid w:val="687426F0"/>
    <w:rsid w:val="68EA43F0"/>
    <w:rsid w:val="691C1E97"/>
    <w:rsid w:val="695912EC"/>
    <w:rsid w:val="69B11B1B"/>
    <w:rsid w:val="6A450D89"/>
    <w:rsid w:val="6A5119C0"/>
    <w:rsid w:val="6A5D7660"/>
    <w:rsid w:val="6AE80E9A"/>
    <w:rsid w:val="6AF16278"/>
    <w:rsid w:val="6B1B2287"/>
    <w:rsid w:val="6B510AF2"/>
    <w:rsid w:val="6C4D1275"/>
    <w:rsid w:val="6C5223BC"/>
    <w:rsid w:val="6C864BE1"/>
    <w:rsid w:val="6E431F70"/>
    <w:rsid w:val="6E5A2AE7"/>
    <w:rsid w:val="6E630F33"/>
    <w:rsid w:val="6EBB13B0"/>
    <w:rsid w:val="6FF45E4E"/>
    <w:rsid w:val="70DF7EFC"/>
    <w:rsid w:val="71376E93"/>
    <w:rsid w:val="71473EB1"/>
    <w:rsid w:val="71BC7825"/>
    <w:rsid w:val="722D1E48"/>
    <w:rsid w:val="723B0FBA"/>
    <w:rsid w:val="72C916E4"/>
    <w:rsid w:val="73470996"/>
    <w:rsid w:val="73597878"/>
    <w:rsid w:val="7413790B"/>
    <w:rsid w:val="74947D1C"/>
    <w:rsid w:val="74EF4D7E"/>
    <w:rsid w:val="74FD151D"/>
    <w:rsid w:val="75C42581"/>
    <w:rsid w:val="76C658C4"/>
    <w:rsid w:val="77335E55"/>
    <w:rsid w:val="77594E2E"/>
    <w:rsid w:val="77C3304D"/>
    <w:rsid w:val="77FB056B"/>
    <w:rsid w:val="78CE0815"/>
    <w:rsid w:val="790741C1"/>
    <w:rsid w:val="793A798A"/>
    <w:rsid w:val="798D3176"/>
    <w:rsid w:val="79AC43AD"/>
    <w:rsid w:val="7AE333F2"/>
    <w:rsid w:val="7C127A9A"/>
    <w:rsid w:val="7C792486"/>
    <w:rsid w:val="7C9D459E"/>
    <w:rsid w:val="7D14609D"/>
    <w:rsid w:val="7D633D79"/>
    <w:rsid w:val="7DD34E36"/>
    <w:rsid w:val="7E1D0D4C"/>
    <w:rsid w:val="7E212FE6"/>
    <w:rsid w:val="7E5F56DA"/>
    <w:rsid w:val="7E6504A6"/>
    <w:rsid w:val="7EAA79CF"/>
    <w:rsid w:val="7EE10008"/>
    <w:rsid w:val="7FDD4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rPr>
      <w:szCs w:val="24"/>
    </w:rPr>
  </w:style>
  <w:style w:type="paragraph" w:styleId="4">
    <w:name w:val="Body Text Indent"/>
    <w:basedOn w:val="1"/>
    <w:unhideWhenUsed/>
    <w:qFormat/>
    <w:uiPriority w:val="99"/>
    <w:pPr>
      <w:spacing w:after="120"/>
      <w:ind w:left="420" w:leftChars="200"/>
    </w:pPr>
    <w:rPr>
      <w:rFonts w:ascii="Calibri" w:hAnsi="Calibri"/>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批注框文本 Char"/>
    <w:basedOn w:val="10"/>
    <w:link w:val="5"/>
    <w:semiHidden/>
    <w:qFormat/>
    <w:uiPriority w:val="99"/>
    <w:rPr>
      <w:sz w:val="18"/>
      <w:szCs w:val="18"/>
    </w:rPr>
  </w:style>
  <w:style w:type="paragraph" w:customStyle="1" w:styleId="16">
    <w:name w:val="列出段落1"/>
    <w:basedOn w:val="1"/>
    <w:unhideWhenUsed/>
    <w:qFormat/>
    <w:uiPriority w:val="99"/>
    <w:pPr>
      <w:ind w:firstLine="420" w:firstLineChars="200"/>
    </w:pPr>
  </w:style>
  <w:style w:type="paragraph" w:customStyle="1" w:styleId="17">
    <w:name w:val="_Style 2"/>
    <w:basedOn w:val="1"/>
    <w:qFormat/>
    <w:uiPriority w:val="34"/>
    <w:pPr>
      <w:ind w:firstLine="420" w:firstLineChars="200"/>
    </w:pPr>
  </w:style>
  <w:style w:type="paragraph" w:customStyle="1" w:styleId="18">
    <w:name w:val="_Style 1"/>
    <w:basedOn w:val="1"/>
    <w:qFormat/>
    <w:uiPriority w:val="34"/>
    <w:pPr>
      <w:ind w:firstLine="420" w:firstLineChars="200"/>
    </w:pPr>
  </w:style>
  <w:style w:type="paragraph" w:customStyle="1" w:styleId="19">
    <w:name w:val="列出段落2"/>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1134</Words>
  <Characters>6467</Characters>
  <Lines>53</Lines>
  <Paragraphs>15</Paragraphs>
  <TotalTime>10</TotalTime>
  <ScaleCrop>false</ScaleCrop>
  <LinksUpToDate>false</LinksUpToDate>
  <CharactersWithSpaces>7586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2022-08-15T06:26:00Z</dcterms:created>
  <dc:creator>AutoBVT</dc:creator>
  <cp:lastModifiedBy>杨倩怡</cp:lastModifiedBy>
  <dcterms:modified xsi:type="dcterms:W3CDTF">2024-07-15T09:19:20Z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