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重庆市渝北区双龙水库管理所</w:t>
      </w:r>
    </w:p>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202</w:t>
      </w:r>
      <w:r>
        <w:rPr>
          <w:rFonts w:hint="eastAsia"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eastAsia="zh-CN"/>
        </w:rPr>
        <w:t>年度部门决算情况说明</w:t>
      </w:r>
    </w:p>
    <w:p>
      <w:pPr>
        <w:spacing w:line="560" w:lineRule="exact"/>
        <w:ind w:firstLine="1100" w:firstLineChars="250"/>
        <w:jc w:val="center"/>
        <w:rPr>
          <w:rFonts w:hint="eastAsia" w:ascii="Times New Roman" w:hAnsi="Times New Roman" w:eastAsia="方正小标宋_GBK" w:cs="Times New Roman"/>
          <w:sz w:val="44"/>
          <w:szCs w:val="44"/>
          <w:lang w:eastAsia="zh-CN"/>
        </w:rPr>
      </w:pPr>
    </w:p>
    <w:p>
      <w:pPr>
        <w:pStyle w:val="15"/>
        <w:keepNext w:val="0"/>
        <w:keepLines w:val="0"/>
        <w:pageBreakBefore w:val="0"/>
        <w:tabs>
          <w:tab w:val="center" w:pos="4153"/>
          <w:tab w:val="left" w:pos="7275"/>
        </w:tabs>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一、部门基本情况</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根据《中共重庆市渝北区委机构编制委员会关于重庆市渝北区水利局所属事业单位宗旨和职责任务的通知》（渝北编办[2015]391号）精神，我所主要宗旨为已建水利工程正常运行提供管理保障，具体如下：</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主要职责任务。水利工程管理，水量调度计划执行。</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具体职责任务。受水利局委托，承担以下具体职责：</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（1）水利工程管理。主要包括已建水利工程养护安全监测；机械设备运行管理；水环境保护和治理；辖区内排污管网的建设和水土保持；水利工程建设和管理。</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（2）水量调度计划执行。主要包括水情，汛情报送、防汛物资的储备，水量调度计划执行。</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（3）内部运行管理工作。主要包括日常运营、维护（基础设施维护、安全保卫、物业管理等），单位内部人事、财务等管理工作。</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我所属于渝北区水利局二级预算单位，没有内设机构。</w:t>
      </w:r>
    </w:p>
    <w:p>
      <w:pPr>
        <w:pStyle w:val="15"/>
        <w:keepNext w:val="0"/>
        <w:keepLines w:val="0"/>
        <w:pageBreakBefore w:val="0"/>
        <w:tabs>
          <w:tab w:val="center" w:pos="4153"/>
          <w:tab w:val="left" w:pos="7275"/>
        </w:tabs>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二、部门决算情况说明</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zh-TW" w:eastAsia="zh-CN"/>
        </w:rPr>
        <w:t>1.总体情况。</w:t>
      </w:r>
      <w:r>
        <w:rPr>
          <w:rFonts w:hint="eastAsia" w:ascii="方正仿宋_GBK" w:hAnsi="仿宋_GB2312" w:eastAsia="方正仿宋_GBK" w:cs="仿宋_GB2312"/>
          <w:color w:val="auto"/>
          <w:sz w:val="32"/>
          <w:highlight w:val="none"/>
          <w:lang w:val="en-US" w:eastAsia="zh-CN"/>
        </w:rPr>
        <w:t>2022年度收入总计933.29万元，支出总计933.29万元。收支较上年决算数减少131.73万元,下降12.4%，主要原因是减少了基本建设类项目。</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zh-TW" w:eastAsia="zh-CN"/>
        </w:rPr>
        <w:t>2.收入情况。</w:t>
      </w:r>
      <w:r>
        <w:rPr>
          <w:rFonts w:hint="eastAsia" w:ascii="方正仿宋_GBK" w:hAnsi="仿宋_GB2312" w:eastAsia="方正仿宋_GBK" w:cs="仿宋_GB2312"/>
          <w:color w:val="auto"/>
          <w:sz w:val="32"/>
          <w:highlight w:val="none"/>
          <w:lang w:val="en-US" w:eastAsia="zh-CN"/>
        </w:rPr>
        <w:t>2022年度收入合计933.29万元，较上年决算数减少131.73万元，下降12.4%，主要原因是减少了基本建设类项目。其中：财政拨款收入933.29万元，占100.0%。</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3.</w:t>
      </w:r>
      <w:r>
        <w:rPr>
          <w:rFonts w:hint="eastAsia" w:ascii="方正仿宋_GBK" w:hAnsi="仿宋_GB2312" w:eastAsia="方正仿宋_GBK" w:cs="仿宋_GB2312"/>
          <w:color w:val="auto"/>
          <w:sz w:val="32"/>
          <w:highlight w:val="none"/>
          <w:lang w:val="zh-TW" w:eastAsia="zh-CN"/>
        </w:rPr>
        <w:t>支出情况。</w:t>
      </w:r>
      <w:r>
        <w:rPr>
          <w:rFonts w:hint="eastAsia" w:ascii="方正仿宋_GBK" w:hAnsi="仿宋_GB2312" w:eastAsia="方正仿宋_GBK" w:cs="仿宋_GB2312"/>
          <w:color w:val="auto"/>
          <w:sz w:val="32"/>
          <w:highlight w:val="none"/>
          <w:lang w:val="en-US" w:eastAsia="zh-CN"/>
        </w:rPr>
        <w:t>2022年度支出合计933.29万元，较上年决算减少131.73万元，下降12.4%，主要原因是减少了基本建设类项目。其中：基本支出341.55万元，占36.6%；项目支出591.74万元，占63.4%。</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4.结转结余情况。</w:t>
      </w:r>
      <w:r>
        <w:rPr>
          <w:rFonts w:hint="eastAsia" w:ascii="方正仿宋_GBK" w:hAnsi="仿宋_GB2312" w:eastAsia="方正仿宋_GBK" w:cs="仿宋_GB2312"/>
          <w:color w:val="auto"/>
          <w:sz w:val="32"/>
          <w:highlight w:val="none"/>
          <w:lang w:val="en-US" w:eastAsia="zh-CN"/>
        </w:rPr>
        <w:t>2022年度年末结转和结余0.00万元，较上年决算数增加0.00万元，增长0.0%，主要原因是</w:t>
      </w:r>
      <w:r>
        <w:rPr>
          <w:rFonts w:hint="eastAsia" w:ascii="方正仿宋_GBK" w:hAnsi="仿宋_GB2312" w:eastAsia="方正仿宋_GBK" w:cs="仿宋_GB2312"/>
          <w:color w:val="auto"/>
          <w:sz w:val="32"/>
          <w:highlight w:val="none"/>
          <w:lang w:val="zh-TW" w:eastAsia="zh-CN"/>
        </w:rPr>
        <w:t>本年和上年都没有结转结余。</w:t>
      </w:r>
    </w:p>
    <w:p>
      <w:pPr>
        <w:keepNext w:val="0"/>
        <w:keepLines w:val="0"/>
        <w:pageBreakBefore w:val="0"/>
        <w:numPr>
          <w:ilvl w:val="0"/>
          <w:numId w:val="1"/>
        </w:numPr>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财政拨款收入支出决算总体情况说明。</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2022年度财政拨款收、支总计933.29万元。与2021年相比，财政拨款收、支总计各减少131.73万元，下降12.4%。主要原因是减少了基本建设类项目。</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zh-TW" w:eastAsia="zh-CN"/>
        </w:rPr>
        <w:t>1.收入情况。</w:t>
      </w:r>
      <w:r>
        <w:rPr>
          <w:rFonts w:hint="eastAsia" w:ascii="方正仿宋_GBK" w:hAnsi="仿宋_GB2312" w:eastAsia="方正仿宋_GBK" w:cs="仿宋_GB2312"/>
          <w:color w:val="auto"/>
          <w:sz w:val="32"/>
          <w:highlight w:val="none"/>
          <w:lang w:val="en-US" w:eastAsia="zh-CN"/>
        </w:rPr>
        <w:t>2022年度一般公共预算财政拨款收入933.29万元，较上年决算数减少73.73万元，下降7.3%。主要原因是减少了解除青年下坝水库征占用前期相关费用等项目支支出。较年初预算数增加99.65万元，增长12.0%。主要原因是年中增加了东风水库左坝肩水毁抢险工程。此外，年初财政拨款结转和结余0.00万元。</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zh-TW" w:eastAsia="zh-CN"/>
        </w:rPr>
        <w:t>2.支出情况。</w:t>
      </w:r>
      <w:r>
        <w:rPr>
          <w:rFonts w:hint="eastAsia" w:ascii="方正仿宋_GBK" w:hAnsi="仿宋_GB2312" w:eastAsia="方正仿宋_GBK" w:cs="仿宋_GB2312"/>
          <w:color w:val="auto"/>
          <w:sz w:val="32"/>
          <w:highlight w:val="none"/>
          <w:lang w:val="en-US" w:eastAsia="zh-CN"/>
        </w:rPr>
        <w:t>2022年度一般公共预算财政拨款支出933.29万元，较上年决算数减少73.73万元，下降7.3%。主要原因是减少了解除青年下坝水库征占用前期相关费用等项目支支出。较年初预算数增加99.65万元，增长12.0%。主要原因是年中增加了东风水库左坝肩水毁抢险工程。</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3.结转结余情况。</w:t>
      </w:r>
      <w:r>
        <w:rPr>
          <w:rFonts w:hint="eastAsia" w:ascii="方正仿宋_GBK" w:hAnsi="仿宋_GB2312" w:eastAsia="方正仿宋_GBK" w:cs="仿宋_GB2312"/>
          <w:color w:val="auto"/>
          <w:sz w:val="32"/>
          <w:highlight w:val="none"/>
          <w:lang w:val="en-US" w:eastAsia="zh-CN"/>
        </w:rPr>
        <w:t>2022年度年末一般公共预算财政拨款结转和结余0.00万元，较上年决算数增加0.00万元，增长0.0%，主要原因是</w:t>
      </w:r>
      <w:r>
        <w:rPr>
          <w:rFonts w:hint="eastAsia" w:ascii="方正仿宋_GBK" w:hAnsi="仿宋_GB2312" w:eastAsia="方正仿宋_GBK" w:cs="仿宋_GB2312"/>
          <w:color w:val="auto"/>
          <w:sz w:val="32"/>
          <w:highlight w:val="none"/>
          <w:lang w:val="zh-TW" w:eastAsia="zh-CN"/>
        </w:rPr>
        <w:t>本年和上年都没有结转结余。</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4.比较情况。本部门2021年度一般公共预算财政拨款支出主要用于以下几个方面：</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（1）社会保障与就业支出38.72万元，占4.1%，较年初预算数增加2.48万元，增长6.8%，主要原因是保险基数调整。</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en-US" w:eastAsia="zh-CN"/>
        </w:rPr>
        <w:t>（2）卫生健康支出13.53万元，占1.4%，较年初预算数减少0.34万元，下降2.5%，主要原因是</w:t>
      </w:r>
      <w:r>
        <w:rPr>
          <w:rFonts w:hint="eastAsia" w:ascii="方正仿宋_GBK" w:hAnsi="仿宋_GB2312" w:eastAsia="方正仿宋_GBK" w:cs="仿宋_GB2312"/>
          <w:color w:val="auto"/>
          <w:sz w:val="32"/>
          <w:highlight w:val="none"/>
          <w:lang w:val="zh-TW" w:eastAsia="zh-CN"/>
        </w:rPr>
        <w:t>工资基数约有变化。</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（3）农林水支出865.81万元，占92.8%，较年初预算数增加95.09万元，增长12.3%，主要原因是年中增加了东风水库左坝肩水毁抢险工。</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en-US" w:eastAsia="zh-CN"/>
        </w:rPr>
        <w:t>（4）住房保障支出15.24万元，占1.6%，较年初预算数增加2.42万元，增长18.9%，主要原因是</w:t>
      </w:r>
      <w:r>
        <w:rPr>
          <w:rFonts w:hint="eastAsia" w:ascii="方正仿宋_GBK" w:hAnsi="仿宋_GB2312" w:eastAsia="方正仿宋_GBK" w:cs="仿宋_GB2312"/>
          <w:color w:val="auto"/>
          <w:sz w:val="32"/>
          <w:highlight w:val="none"/>
          <w:lang w:val="zh-TW" w:eastAsia="zh-CN"/>
        </w:rPr>
        <w:t>年中增加职工住房补贴款预算。</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en-US" w:eastAsia="zh-CN"/>
        </w:rPr>
        <w:t>2022年度一般公共预算财政拨款基本支出341.55万元。其中：人员经费255.07万元，较上年决算数增加10.88万元，增长4.5%，主要原因是2022年发了2021年的年终考核及退休人员健康休养费。人员经费用途主要包括</w:t>
      </w:r>
      <w:r>
        <w:rPr>
          <w:rFonts w:hint="eastAsia" w:ascii="方正仿宋_GBK" w:hAnsi="仿宋_GB2312" w:eastAsia="方正仿宋_GBK" w:cs="仿宋_GB2312"/>
          <w:color w:val="auto"/>
          <w:sz w:val="32"/>
          <w:highlight w:val="none"/>
          <w:lang w:val="zh-TW" w:eastAsia="zh-CN"/>
        </w:rPr>
        <w:t>人员经费用途主要包括基本工资、津贴补贴、奖金、绩效工资、机关事业单位基本养老保险缴费、职业年金缴费、职工基本医疗保险缴费、公务员医疗补助缴费、其他社会保障缴费、住房公积金、医疗费、生活补助、其他工资福利支出。</w:t>
      </w:r>
      <w:r>
        <w:rPr>
          <w:rFonts w:hint="eastAsia" w:ascii="方正仿宋_GBK" w:hAnsi="仿宋_GB2312" w:eastAsia="方正仿宋_GBK" w:cs="仿宋_GB2312"/>
          <w:color w:val="auto"/>
          <w:sz w:val="32"/>
          <w:highlight w:val="none"/>
          <w:lang w:val="en-US" w:eastAsia="zh-CN"/>
        </w:rPr>
        <w:t>公用经费86.48万元，较上年决算数增加8.23万元，增长10.5%，主要原因是为应对2022年旱性，开展了一系列的抗旱保供工作导致公用经费约有增加。公用经费用途主要包括</w:t>
      </w:r>
      <w:r>
        <w:rPr>
          <w:rFonts w:hint="eastAsia" w:ascii="方正仿宋_GBK" w:hAnsi="仿宋_GB2312" w:eastAsia="方正仿宋_GBK" w:cs="仿宋_GB2312"/>
          <w:color w:val="auto"/>
          <w:sz w:val="32"/>
          <w:highlight w:val="none"/>
          <w:lang w:val="zh-TW" w:eastAsia="zh-CN"/>
        </w:rPr>
        <w:t>公用经费用途主要包括办公费、印刷费、水费、电费、邮电费、物业管理费、差旅费、维修（护）费、工会经费、福利费、公务接待费、公务用车运行维护费、其他交通费、会议费、培训费、咨询费、劳务费、其他商品和服务支出。</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（五）政府性基金预算收支决算情况说明。</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2022年度政府性基金预算财政拨款年初结转结余0.00万元，年末结转结余0.00万元。本年收入0.00万元，较上年决算数减少58.00万元，下降100%，主要原因是</w:t>
      </w:r>
      <w:r>
        <w:rPr>
          <w:rFonts w:hint="eastAsia" w:ascii="方正仿宋_GBK" w:hAnsi="仿宋_GB2312" w:eastAsia="方正仿宋_GBK" w:cs="仿宋_GB2312"/>
          <w:color w:val="auto"/>
          <w:kern w:val="2"/>
          <w:sz w:val="32"/>
          <w:szCs w:val="22"/>
          <w:highlight w:val="none"/>
          <w:lang w:val="en-US" w:eastAsia="zh-CN" w:bidi="ar-SA"/>
        </w:rPr>
        <w:t>本部门2022年度无政府性基金预算财政拨款收支。</w:t>
      </w:r>
      <w:r>
        <w:rPr>
          <w:rFonts w:hint="eastAsia" w:ascii="方正仿宋_GBK" w:hAnsi="仿宋_GB2312" w:eastAsia="方正仿宋_GBK" w:cs="仿宋_GB2312"/>
          <w:color w:val="auto"/>
          <w:sz w:val="32"/>
          <w:highlight w:val="none"/>
          <w:lang w:val="en-US" w:eastAsia="zh-CN"/>
        </w:rPr>
        <w:t>较年初预算数增长0万元，增长0.0%，主要原因是</w:t>
      </w:r>
      <w:r>
        <w:rPr>
          <w:rFonts w:hint="eastAsia" w:ascii="方正仿宋_GBK" w:hAnsi="仿宋_GB2312" w:eastAsia="方正仿宋_GBK" w:cs="仿宋_GB2312"/>
          <w:color w:val="auto"/>
          <w:kern w:val="2"/>
          <w:sz w:val="32"/>
          <w:szCs w:val="22"/>
          <w:highlight w:val="none"/>
          <w:lang w:val="en-US" w:eastAsia="zh-CN" w:bidi="ar-SA"/>
        </w:rPr>
        <w:t>本部门2022年年初无政府性基金预算</w:t>
      </w:r>
      <w:r>
        <w:rPr>
          <w:rFonts w:hint="eastAsia" w:ascii="方正仿宋_GBK" w:hAnsi="仿宋_GB2312" w:eastAsia="方正仿宋_GBK" w:cs="仿宋_GB2312"/>
          <w:color w:val="auto"/>
          <w:sz w:val="32"/>
          <w:highlight w:val="none"/>
          <w:lang w:val="en-US" w:eastAsia="zh-CN"/>
        </w:rPr>
        <w:t>。本年支出0.00万元，较上年决算数减少58.00万元，下降100%，主要原因是本年度</w:t>
      </w:r>
      <w:r>
        <w:rPr>
          <w:rFonts w:hint="eastAsia" w:ascii="方正仿宋_GBK" w:hAnsi="仿宋_GB2312" w:eastAsia="方正仿宋_GBK" w:cs="仿宋_GB2312"/>
          <w:color w:val="auto"/>
          <w:kern w:val="2"/>
          <w:sz w:val="32"/>
          <w:szCs w:val="22"/>
          <w:highlight w:val="none"/>
          <w:lang w:val="en-US" w:eastAsia="zh-CN" w:bidi="ar-SA"/>
        </w:rPr>
        <w:t>无政府性基金预算财政拨款收支。</w:t>
      </w:r>
      <w:r>
        <w:rPr>
          <w:rFonts w:hint="eastAsia" w:ascii="方正仿宋_GBK" w:hAnsi="仿宋_GB2312" w:eastAsia="方正仿宋_GBK" w:cs="仿宋_GB2312"/>
          <w:color w:val="auto"/>
          <w:sz w:val="32"/>
          <w:highlight w:val="none"/>
          <w:lang w:val="en-US" w:eastAsia="zh-CN"/>
        </w:rPr>
        <w:t>较预算支出数增长0万元，增长0.0%，主要原因是</w:t>
      </w:r>
      <w:r>
        <w:rPr>
          <w:rFonts w:hint="eastAsia" w:ascii="方正仿宋_GBK" w:hAnsi="仿宋_GB2312" w:eastAsia="方正仿宋_GBK" w:cs="仿宋_GB2312"/>
          <w:color w:val="auto"/>
          <w:kern w:val="2"/>
          <w:sz w:val="32"/>
          <w:szCs w:val="22"/>
          <w:highlight w:val="none"/>
          <w:lang w:val="en-US" w:eastAsia="zh-CN" w:bidi="ar-SA"/>
        </w:rPr>
        <w:t>2022年度无政府性基金预算财政拨款收支</w:t>
      </w:r>
      <w:r>
        <w:rPr>
          <w:rFonts w:hint="eastAsia" w:ascii="方正仿宋_GBK" w:hAnsi="仿宋_GB2312" w:eastAsia="方正仿宋_GBK" w:cs="仿宋_GB2312"/>
          <w:color w:val="auto"/>
          <w:sz w:val="32"/>
          <w:highlight w:val="none"/>
          <w:lang w:val="en-US" w:eastAsia="zh-CN"/>
        </w:rPr>
        <w:t>。</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本部门202</w:t>
      </w:r>
      <w:r>
        <w:rPr>
          <w:rFonts w:hint="eastAsia" w:ascii="方正仿宋_GBK" w:hAnsi="仿宋_GB2312" w:eastAsia="方正仿宋_GBK" w:cs="仿宋_GB2312"/>
          <w:color w:val="auto"/>
          <w:sz w:val="32"/>
          <w:highlight w:val="none"/>
          <w:lang w:val="en-US" w:eastAsia="zh-CN"/>
        </w:rPr>
        <w:t>2</w:t>
      </w:r>
      <w:r>
        <w:rPr>
          <w:rFonts w:hint="eastAsia" w:ascii="方正仿宋_GBK" w:hAnsi="仿宋_GB2312" w:eastAsia="方正仿宋_GBK" w:cs="仿宋_GB2312"/>
          <w:color w:val="auto"/>
          <w:sz w:val="32"/>
          <w:highlight w:val="none"/>
          <w:lang w:val="zh-TW" w:eastAsia="zh-CN"/>
        </w:rPr>
        <w:t>年度无国有资本经营预算财政拨款支出。</w:t>
      </w:r>
    </w:p>
    <w:p>
      <w:pPr>
        <w:pStyle w:val="15"/>
        <w:keepNext w:val="0"/>
        <w:keepLines w:val="0"/>
        <w:pageBreakBefore w:val="0"/>
        <w:tabs>
          <w:tab w:val="center" w:pos="4153"/>
          <w:tab w:val="left" w:pos="7275"/>
        </w:tabs>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三、“三公”经费情况说明</w:t>
      </w:r>
    </w:p>
    <w:p>
      <w:pPr>
        <w:pStyle w:val="15"/>
        <w:keepNext w:val="0"/>
        <w:keepLines w:val="0"/>
        <w:pageBreakBefore w:val="0"/>
        <w:tabs>
          <w:tab w:val="center" w:pos="4153"/>
          <w:tab w:val="left" w:pos="7275"/>
        </w:tabs>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lang w:val="en-US" w:eastAsia="zh-CN" w:bidi="ar-SA"/>
        </w:rPr>
        <w:t>（一）“三公”经费支出总体情况说明。</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2022年度“三公”经费支出共计5.20万元，较年初预算数增加0.00万元，增长0.0%，较上年支出数增加0.00万元，增长0.0%，与上年持平。</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2022年度本部门因公出国（境）费用0.00万元，费用支出较年初预算数增加0.00万元，增长0.0%，较上年支出数增加0.00万元，增长0.0%，主要原因是上年及本年我所均未安排也未支出因公出国（境）费用。</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公务车购置费0.00万元，主要用于公务用车的购置。费用支出较年初预算数增加0.00万元，增长0.0%，较上年支出数增加0.00万元，增长0.0%，主要原因是上年及本年我所均未安排也未支出公务车购置费。</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公务车运行维护费4.30万元，主要用于机要文件交换、市内因公出行、水利工程检查等工作所需车辆的燃料费、维修费、过桥过路费、保险费等。费用支出较年初预算数增加0.00万元，增长0.0%，与年初预算数持平。较上年支出数减少0.05万元，下降1.1%，主要原因是主要原因是我所严格执行政府过紧日子的要求，尽量压减公务车运行费。</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公务接待费0.90万元，主要用于接待其他区县水利部门到我区交流学习，接受相关部门检查指导工作发生的接待支出。费用支出较年初预算数增加0.00万元，增长0.0%，费用支出较年初预算数持平，主要原因是我局严格执行预算，坚持预算刚性约束。较上年支出数增加0.05万元，增长5.9%，主要原因是今年上级加大了对水利事业的检查督查力度，在此情况下，我单位仍严格按预算控制支出，虽比上年略有增加，但未超年初预算数。</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2022年度本部门因公出国（境）共计0个团组，0人；公务用车购置0辆，公务车保有量为1辆；国内公务接待23批次225人，其中：国内外事接待0批次，0人；国（境）外公务接待0批次，0人。2022年本部门人均接待费39.95元，车均购置费0.00万元，车均维护费4.30万元。</w:t>
      </w:r>
    </w:p>
    <w:p>
      <w:pPr>
        <w:pStyle w:val="15"/>
        <w:keepNext w:val="0"/>
        <w:keepLines w:val="0"/>
        <w:pageBreakBefore w:val="0"/>
        <w:tabs>
          <w:tab w:val="center" w:pos="4153"/>
          <w:tab w:val="left" w:pos="7275"/>
        </w:tabs>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四、其他需要说明的事项</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pStyle w:val="7"/>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kern w:val="2"/>
          <w:sz w:val="32"/>
          <w:szCs w:val="22"/>
          <w:highlight w:val="none"/>
          <w:lang w:val="en-US" w:eastAsia="zh-CN" w:bidi="ar-SA"/>
        </w:rPr>
      </w:pPr>
      <w:r>
        <w:rPr>
          <w:rFonts w:hint="eastAsia" w:ascii="方正仿宋_GBK" w:hAnsi="仿宋_GB2312" w:eastAsia="方正仿宋_GBK" w:cs="仿宋_GB2312"/>
          <w:color w:val="auto"/>
          <w:kern w:val="2"/>
          <w:sz w:val="32"/>
          <w:szCs w:val="22"/>
          <w:highlight w:val="none"/>
          <w:lang w:val="en-US" w:eastAsia="zh-CN" w:bidi="ar-SA"/>
        </w:rPr>
        <w:t>本年度会议费支出0.00万元，较上年决算数增加0.00万元，增长0.0%，</w:t>
      </w:r>
      <w:r>
        <w:rPr>
          <w:rFonts w:hint="eastAsia" w:ascii="方正仿宋_GBK" w:hAnsi="仿宋_GB2312" w:eastAsia="方正仿宋_GBK" w:cs="仿宋_GB2312"/>
          <w:color w:val="auto"/>
          <w:kern w:val="2"/>
          <w:sz w:val="32"/>
          <w:szCs w:val="22"/>
          <w:highlight w:val="none"/>
          <w:lang w:val="zh-TW" w:eastAsia="zh-TW" w:bidi="ar-SA"/>
        </w:rPr>
        <w:t>主要原因是上年及本年我站均无会议费支出。</w:t>
      </w:r>
      <w:r>
        <w:rPr>
          <w:rFonts w:hint="eastAsia" w:ascii="方正仿宋_GBK" w:hAnsi="仿宋_GB2312" w:eastAsia="方正仿宋_GBK" w:cs="仿宋_GB2312"/>
          <w:color w:val="auto"/>
          <w:kern w:val="2"/>
          <w:sz w:val="32"/>
          <w:szCs w:val="22"/>
          <w:highlight w:val="none"/>
          <w:lang w:val="en-US" w:eastAsia="zh-CN" w:bidi="ar-SA"/>
        </w:rPr>
        <w:t>本年度培训费支出0.76万元，较上年决算数增加0.45万元，增长145.2%，主要原因是本年加强了职工水利业务知识培训，使培训费约有增加。</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zh-TW" w:eastAsia="zh-CN"/>
        </w:rPr>
      </w:pPr>
      <w:r>
        <w:rPr>
          <w:rFonts w:hint="eastAsia" w:ascii="方正仿宋_GBK" w:hAnsi="仿宋_GB2312" w:eastAsia="方正仿宋_GBK" w:cs="仿宋_GB2312"/>
          <w:color w:val="auto"/>
          <w:sz w:val="32"/>
          <w:highlight w:val="none"/>
          <w:lang w:val="zh-TW" w:eastAsia="zh-CN"/>
        </w:rPr>
        <w:t>按照部门决算列报口径，我单位不在机关运行经费统计范围之内。</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pStyle w:val="7"/>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firstLine="480" w:firstLineChars="200"/>
        <w:textAlignment w:val="auto"/>
        <w:outlineLvl w:val="9"/>
        <w:rPr>
          <w:rFonts w:hint="eastAsia" w:ascii="方正仿宋_GBK" w:hAnsi="仿宋_GB2312" w:eastAsia="方正仿宋_GBK" w:cs="仿宋_GB2312"/>
          <w:color w:val="auto"/>
          <w:kern w:val="2"/>
          <w:sz w:val="32"/>
          <w:szCs w:val="22"/>
          <w:highlight w:val="none"/>
          <w:lang w:val="en-US" w:eastAsia="zh-CN" w:bidi="ar-SA"/>
        </w:rPr>
      </w:pPr>
      <w:r>
        <w:rPr>
          <w:rFonts w:hint="eastAsia"/>
          <w:lang w:eastAsia="zh-CN"/>
        </w:rPr>
        <w:t>　　</w:t>
      </w:r>
      <w:r>
        <w:rPr>
          <w:rFonts w:hint="eastAsia" w:ascii="方正仿宋_GBK" w:hAnsi="仿宋_GB2312" w:eastAsia="方正仿宋_GBK" w:cs="仿宋_GB2312"/>
          <w:color w:val="auto"/>
          <w:kern w:val="2"/>
          <w:sz w:val="32"/>
          <w:szCs w:val="22"/>
          <w:highlight w:val="none"/>
          <w:lang w:val="en-US" w:eastAsia="zh-CN" w:bidi="ar-SA"/>
        </w:rPr>
        <w:t>截至2022年12月31日，本部门共有车辆1辆，其中，副部（省）级及以上领导用车0辆、主要领导干部用车0辆、机要通信用车1辆、应急保障用车0辆、执法执勤用车0辆，特种专业技术用车0辆，离退休干部用车0辆，其他用车0辆。单价100万元（含）以上设备（不含车辆）0台（套）。</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（四）政府采购支出情况说明。</w:t>
      </w:r>
    </w:p>
    <w:p>
      <w:pPr>
        <w:pStyle w:val="7"/>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kern w:val="2"/>
          <w:sz w:val="32"/>
          <w:szCs w:val="22"/>
          <w:highlight w:val="none"/>
          <w:lang w:val="en-US" w:eastAsia="zh-CN" w:bidi="ar-SA"/>
        </w:rPr>
      </w:pPr>
      <w:r>
        <w:rPr>
          <w:rFonts w:hint="eastAsia" w:ascii="方正仿宋_GBK" w:hAnsi="仿宋_GB2312" w:eastAsia="方正仿宋_GBK" w:cs="仿宋_GB2312"/>
          <w:color w:val="auto"/>
          <w:kern w:val="2"/>
          <w:sz w:val="32"/>
          <w:szCs w:val="22"/>
          <w:highlight w:val="none"/>
          <w:lang w:val="en-US" w:eastAsia="zh-CN" w:bidi="ar-SA"/>
        </w:rPr>
        <w:t>2022年度本部门政府采购支出总额81.41万元，其中：政府采购货物支出1.85万元、政府采购工程支出0.00万元、政府采购服务支出79.56万元。授予中小企业合同金额81.41万元，占政府采购支出总额的100.0%，</w:t>
      </w:r>
      <w:bookmarkStart w:id="0" w:name="_GoBack"/>
      <w:bookmarkEnd w:id="0"/>
      <w:r>
        <w:rPr>
          <w:rFonts w:hint="eastAsia" w:ascii="方正仿宋_GBK" w:hAnsi="仿宋_GB2312" w:eastAsia="方正仿宋_GBK" w:cs="仿宋_GB2312"/>
          <w:color w:val="auto"/>
          <w:kern w:val="2"/>
          <w:sz w:val="32"/>
          <w:szCs w:val="22"/>
          <w:highlight w:val="none"/>
          <w:lang w:val="en-US" w:eastAsia="zh-CN" w:bidi="ar-SA"/>
        </w:rPr>
        <w:t>其中：授予小微企业合同金额81.41万元，占政府采购支出总额的100.0%。主要用于采购水库清漂打捞服务。</w:t>
      </w:r>
    </w:p>
    <w:p>
      <w:pPr>
        <w:pStyle w:val="15"/>
        <w:keepNext w:val="0"/>
        <w:keepLines w:val="0"/>
        <w:pageBreakBefore w:val="0"/>
        <w:tabs>
          <w:tab w:val="center" w:pos="4153"/>
          <w:tab w:val="left" w:pos="7275"/>
        </w:tabs>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五、预算绩效管理情况说明</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仿宋_GB2312" w:eastAsia="方正仿宋_GBK" w:cs="仿宋_GB2312"/>
          <w:color w:val="auto"/>
          <w:sz w:val="32"/>
          <w:highlight w:val="none"/>
          <w:lang w:val="en-US" w:eastAsia="zh-CN"/>
        </w:rPr>
        <w:t>根据预算绩效管理要求，我所对17个项目开展了绩效自评，其中，以填报自评表形式开展自评17项，涉及资金591.74万元；没有以委托第三方出具报告的方式开展绩效。</w:t>
      </w:r>
    </w:p>
    <w:p>
      <w:pPr>
        <w:keepNext w:val="0"/>
        <w:keepLines w:val="0"/>
        <w:pageBreakBefore w:val="0"/>
        <w:numPr>
          <w:ilvl w:val="0"/>
          <w:numId w:val="2"/>
        </w:numPr>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绩效自评结果。</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textAlignment w:val="auto"/>
        <w:outlineLvl w:val="9"/>
        <w:rPr>
          <w:rFonts w:hint="eastAsia" w:ascii="方正楷体_GBK" w:hAnsi="方正楷体_GBK" w:eastAsia="方正楷体_GBK" w:cs="方正楷体_GBK"/>
          <w:snapToGrid w:val="0"/>
          <w:kern w:val="32"/>
          <w:sz w:val="32"/>
          <w:szCs w:val="32"/>
        </w:rPr>
      </w:pPr>
      <w:r>
        <w:rPr>
          <w:rFonts w:ascii="Times New Roman" w:hAnsi="方正仿宋_GBK" w:eastAsia="方正仿宋_GBK" w:cs="方正仿宋_GBK"/>
          <w:sz w:val="32"/>
          <w:szCs w:val="32"/>
          <w:lang w:val="zh-TW"/>
        </w:rPr>
        <w:t>1.绩效目标自评表。</w:t>
      </w:r>
    </w:p>
    <w:tbl>
      <w:tblPr>
        <w:tblStyle w:val="11"/>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578"/>
        <w:gridCol w:w="750"/>
        <w:gridCol w:w="8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水库大坝安全监测技术服务</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50011221T000000053596</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2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8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付伟</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200,000.00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182,000.00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182,000.00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200,000.00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182,000.00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182,000.00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对辖区内20座水库大坝监测设施进行常态维护，确保各水库监测设备运行正常。</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对辖区内20座水库大坝监测设施进行常态维护，确保各水库监测设备运行正常。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20座水库</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质量达标</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完成时间</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月</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总投入</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减少灾害</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提高防汛抗旱能力</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改善生态环境</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adjustRightInd w:val="0"/>
        <w:snapToGrid w:val="0"/>
        <w:spacing w:line="600" w:lineRule="exact"/>
        <w:rPr>
          <w:rFonts w:hint="eastAsia" w:ascii="Times New Roman" w:hAnsi="方正仿宋_GBK" w:eastAsia="方正仿宋_GBK" w:cs="方正仿宋_GBK"/>
          <w:sz w:val="32"/>
          <w:szCs w:val="32"/>
          <w:lang w:val="zh-TW"/>
        </w:rPr>
      </w:pPr>
    </w:p>
    <w:p>
      <w:pPr>
        <w:adjustRightInd w:val="0"/>
        <w:snapToGrid w:val="0"/>
        <w:spacing w:line="600" w:lineRule="exact"/>
        <w:rPr>
          <w:rFonts w:hint="eastAsia" w:ascii="Times New Roman" w:hAnsi="方正仿宋_GBK" w:eastAsia="方正仿宋_GBK" w:cs="方正仿宋_GBK"/>
          <w:sz w:val="32"/>
          <w:szCs w:val="32"/>
          <w:lang w:val="zh-TW"/>
        </w:rPr>
      </w:pPr>
    </w:p>
    <w:tbl>
      <w:tblPr>
        <w:tblStyle w:val="11"/>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572"/>
        <w:gridCol w:w="240"/>
        <w:gridCol w:w="601"/>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4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高脚水水库水质提升工程运行维护费</w:t>
            </w:r>
          </w:p>
        </w:tc>
        <w:tc>
          <w:tcPr>
            <w:tcW w:w="6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50011221T000000053637</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4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6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付伟</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211,800.00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211,800.00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211,800.00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211,800.00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211,800.00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211,800.00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59" w:hRule="atLeast"/>
        </w:trPr>
        <w:tc>
          <w:tcPr>
            <w:tcW w:w="3215"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保护生态环境，改善人民群众生产生活条件。将水质提升及生物生态想结合，提高水体自我调节和自净能力，对水质进行持续改善，从而提升整个湖库的水质，消除高脚水水库的黑臭问题，为下游肖家河提供良好的补水。                                       </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护生态环境，改善人民群众生产生活条件。将水质提升及生物生态想结合，提高水体自我调节和自净能力，对水质进行持续改善，从而提升整个湖库的水质，消除高脚水水库的黑臭问题，为下游肖家河提供良好的补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污水处理站</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水质达标</w:t>
            </w:r>
          </w:p>
        </w:tc>
        <w:tc>
          <w:tcPr>
            <w:tcW w:w="47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良</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完成时间</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月</w:t>
            </w:r>
          </w:p>
        </w:tc>
        <w:tc>
          <w:tcPr>
            <w:tcW w:w="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总费用</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万元/年</w:t>
            </w:r>
          </w:p>
        </w:tc>
        <w:tc>
          <w:tcPr>
            <w:tcW w:w="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21.18</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21.18</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提高生活水平</w:t>
            </w:r>
          </w:p>
        </w:tc>
        <w:tc>
          <w:tcPr>
            <w:tcW w:w="47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提升水质</w:t>
            </w:r>
          </w:p>
        </w:tc>
        <w:tc>
          <w:tcPr>
            <w:tcW w:w="47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良</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周围居民满意度</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adjustRightInd w:val="0"/>
        <w:snapToGrid w:val="0"/>
        <w:spacing w:line="600" w:lineRule="exact"/>
        <w:rPr>
          <w:rFonts w:hint="eastAsia" w:ascii="Times New Roman" w:hAnsi="方正仿宋_GBK" w:eastAsia="方正仿宋_GBK" w:cs="方正仿宋_GBK"/>
          <w:sz w:val="32"/>
          <w:szCs w:val="32"/>
          <w:lang w:val="zh-TW"/>
        </w:rPr>
      </w:pPr>
    </w:p>
    <w:tbl>
      <w:tblPr>
        <w:tblStyle w:val="11"/>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水库白蚁防治</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50011221T000000053899</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付伟</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474,000.00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441,000.00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441,000.00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474,000.00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441,000.00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441,000.00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根据重庆市水利工程管理条例的相关规定和要求,管理处辖区有17座水库超出白蚁防治年限，为消除白蚁对水库安全隐患，对17座水库进行白蚁防治。         </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根据重庆市水利工程管理条例的相关规定和要求,管理处辖区有17座水库超出白蚁防治年限，为消除白蚁对水库安全隐患，对17座水库进行白蚁防治。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17座水库</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按时完成</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好</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减少安全隐患，维护社会稳定   </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adjustRightInd w:val="0"/>
        <w:snapToGrid w:val="0"/>
        <w:spacing w:line="600" w:lineRule="exact"/>
        <w:ind w:firstLine="640" w:firstLineChars="200"/>
        <w:rPr>
          <w:rFonts w:hint="eastAsia" w:ascii="Times New Roman" w:hAnsi="方正仿宋_GBK" w:eastAsia="方正仿宋_GBK" w:cs="方正仿宋_GBK"/>
          <w:sz w:val="32"/>
          <w:szCs w:val="32"/>
          <w:lang w:val="zh-TW"/>
        </w:rPr>
      </w:pPr>
    </w:p>
    <w:tbl>
      <w:tblPr>
        <w:tblStyle w:val="11"/>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水库运行管理费</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50011222T000000068753</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付伟</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852,000.00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852,000.00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852,000.00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852,000.00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852,000.00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852,000.00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管理处辖区共管理水库20座，其中小（一）型水库5座，小（二）型水库15座，主要功能包括防洪、灌溉、供水，为确保水利工程安全正常运行，保障库区及下游群众生命财产安全，确保水利工程长久发挥效益。</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管理处辖区共管理水库20座，其中小（一）型水库5座，小（二）型水库15座，主要功能包括防洪、灌溉、供水，为确保水利工程安全正常运行，保障库区及下游群众生命财产安全，确保水利工程长久发挥效益。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水库数量</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减灾</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保护库区生态环境</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周围群众满意度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adjustRightInd w:val="0"/>
        <w:snapToGrid w:val="0"/>
        <w:spacing w:line="600" w:lineRule="exact"/>
        <w:ind w:firstLine="640" w:firstLineChars="200"/>
        <w:rPr>
          <w:rFonts w:hint="eastAsia" w:ascii="Times New Roman" w:hAnsi="方正仿宋_GBK" w:eastAsia="方正仿宋_GBK" w:cs="方正仿宋_GBK"/>
          <w:sz w:val="32"/>
          <w:szCs w:val="32"/>
          <w:lang w:val="zh-TW"/>
        </w:rPr>
      </w:pPr>
    </w:p>
    <w:tbl>
      <w:tblPr>
        <w:tblStyle w:val="11"/>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48"/>
        <w:gridCol w:w="28"/>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苟坝水库应急抢险工程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50011222T000002239393</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付伟</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67219775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820,145.32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820,145.32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820,145.32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820,145.32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6"/>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5"/>
                <w:szCs w:val="15"/>
                <w:u w:val="none"/>
              </w:rPr>
            </w:pP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sz w:val="15"/>
                <w:szCs w:val="15"/>
              </w:rPr>
            </w:pPr>
            <w:r>
              <w:rPr>
                <w:rFonts w:hint="eastAsia" w:ascii="宋体" w:hAnsi="宋体" w:eastAsia="宋体" w:cs="宋体"/>
                <w:i w:val="0"/>
                <w:color w:val="000000"/>
                <w:kern w:val="0"/>
                <w:sz w:val="15"/>
                <w:szCs w:val="15"/>
                <w:u w:val="none"/>
                <w:lang w:val="en-US" w:eastAsia="zh-CN" w:bidi="ar"/>
              </w:rPr>
              <w:t>苟坝水库位于重庆市渝北区宝圣湖街道石盘河社区，2021年8月，在对该水库巡查中发现水库坝顶栏杆栏杆多处破损、钢筋外露锈蚀和放水闸阀锈蚀、无法启闭等问题，存在严重安全隐患。为避免国家和人民生命财产遭受损失，充分发挥水库效益，渝北区双龙水库管理所于2022年度实施渝北区苟坝水库应急抢险工程。</w:t>
            </w: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苟坝水库位于重庆市渝北区宝圣湖街道石盘河社区，2021年8月，在对该水库巡查中发现水库坝顶栏杆栏杆多处破损、钢筋外露锈蚀和放水闸阀锈蚀、无法启闭等问题，存在严重安全隐患。为避免国家和人民生命财产遭受损失，充分发挥水库效益，渝北区双龙水库管理所于2022年度实施渝北区苟坝水库应急抢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水库数量</w:t>
            </w:r>
          </w:p>
        </w:tc>
        <w:tc>
          <w:tcPr>
            <w:tcW w:w="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完成质量</w:t>
            </w:r>
          </w:p>
        </w:tc>
        <w:tc>
          <w:tcPr>
            <w:tcW w:w="5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完成时间</w:t>
            </w:r>
          </w:p>
        </w:tc>
        <w:tc>
          <w:tcPr>
            <w:tcW w:w="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月</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完成效果</w:t>
            </w:r>
          </w:p>
        </w:tc>
        <w:tc>
          <w:tcPr>
            <w:tcW w:w="5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好</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避免国家和人民生命财产遭受损失</w:t>
            </w:r>
          </w:p>
        </w:tc>
        <w:tc>
          <w:tcPr>
            <w:tcW w:w="5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有效改善</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周边群众满意度</w:t>
            </w:r>
          </w:p>
        </w:tc>
        <w:tc>
          <w:tcPr>
            <w:tcW w:w="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adjustRightInd w:val="0"/>
        <w:snapToGrid w:val="0"/>
        <w:spacing w:line="600" w:lineRule="exact"/>
        <w:ind w:firstLine="640" w:firstLineChars="200"/>
        <w:rPr>
          <w:rFonts w:hint="eastAsia" w:ascii="Times New Roman" w:hAnsi="方正仿宋_GBK" w:eastAsia="方正仿宋_GBK" w:cs="方正仿宋_GBK"/>
          <w:sz w:val="32"/>
          <w:szCs w:val="32"/>
          <w:lang w:val="zh-TW"/>
        </w:rPr>
      </w:pPr>
    </w:p>
    <w:p/>
    <w:p/>
    <w:tbl>
      <w:tblPr>
        <w:tblStyle w:val="11"/>
        <w:tblpPr w:leftFromText="180" w:rightFromText="180" w:vertAnchor="text" w:horzAnchor="page" w:tblpX="1620" w:tblpY="1184"/>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285"/>
        <w:gridCol w:w="730"/>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33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水库确权划界相关工作（集中供水工程运行维护费（直拨部分地））</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50011223T000002851304</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33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7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付伟</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13638377277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90,000.00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90,000.00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90,000.00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90,000.00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21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215" w:type="dxa"/>
            <w:gridSpan w:val="6"/>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5"/>
                <w:szCs w:val="15"/>
                <w:u w:val="none"/>
              </w:rPr>
            </w:pP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sz w:val="15"/>
                <w:szCs w:val="15"/>
              </w:rPr>
            </w:pPr>
            <w:r>
              <w:rPr>
                <w:rFonts w:hint="eastAsia" w:ascii="宋体" w:hAnsi="宋体" w:eastAsia="宋体" w:cs="宋体"/>
                <w:i w:val="0"/>
                <w:color w:val="000000"/>
                <w:kern w:val="0"/>
                <w:sz w:val="15"/>
                <w:szCs w:val="15"/>
                <w:u w:val="none"/>
                <w:lang w:val="en-US" w:eastAsia="zh-CN" w:bidi="ar"/>
              </w:rPr>
              <w:t>根据重庆市水利局相关要求，对已注册水库须进行划界，确定管理范围和保护范围。按此要求，双龙水库管理所于2021年对尚未划界的果塘湖水库向市水利局进行了划界申报，水利部以《关于印发“十四五”水利工程管理与保护范围划定实施方案的通知》（水运管【2022】41号）将渝北区果塘湖水库纳入重庆市水库工程管理与保护范围待划定工程名录，要求渝北区果塘湖水库在2022年完成水库划界工作。</w:t>
            </w: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根据重庆市水利局相关要求，对已注册水库须进行划界，确定管理范围和保护范围。按此要求，双龙水库管理所于2021年对尚未划界的果塘湖水库向市水利局进行了划界申报，水利部以《关于印发“十四五”水利工程管理与保护范围划定实施方案的通知》（水运管【2022】41号）将渝北区果塘湖水库纳入重庆市水库工程管理与保护范围待划定工程名录，要求渝北区果塘湖水库在2022年完成水库划界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405"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水库数量</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座</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完成质量</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完成时间</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月</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完成效果</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好</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保障周边群众安全</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好</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周边群众满意度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adjustRightInd w:val="0"/>
        <w:snapToGrid w:val="0"/>
        <w:spacing w:line="600" w:lineRule="exact"/>
        <w:ind w:firstLine="640" w:firstLineChars="200"/>
        <w:rPr>
          <w:rFonts w:hint="eastAsia" w:ascii="方正仿宋_GBK" w:hAnsi="仿宋_GB2312" w:eastAsia="方正仿宋_GBK" w:cs="仿宋_GB2312"/>
          <w:color w:val="auto"/>
          <w:sz w:val="32"/>
          <w:highlight w:val="none"/>
          <w:lang w:val="zh-TW" w:eastAsia="zh-CN"/>
        </w:rPr>
      </w:pPr>
      <w:r>
        <w:rPr>
          <w:rFonts w:ascii="Times New Roman" w:hAnsi="方正仿宋_GBK" w:eastAsia="方正仿宋_GBK" w:cs="方正仿宋_GBK"/>
          <w:sz w:val="32"/>
          <w:szCs w:val="32"/>
          <w:lang w:val="zh-TW"/>
        </w:rPr>
        <w:t>2</w:t>
      </w:r>
      <w:r>
        <w:rPr>
          <w:rFonts w:hint="eastAsia" w:ascii="方正仿宋_GBK" w:hAnsi="仿宋_GB2312" w:eastAsia="方正仿宋_GBK" w:cs="仿宋_GB2312"/>
          <w:color w:val="auto"/>
          <w:sz w:val="32"/>
          <w:highlight w:val="none"/>
          <w:lang w:val="zh-TW" w:eastAsia="zh-CN"/>
        </w:rPr>
        <w:t>.绩效自评报告或案例。</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方正仿宋_GBK" w:hAnsi="仿宋_GB2312" w:eastAsia="方正仿宋_GBK" w:cs="仿宋_GB2312"/>
          <w:color w:val="auto"/>
          <w:sz w:val="32"/>
          <w:highlight w:val="none"/>
          <w:lang w:val="zh-TW" w:eastAsia="zh-CN"/>
        </w:rPr>
        <w:t>我所是采用填报目标自评表形式开展绩效自评，没有绩效自评报告。</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ascii="Times New Roman" w:hAnsi="方正仿宋_GBK" w:eastAsia="方正仿宋_GBK" w:cs="方正仿宋_GBK"/>
          <w:sz w:val="32"/>
          <w:szCs w:val="32"/>
          <w:lang w:val="zh-TW"/>
        </w:rPr>
        <w:t>3.关于绩效自评结果的说明。</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rPr>
        <w:t>经评价，各项目均达到了年度绩效目标。</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rPr>
        <w:t>我所202</w:t>
      </w:r>
      <w:r>
        <w:rPr>
          <w:rFonts w:hint="eastAsia" w:ascii="Times New Roman" w:hAnsi="方正仿宋_GBK" w:eastAsia="方正仿宋_GBK" w:cs="方正仿宋_GBK"/>
          <w:sz w:val="32"/>
          <w:szCs w:val="32"/>
          <w:lang w:val="en-US" w:eastAsia="zh-CN"/>
        </w:rPr>
        <w:t>2</w:t>
      </w:r>
      <w:r>
        <w:rPr>
          <w:rFonts w:hint="eastAsia" w:ascii="Times New Roman" w:hAnsi="方正仿宋_GBK" w:eastAsia="方正仿宋_GBK" w:cs="方正仿宋_GBK"/>
          <w:sz w:val="32"/>
          <w:szCs w:val="32"/>
          <w:lang w:val="zh-TW"/>
        </w:rPr>
        <w:t>年没有区财政局委托第三方对部门政策或项目开展重点绩效评价的。</w:t>
      </w:r>
    </w:p>
    <w:p>
      <w:pPr>
        <w:pStyle w:val="18"/>
        <w:tabs>
          <w:tab w:val="center" w:pos="4153"/>
          <w:tab w:val="left" w:pos="7275"/>
        </w:tabs>
        <w:spacing w:line="560" w:lineRule="exact"/>
        <w:ind w:firstLine="640"/>
        <w:rPr>
          <w:rFonts w:eastAsia="方正黑体_GBK"/>
          <w:sz w:val="32"/>
          <w:szCs w:val="32"/>
        </w:rPr>
      </w:pPr>
      <w:r>
        <w:rPr>
          <w:rFonts w:hint="eastAsia" w:eastAsia="方正黑体_GBK"/>
          <w:sz w:val="32"/>
          <w:szCs w:val="32"/>
        </w:rPr>
        <w:t>六、专业名词解释</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（一）财政拨款收入：</w:t>
      </w:r>
      <w:r>
        <w:rPr>
          <w:rFonts w:hint="eastAsia" w:ascii="Times New Roman" w:hAnsi="方正仿宋_GBK" w:eastAsia="方正仿宋_GBK" w:cs="方正仿宋_GBK"/>
          <w:sz w:val="32"/>
          <w:szCs w:val="32"/>
          <w:lang w:val="zh-TW" w:eastAsia="zh-TW"/>
        </w:rPr>
        <w:t>指本年度从本级财政部门取得的财政拨款，包括一般公共预算财政拨款和政府性基金预算财政拨款。</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（二）事业收入：</w:t>
      </w:r>
      <w:r>
        <w:rPr>
          <w:rFonts w:hint="eastAsia" w:ascii="Times New Roman" w:hAnsi="方正仿宋_GBK" w:eastAsia="方正仿宋_GBK" w:cs="方正仿宋_GBK"/>
          <w:sz w:val="32"/>
          <w:szCs w:val="32"/>
          <w:lang w:val="zh-TW" w:eastAsia="zh-TW"/>
        </w:rPr>
        <w:t>指事业单位开展专业业务活动及其辅助活动取得的现金流入；事业单位收到的财政专户实际核拨的教育收费等资金在此反映。</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（三）经营收入：</w:t>
      </w:r>
      <w:r>
        <w:rPr>
          <w:rFonts w:hint="eastAsia" w:ascii="Times New Roman" w:hAnsi="方正仿宋_GBK" w:eastAsia="方正仿宋_GBK" w:cs="方正仿宋_GBK"/>
          <w:sz w:val="32"/>
          <w:szCs w:val="32"/>
          <w:lang w:val="zh-TW" w:eastAsia="zh-TW"/>
        </w:rPr>
        <w:t>指事业单位在专业业务活动及其辅助活动之外开展非独立核算经营活动取得的现金流入。</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（四）其他收入：</w:t>
      </w:r>
      <w:r>
        <w:rPr>
          <w:rFonts w:hint="eastAsia" w:ascii="Times New Roman" w:hAnsi="方正仿宋_GBK" w:eastAsia="方正仿宋_GBK" w:cs="方正仿宋_GBK"/>
          <w:sz w:val="32"/>
          <w:szCs w:val="32"/>
          <w:lang w:val="zh-TW" w:eastAsia="zh-TW"/>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（五）使用非财政拨款结余：</w:t>
      </w:r>
      <w:r>
        <w:rPr>
          <w:rFonts w:hint="eastAsia" w:ascii="Times New Roman" w:hAnsi="方正仿宋_GBK" w:eastAsia="方正仿宋_GBK" w:cs="方正仿宋_GBK"/>
          <w:sz w:val="32"/>
          <w:szCs w:val="32"/>
          <w:lang w:val="zh-TW" w:eastAsia="zh-TW"/>
        </w:rPr>
        <w:t>指单位在当年的“财政拨款收入”、“事业收入”、“经营收入”、“其他收入”等不足以安排当年支出的情况下，使用以前年度积累的非财政拨款结余弥补本年度收支缺口的资金。</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（六）年初结转和结余</w:t>
      </w:r>
      <w:r>
        <w:rPr>
          <w:rFonts w:ascii="方正楷体_GBK" w:hAnsi="方正楷体_GBK" w:eastAsia="方正楷体_GBK" w:cs="方正楷体_GBK"/>
          <w:snapToGrid w:val="0"/>
          <w:kern w:val="32"/>
          <w:sz w:val="32"/>
          <w:szCs w:val="32"/>
        </w:rPr>
        <w:t>：</w:t>
      </w:r>
      <w:r>
        <w:rPr>
          <w:rFonts w:hint="eastAsia" w:ascii="Times New Roman" w:hAnsi="方正仿宋_GBK" w:eastAsia="方正仿宋_GBK" w:cs="方正仿宋_GBK"/>
          <w:sz w:val="32"/>
          <w:szCs w:val="32"/>
          <w:lang w:val="zh-TW" w:eastAsia="zh-TW"/>
        </w:rPr>
        <w:t>指单位上年结转本年使用的基本支出结转、项目支出结转和结余、经营结余。</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ascii="方正楷体_GBK" w:hAnsi="方正楷体_GBK" w:eastAsia="方正楷体_GBK" w:cs="方正楷体_GBK"/>
          <w:snapToGrid w:val="0"/>
          <w:kern w:val="32"/>
          <w:sz w:val="32"/>
          <w:szCs w:val="32"/>
        </w:rPr>
        <w:t>（</w:t>
      </w:r>
      <w:r>
        <w:rPr>
          <w:rFonts w:hint="eastAsia" w:ascii="方正楷体_GBK" w:hAnsi="方正楷体_GBK" w:eastAsia="方正楷体_GBK" w:cs="方正楷体_GBK"/>
          <w:snapToGrid w:val="0"/>
          <w:kern w:val="32"/>
          <w:sz w:val="32"/>
          <w:szCs w:val="32"/>
        </w:rPr>
        <w:t>七）结余分配：</w:t>
      </w:r>
      <w:r>
        <w:rPr>
          <w:rFonts w:hint="eastAsia" w:ascii="Times New Roman" w:hAnsi="方正仿宋_GBK" w:eastAsia="方正仿宋_GBK" w:cs="方正仿宋_GBK"/>
          <w:sz w:val="32"/>
          <w:szCs w:val="32"/>
          <w:lang w:val="zh-TW" w:eastAsia="zh-TW"/>
        </w:rPr>
        <w:t>指单位按照国家有关规定，缴纳所得税、提取专用基金、转入非财政拨款结余等当年结余的分配情况。</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（八）年末结转和结余：</w:t>
      </w:r>
      <w:r>
        <w:rPr>
          <w:rFonts w:hint="eastAsia" w:ascii="Times New Roman" w:hAnsi="方正仿宋_GBK" w:eastAsia="方正仿宋_GBK" w:cs="方正仿宋_GBK"/>
          <w:sz w:val="32"/>
          <w:szCs w:val="32"/>
          <w:lang w:val="zh-TW" w:eastAsia="zh-TW"/>
        </w:rPr>
        <w:t>指单位结转下年的基本支出结转、项目支出结转和结余、经营结余。</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（九）基本支出</w:t>
      </w:r>
      <w:r>
        <w:rPr>
          <w:rFonts w:ascii="方正楷体_GBK" w:hAnsi="方正楷体_GBK" w:eastAsia="方正楷体_GBK" w:cs="方正楷体_GBK"/>
          <w:snapToGrid w:val="0"/>
          <w:kern w:val="32"/>
          <w:sz w:val="32"/>
          <w:szCs w:val="32"/>
        </w:rPr>
        <w:t>：</w:t>
      </w:r>
      <w:r>
        <w:rPr>
          <w:rFonts w:hint="eastAsia" w:ascii="Times New Roman" w:hAnsi="方正仿宋_GBK" w:eastAsia="方正仿宋_GBK" w:cs="方正仿宋_GBK"/>
          <w:sz w:val="32"/>
          <w:szCs w:val="32"/>
          <w:lang w:val="zh-TW" w:eastAsia="zh-TW"/>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（十）项目支出：</w:t>
      </w:r>
      <w:r>
        <w:rPr>
          <w:rFonts w:hint="eastAsia" w:ascii="Times New Roman" w:hAnsi="方正仿宋_GBK" w:eastAsia="方正仿宋_GBK" w:cs="方正仿宋_GBK"/>
          <w:sz w:val="32"/>
          <w:szCs w:val="32"/>
          <w:lang w:val="zh-TW" w:eastAsia="zh-TW"/>
        </w:rPr>
        <w:t>指在基本支出之外为完成特定行政任务和事业发展目标所发生的支出。</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（十一）经营支出：</w:t>
      </w:r>
      <w:r>
        <w:rPr>
          <w:rFonts w:hint="eastAsia" w:ascii="Times New Roman" w:hAnsi="方正仿宋_GBK" w:eastAsia="方正仿宋_GBK" w:cs="方正仿宋_GBK"/>
          <w:sz w:val="32"/>
          <w:szCs w:val="32"/>
          <w:lang w:val="zh-TW" w:eastAsia="zh-TW"/>
        </w:rPr>
        <w:t>指事业单位在专业业务活动及其辅助活动之外开展非独立核算经营活动发生的支出。</w:t>
      </w:r>
    </w:p>
    <w:p>
      <w:pPr>
        <w:widowControl/>
        <w:shd w:val="clear" w:color="auto" w:fill="FFFFFF"/>
        <w:ind w:firstLine="640" w:firstLineChars="200"/>
        <w:jc w:val="left"/>
        <w:rPr>
          <w:rFonts w:ascii="宋体" w:hAnsi="宋体" w:eastAsia="宋体" w:cs="宋体"/>
          <w:kern w:val="0"/>
          <w:sz w:val="24"/>
          <w:szCs w:val="24"/>
        </w:rPr>
      </w:pPr>
      <w:r>
        <w:rPr>
          <w:rFonts w:hint="eastAsia" w:ascii="方正楷体_GBK" w:hAnsi="方正楷体_GBK" w:eastAsia="方正楷体_GBK" w:cs="方正楷体_GBK"/>
          <w:snapToGrid w:val="0"/>
          <w:kern w:val="32"/>
          <w:sz w:val="32"/>
          <w:szCs w:val="32"/>
        </w:rPr>
        <w:t>（十二）“三公”经费：</w:t>
      </w:r>
      <w:r>
        <w:rPr>
          <w:rFonts w:hint="eastAsia" w:ascii="Times New Roman" w:hAnsi="方正仿宋_GBK" w:eastAsia="方正仿宋_GBK" w:cs="方正仿宋_GBK"/>
          <w:sz w:val="32"/>
          <w:szCs w:val="32"/>
          <w:lang w:val="zh-TW" w:eastAsia="zh-TW"/>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（十三）机关运行经费：</w:t>
      </w:r>
      <w:r>
        <w:rPr>
          <w:rFonts w:hint="eastAsia" w:ascii="Times New Roman" w:hAnsi="方正仿宋_GBK" w:eastAsia="方正仿宋_GBK" w:cs="方正仿宋_GBK"/>
          <w:sz w:val="32"/>
          <w:szCs w:val="32"/>
          <w:lang w:val="zh-TW" w:eastAsia="zh-TW"/>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ascii="方正楷体_GBK" w:hAnsi="方正楷体_GBK" w:eastAsia="方正楷体_GBK" w:cs="方正楷体_GBK"/>
          <w:snapToGrid w:val="0"/>
          <w:kern w:val="32"/>
          <w:sz w:val="32"/>
          <w:szCs w:val="32"/>
        </w:rPr>
        <w:t>（</w:t>
      </w:r>
      <w:r>
        <w:rPr>
          <w:rFonts w:hint="eastAsia" w:ascii="方正楷体_GBK" w:hAnsi="方正楷体_GBK" w:eastAsia="方正楷体_GBK" w:cs="方正楷体_GBK"/>
          <w:snapToGrid w:val="0"/>
          <w:kern w:val="32"/>
          <w:sz w:val="32"/>
          <w:szCs w:val="32"/>
        </w:rPr>
        <w:t>十四）工资福利支出（支出经济分类科目类级）：</w:t>
      </w:r>
      <w:r>
        <w:rPr>
          <w:rFonts w:hint="eastAsia" w:ascii="Times New Roman" w:hAnsi="方正仿宋_GBK" w:eastAsia="方正仿宋_GBK" w:cs="方正仿宋_GBK"/>
          <w:sz w:val="32"/>
          <w:szCs w:val="32"/>
          <w:lang w:val="zh-TW" w:eastAsia="zh-TW"/>
        </w:rPr>
        <w:t>反映单位开支的在职职工和编制外长期聘用人员的各类劳动报酬，以及为上述人员缴纳的各项社会保险费等。</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（十五）商品和服务支出（支出经济分类科目类级）：</w:t>
      </w:r>
      <w:r>
        <w:rPr>
          <w:rFonts w:hint="eastAsia" w:ascii="Times New Roman" w:hAnsi="方正仿宋_GBK" w:eastAsia="方正仿宋_GBK" w:cs="方正仿宋_GBK"/>
          <w:sz w:val="32"/>
          <w:szCs w:val="32"/>
          <w:lang w:val="zh-TW" w:eastAsia="zh-TW"/>
        </w:rPr>
        <w:t>反映单位购买商品和服务的支出（不包括用于购置固定资产的支出、战略性和应急储备支出）。</w:t>
      </w:r>
    </w:p>
    <w:p>
      <w:pPr>
        <w:widowControl/>
        <w:shd w:val="clear" w:color="auto" w:fill="FFFFFF"/>
        <w:ind w:firstLine="640" w:firstLineChars="200"/>
        <w:jc w:val="left"/>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（十六）对个人和家庭的补助（支出经济分类科目类级）：</w:t>
      </w:r>
      <w:r>
        <w:rPr>
          <w:rFonts w:hint="eastAsia" w:ascii="Times New Roman" w:hAnsi="方正仿宋_GBK" w:eastAsia="方正仿宋_GBK" w:cs="方正仿宋_GBK"/>
          <w:sz w:val="32"/>
          <w:szCs w:val="32"/>
          <w:lang w:val="zh-TW" w:eastAsia="zh-TW"/>
        </w:rPr>
        <w:t>反映用于对个人和家庭的补助支出。</w:t>
      </w:r>
    </w:p>
    <w:p>
      <w:pPr>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ascii="Times New Roman" w:hAnsi="方正仿宋_GBK" w:eastAsia="方正仿宋_GBK" w:cs="方正仿宋_GBK"/>
          <w:sz w:val="32"/>
          <w:szCs w:val="32"/>
          <w:lang w:val="zh-TW" w:eastAsia="zh-TW"/>
        </w:rPr>
        <w:t>反映非各级发展与改革部门集中安排的用于购置固定资产、战略性和应急性储备、土地和无形资产，以及构建基础设施、大型修缮和财政支持企业更新改造所发生的支出。</w:t>
      </w:r>
    </w:p>
    <w:p>
      <w:pPr>
        <w:pStyle w:val="18"/>
        <w:tabs>
          <w:tab w:val="center" w:pos="4153"/>
          <w:tab w:val="left" w:pos="7275"/>
        </w:tabs>
        <w:spacing w:line="560" w:lineRule="exact"/>
        <w:ind w:firstLine="640"/>
        <w:rPr>
          <w:rFonts w:eastAsia="方正黑体_GBK"/>
          <w:sz w:val="32"/>
          <w:szCs w:val="32"/>
        </w:rPr>
      </w:pPr>
      <w:r>
        <w:rPr>
          <w:rFonts w:hint="eastAsia" w:eastAsia="方正黑体_GBK"/>
          <w:sz w:val="32"/>
          <w:szCs w:val="32"/>
        </w:rPr>
        <w:t>七、决算公开联系方式及信息反馈渠道</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rPr>
        <w:t>本单位决算公开信息反馈和联系方式：</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rPr>
        <w:t>部门决算公开联系人：胡志娟</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rPr>
        <w:t>联系电话：023-67822433</w:t>
      </w:r>
    </w:p>
    <w:p>
      <w:pPr>
        <w:adjustRightInd w:val="0"/>
        <w:snapToGrid w:val="0"/>
        <w:spacing w:line="600" w:lineRule="exact"/>
        <w:ind w:firstLine="640" w:firstLineChars="200"/>
        <w:rPr>
          <w:rFonts w:ascii="Times New Roman" w:hAnsi="方正仿宋_GBK" w:eastAsia="方正仿宋_GBK" w:cs="方正仿宋_GBK"/>
          <w:sz w:val="32"/>
          <w:szCs w:val="32"/>
          <w:lang w:val="zh-TW"/>
        </w:rPr>
      </w:pPr>
      <w:r>
        <w:rPr>
          <w:rFonts w:hint="eastAsia" w:ascii="Times New Roman" w:hAnsi="方正仿宋_GBK" w:eastAsia="方正仿宋_GBK" w:cs="方正仿宋_GBK"/>
          <w:sz w:val="32"/>
          <w:szCs w:val="32"/>
          <w:lang w:val="zh-TW"/>
        </w:rPr>
        <w:t>邮箱：168116809@QQ.COM</w:t>
      </w:r>
    </w:p>
    <w:p>
      <w:pPr>
        <w:widowControl/>
        <w:shd w:val="clear" w:color="auto" w:fill="FFFFFF"/>
        <w:spacing w:before="100" w:beforeAutospacing="1" w:after="100" w:afterAutospacing="1"/>
        <w:jc w:val="left"/>
        <w:rPr>
          <w:rFonts w:ascii="宋体" w:hAnsi="宋体" w:eastAsia="宋体" w:cs="宋体"/>
          <w:kern w:val="0"/>
          <w:sz w:val="24"/>
          <w:szCs w:val="24"/>
          <w:lang w:eastAsia="zh-TW"/>
        </w:rPr>
      </w:pPr>
    </w:p>
    <w:p>
      <w:pPr>
        <w:rPr>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D8C07"/>
    <w:multiLevelType w:val="singleLevel"/>
    <w:tmpl w:val="64DD8C07"/>
    <w:lvl w:ilvl="0" w:tentative="0">
      <w:start w:val="2"/>
      <w:numFmt w:val="chineseCounting"/>
      <w:suff w:val="nothing"/>
      <w:lvlText w:val="（%1）"/>
      <w:lvlJc w:val="left"/>
    </w:lvl>
  </w:abstractNum>
  <w:abstractNum w:abstractNumId="1">
    <w:nsid w:val="64EC0D3C"/>
    <w:multiLevelType w:val="singleLevel"/>
    <w:tmpl w:val="64EC0D3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5452"/>
    <w:rsid w:val="00045452"/>
    <w:rsid w:val="00052D7F"/>
    <w:rsid w:val="000D5FE8"/>
    <w:rsid w:val="0012057A"/>
    <w:rsid w:val="00120B1F"/>
    <w:rsid w:val="00126207"/>
    <w:rsid w:val="00133F01"/>
    <w:rsid w:val="001622C7"/>
    <w:rsid w:val="001A429E"/>
    <w:rsid w:val="0020491B"/>
    <w:rsid w:val="002071CD"/>
    <w:rsid w:val="00211B36"/>
    <w:rsid w:val="00337F7A"/>
    <w:rsid w:val="00375B96"/>
    <w:rsid w:val="003D0E9E"/>
    <w:rsid w:val="003E1F4B"/>
    <w:rsid w:val="00461596"/>
    <w:rsid w:val="004A32B5"/>
    <w:rsid w:val="004D41C1"/>
    <w:rsid w:val="00531CF6"/>
    <w:rsid w:val="00570E3A"/>
    <w:rsid w:val="0059263F"/>
    <w:rsid w:val="005A13AB"/>
    <w:rsid w:val="0061438C"/>
    <w:rsid w:val="00697540"/>
    <w:rsid w:val="00697B1B"/>
    <w:rsid w:val="006F2249"/>
    <w:rsid w:val="00721E85"/>
    <w:rsid w:val="00723626"/>
    <w:rsid w:val="00797EBD"/>
    <w:rsid w:val="007A2964"/>
    <w:rsid w:val="007B639A"/>
    <w:rsid w:val="007D241F"/>
    <w:rsid w:val="007F66E7"/>
    <w:rsid w:val="008128D9"/>
    <w:rsid w:val="008945C7"/>
    <w:rsid w:val="008F4350"/>
    <w:rsid w:val="00906BE8"/>
    <w:rsid w:val="00954D68"/>
    <w:rsid w:val="009E4F6A"/>
    <w:rsid w:val="00A4436E"/>
    <w:rsid w:val="00A47C9F"/>
    <w:rsid w:val="00B74A54"/>
    <w:rsid w:val="00BB0E36"/>
    <w:rsid w:val="00C12465"/>
    <w:rsid w:val="00CA3898"/>
    <w:rsid w:val="00CC1440"/>
    <w:rsid w:val="00D17CA5"/>
    <w:rsid w:val="00DA5C8C"/>
    <w:rsid w:val="00E112EA"/>
    <w:rsid w:val="00E17D87"/>
    <w:rsid w:val="00E34E83"/>
    <w:rsid w:val="00F23FA1"/>
    <w:rsid w:val="00F62AA8"/>
    <w:rsid w:val="00F7661E"/>
    <w:rsid w:val="00FA179C"/>
    <w:rsid w:val="00FB27D7"/>
    <w:rsid w:val="00FC7EBA"/>
    <w:rsid w:val="00FF0BA3"/>
    <w:rsid w:val="014D3300"/>
    <w:rsid w:val="022420B5"/>
    <w:rsid w:val="02601A78"/>
    <w:rsid w:val="02A2305B"/>
    <w:rsid w:val="040D490A"/>
    <w:rsid w:val="056F5B1F"/>
    <w:rsid w:val="05AF767C"/>
    <w:rsid w:val="06322165"/>
    <w:rsid w:val="067C15A8"/>
    <w:rsid w:val="06BE7957"/>
    <w:rsid w:val="08351130"/>
    <w:rsid w:val="08F708FF"/>
    <w:rsid w:val="090564F3"/>
    <w:rsid w:val="094578F8"/>
    <w:rsid w:val="0A586123"/>
    <w:rsid w:val="0ACA463E"/>
    <w:rsid w:val="0CDB1129"/>
    <w:rsid w:val="0D1E41FB"/>
    <w:rsid w:val="0D387442"/>
    <w:rsid w:val="0D4C6500"/>
    <w:rsid w:val="0E66349F"/>
    <w:rsid w:val="0F044782"/>
    <w:rsid w:val="0F560155"/>
    <w:rsid w:val="0FC72CDE"/>
    <w:rsid w:val="10EE0A17"/>
    <w:rsid w:val="1152336C"/>
    <w:rsid w:val="115A0BA8"/>
    <w:rsid w:val="11CB0D51"/>
    <w:rsid w:val="12557B3C"/>
    <w:rsid w:val="12BF17E2"/>
    <w:rsid w:val="13CC3124"/>
    <w:rsid w:val="14195756"/>
    <w:rsid w:val="14F46460"/>
    <w:rsid w:val="155D0140"/>
    <w:rsid w:val="16624734"/>
    <w:rsid w:val="16E70266"/>
    <w:rsid w:val="17D23729"/>
    <w:rsid w:val="17E56755"/>
    <w:rsid w:val="17F609ED"/>
    <w:rsid w:val="181A1BB8"/>
    <w:rsid w:val="190742FF"/>
    <w:rsid w:val="1A6D6A52"/>
    <w:rsid w:val="1B45553F"/>
    <w:rsid w:val="1D4F02E3"/>
    <w:rsid w:val="1E9C7963"/>
    <w:rsid w:val="1EE97442"/>
    <w:rsid w:val="1F2830F3"/>
    <w:rsid w:val="1F467E43"/>
    <w:rsid w:val="1F970E42"/>
    <w:rsid w:val="1FB05A55"/>
    <w:rsid w:val="21A24C57"/>
    <w:rsid w:val="222B647C"/>
    <w:rsid w:val="22A73E69"/>
    <w:rsid w:val="251815E2"/>
    <w:rsid w:val="251D36C8"/>
    <w:rsid w:val="25503F12"/>
    <w:rsid w:val="26146125"/>
    <w:rsid w:val="27343F42"/>
    <w:rsid w:val="273B734D"/>
    <w:rsid w:val="27C90B0A"/>
    <w:rsid w:val="27E216F4"/>
    <w:rsid w:val="29AC7F0B"/>
    <w:rsid w:val="2AC10D67"/>
    <w:rsid w:val="2CC63BF7"/>
    <w:rsid w:val="2CEE796A"/>
    <w:rsid w:val="2EB50EF1"/>
    <w:rsid w:val="2F8B313A"/>
    <w:rsid w:val="30464C67"/>
    <w:rsid w:val="311577D2"/>
    <w:rsid w:val="337E009A"/>
    <w:rsid w:val="33D37534"/>
    <w:rsid w:val="355C361C"/>
    <w:rsid w:val="35667186"/>
    <w:rsid w:val="37BA5D58"/>
    <w:rsid w:val="3946649F"/>
    <w:rsid w:val="39830824"/>
    <w:rsid w:val="3A9241FB"/>
    <w:rsid w:val="3A964272"/>
    <w:rsid w:val="3AF071CD"/>
    <w:rsid w:val="3BDD182B"/>
    <w:rsid w:val="3D463919"/>
    <w:rsid w:val="3D9417C8"/>
    <w:rsid w:val="3DF275E1"/>
    <w:rsid w:val="3E44598A"/>
    <w:rsid w:val="3E4668D0"/>
    <w:rsid w:val="3EC64F57"/>
    <w:rsid w:val="41276C74"/>
    <w:rsid w:val="413B2AE7"/>
    <w:rsid w:val="41D85234"/>
    <w:rsid w:val="41F30E8C"/>
    <w:rsid w:val="42612788"/>
    <w:rsid w:val="42691E10"/>
    <w:rsid w:val="429F1E08"/>
    <w:rsid w:val="44726CFD"/>
    <w:rsid w:val="44CF4A8A"/>
    <w:rsid w:val="45003315"/>
    <w:rsid w:val="4512443A"/>
    <w:rsid w:val="45955AA9"/>
    <w:rsid w:val="46024268"/>
    <w:rsid w:val="467D5B1F"/>
    <w:rsid w:val="480C4B0E"/>
    <w:rsid w:val="49421905"/>
    <w:rsid w:val="4A376B06"/>
    <w:rsid w:val="4BC513F1"/>
    <w:rsid w:val="4C0C3DA9"/>
    <w:rsid w:val="4C8B6870"/>
    <w:rsid w:val="4CD030F0"/>
    <w:rsid w:val="4DDA0BAB"/>
    <w:rsid w:val="516D76B7"/>
    <w:rsid w:val="537C5CD7"/>
    <w:rsid w:val="53F17289"/>
    <w:rsid w:val="54B435E1"/>
    <w:rsid w:val="55663F0E"/>
    <w:rsid w:val="55845D79"/>
    <w:rsid w:val="55C077DC"/>
    <w:rsid w:val="55F45743"/>
    <w:rsid w:val="56493563"/>
    <w:rsid w:val="56C26658"/>
    <w:rsid w:val="56F91E37"/>
    <w:rsid w:val="57507764"/>
    <w:rsid w:val="57B53CC3"/>
    <w:rsid w:val="580B55B8"/>
    <w:rsid w:val="582E5797"/>
    <w:rsid w:val="5A323544"/>
    <w:rsid w:val="5A485E27"/>
    <w:rsid w:val="5AFC0130"/>
    <w:rsid w:val="5B394CC3"/>
    <w:rsid w:val="5B636148"/>
    <w:rsid w:val="5C173555"/>
    <w:rsid w:val="5C2F527B"/>
    <w:rsid w:val="5DE569D6"/>
    <w:rsid w:val="5E490594"/>
    <w:rsid w:val="61B224D5"/>
    <w:rsid w:val="61E8429C"/>
    <w:rsid w:val="626C545F"/>
    <w:rsid w:val="62EC53CA"/>
    <w:rsid w:val="63E20DA3"/>
    <w:rsid w:val="66F2569F"/>
    <w:rsid w:val="67FB6E2D"/>
    <w:rsid w:val="683D7EA9"/>
    <w:rsid w:val="69154B8D"/>
    <w:rsid w:val="6B07089D"/>
    <w:rsid w:val="6B6E22D5"/>
    <w:rsid w:val="6B8159FA"/>
    <w:rsid w:val="6D4E3966"/>
    <w:rsid w:val="6F0A65D2"/>
    <w:rsid w:val="70F63450"/>
    <w:rsid w:val="712C732C"/>
    <w:rsid w:val="724B2FA9"/>
    <w:rsid w:val="72D61354"/>
    <w:rsid w:val="73E645DE"/>
    <w:rsid w:val="745C3267"/>
    <w:rsid w:val="74C5310E"/>
    <w:rsid w:val="75824268"/>
    <w:rsid w:val="765F2D01"/>
    <w:rsid w:val="76D27283"/>
    <w:rsid w:val="78EF56C0"/>
    <w:rsid w:val="79935A76"/>
    <w:rsid w:val="79FF4F01"/>
    <w:rsid w:val="7B2370D2"/>
    <w:rsid w:val="7E823216"/>
    <w:rsid w:val="7F5774ED"/>
    <w:rsid w:val="7F862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1"/>
    <w:unhideWhenUsed/>
    <w:qFormat/>
    <w:uiPriority w:val="99"/>
    <w:pPr>
      <w:spacing w:after="120"/>
    </w:pPr>
    <w:rPr>
      <w:rFonts w:ascii="Times New Roman" w:hAnsi="Times New Roman" w:eastAsia="宋体" w:cs="Times New Roman"/>
      <w:szCs w:val="24"/>
    </w:r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character" w:customStyle="1" w:styleId="14">
    <w:name w:val="批注框文本 Char"/>
    <w:basedOn w:val="8"/>
    <w:link w:val="4"/>
    <w:semiHidden/>
    <w:qFormat/>
    <w:uiPriority w:val="99"/>
    <w:rPr>
      <w:sz w:val="18"/>
      <w:szCs w:val="18"/>
    </w:rPr>
  </w:style>
  <w:style w:type="paragraph" w:customStyle="1" w:styleId="15">
    <w:name w:val="_Style 1"/>
    <w:basedOn w:val="1"/>
    <w:qFormat/>
    <w:uiPriority w:val="34"/>
    <w:pPr>
      <w:ind w:firstLine="420" w:firstLineChars="200"/>
    </w:pPr>
    <w:rPr>
      <w:rFonts w:ascii="Times New Roman" w:hAnsi="Times New Roman" w:eastAsia="宋体" w:cs="Times New Roman"/>
    </w:rPr>
  </w:style>
  <w:style w:type="paragraph" w:customStyle="1" w:styleId="16">
    <w:name w:val="列出段落1"/>
    <w:basedOn w:val="1"/>
    <w:qFormat/>
    <w:uiPriority w:val="34"/>
    <w:pPr>
      <w:ind w:firstLine="420" w:firstLineChars="200"/>
    </w:pPr>
  </w:style>
  <w:style w:type="paragraph" w:customStyle="1" w:styleId="17">
    <w:name w:val="_Style 2"/>
    <w:basedOn w:val="1"/>
    <w:qFormat/>
    <w:uiPriority w:val="34"/>
    <w:pPr>
      <w:ind w:firstLine="420" w:firstLineChars="200"/>
    </w:pPr>
  </w:style>
  <w:style w:type="paragraph" w:customStyle="1" w:styleId="18">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1104</Words>
  <Characters>6298</Characters>
  <Lines>52</Lines>
  <Paragraphs>14</Paragraphs>
  <TotalTime>0</TotalTime>
  <ScaleCrop>false</ScaleCrop>
  <LinksUpToDate>false</LinksUpToDate>
  <CharactersWithSpaces>7388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2022-08-15T06:42:00Z</dcterms:created>
  <dc:creator>AutoBVT</dc:creator>
  <cp:lastModifiedBy>USER</cp:lastModifiedBy>
  <dcterms:modified xsi:type="dcterms:W3CDTF">2024-02-28T06:38:39Z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