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_GBK" w:eastAsia="方正小标宋_GBK"/>
          <w:color w:val="00000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_GBK" w:eastAsia="方正小标宋_GBK"/>
          <w:color w:val="00000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_GBK" w:eastAsia="方正小标宋_GBK"/>
          <w:color w:val="000000"/>
          <w:sz w:val="44"/>
          <w:szCs w:val="44"/>
          <w:lang w:val="en-US" w:eastAsia="zh-CN"/>
        </w:rPr>
      </w:pPr>
      <w:r>
        <w:rPr>
          <w:rFonts w:eastAsia="方正小标宋_GBK"/>
        </w:rPr>
        <w:pict>
          <v:shape id="_x0000_s1026" o:spid="_x0000_s1026" o:spt="136" type="#_x0000_t136" style="position:absolute;left:0pt;margin-left:-4.45pt;margin-top:27.9pt;height:62.35pt;width:442.2pt;z-index:-251657216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重庆市渝北区乡村治理工作领导小组办公室文件" style="font-family:方正小标宋_GBK;font-size:36pt;v-text-align:center;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_GBK" w:eastAsia="方正小标宋_GBK"/>
          <w:color w:val="00000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line="560" w:lineRule="exact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line="560" w:lineRule="exact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渝北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乡村治理办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〔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color w:val="000000"/>
          <w:sz w:val="34"/>
          <w:szCs w:val="34"/>
        </w:rPr>
      </w:pP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23495</wp:posOffset>
                </wp:positionV>
                <wp:extent cx="5615940" cy="0"/>
                <wp:effectExtent l="0" t="19050" r="3810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ln w="381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.05pt;margin-top:1.85pt;height:0pt;width:442.2pt;z-index:-251655168;mso-width-relative:page;mso-height-relative:page;" filled="f" stroked="t" coordsize="21600,21600" o:gfxdata="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teFJOtcAAAAGAQAADwAA&#10;AAAAAAABACAAAAAiAAAAZHJzL2Rvd25yZXYueG1sUEsBAhQAFAAAAAgAh07iQCkqlRDeAQAAlwMA&#10;AA4AAAAAAAAAAQAgAAAAJgEAAGRycy9lMm9Eb2MueG1sUEsFBgAAAAAGAAYAWQEAAHYFAAAAAA==&#10;">
                <v:fill on="f" focussize="0,0"/>
                <v:stroke weight="3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_GBK" w:eastAsia="方正小标宋_GBK"/>
          <w:color w:val="00000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eastAsia="方正小标宋_GBK"/>
          <w:color w:val="000000"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color w:val="000000"/>
          <w:sz w:val="44"/>
          <w:szCs w:val="44"/>
          <w:lang w:val="en-US" w:eastAsia="zh-CN"/>
        </w:rPr>
        <w:t>重庆市渝北区乡村治理领导小组办公室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方正小标宋_GBK"/>
          <w:color w:val="000000"/>
          <w:spacing w:val="-23"/>
          <w:sz w:val="44"/>
          <w:szCs w:val="44"/>
          <w:lang w:val="en-US" w:eastAsia="zh-CN"/>
        </w:rPr>
        <w:t>关于印发《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渝北区推广运用乡村治理“院落制”工作实施方案</w:t>
      </w:r>
      <w:r>
        <w:rPr>
          <w:rFonts w:hint="eastAsia" w:ascii="Times New Roman" w:hAnsi="Times New Roman" w:eastAsia="方正小标宋_GBK" w:cs="方正小标宋_GBK"/>
          <w:color w:val="000000"/>
          <w:spacing w:val="-23"/>
          <w:sz w:val="44"/>
          <w:szCs w:val="44"/>
          <w:lang w:val="en-US" w:eastAsia="zh-CN"/>
        </w:rPr>
        <w:t>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仿宋" w:eastAsia="方正仿宋_GBK"/>
          <w:sz w:val="32"/>
          <w:szCs w:val="32"/>
        </w:rPr>
      </w:pPr>
      <w:r>
        <w:rPr>
          <w:rFonts w:hint="eastAsia" w:ascii="方正仿宋_GBK" w:hAnsi="仿宋" w:eastAsia="方正仿宋_GBK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各镇人民政府，王家街道、双凤桥街道办事处：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“院落制”是推动乡村治理网格化管理和精细化服务的有效方式，是构建党建引领自治法治德治智治“四治”融合乡村治理体系的重要支撑。为加快推进乡村治理方式实践创新，不断提高乡村治理精细度和实效性，现将《渝北区推广运用乡村治理“院落制”工作实施方案》现印发给你们，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 w:bidi="ar-SA"/>
        </w:rPr>
        <w:t>请认真贯彻落实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both"/>
        <w:textAlignment w:val="auto"/>
        <w:rPr>
          <w:rFonts w:hint="eastAsia" w:ascii="方正仿宋_GBK" w:hAnsi="方正小标宋_GBK" w:eastAsia="方正仿宋_GBK" w:cs="方正小标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both"/>
        <w:textAlignment w:val="auto"/>
        <w:rPr>
          <w:rFonts w:hint="eastAsia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both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（此页无正文）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K" w:hAnsi="方正小标宋_GBK" w:eastAsia="方正仿宋_GBK" w:cs="方正小标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K" w:hAnsi="方正小标宋_GBK" w:eastAsia="方正仿宋_GBK" w:cs="方正小标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cs="Times New Roman"/>
          <w:kern w:val="0"/>
          <w:sz w:val="32"/>
          <w:lang w:val="en-US" w:eastAsia="zh-CN"/>
        </w:rPr>
      </w:pPr>
      <w:r>
        <w:rPr>
          <w:rFonts w:hint="eastAsia" w:ascii="方正仿宋_GBK" w:hAnsi="方正小标宋_GBK" w:eastAsia="方正仿宋_GBK" w:cs="方正小标宋_GBK"/>
          <w:sz w:val="32"/>
          <w:szCs w:val="32"/>
          <w:lang w:val="en-US" w:eastAsia="zh-CN"/>
        </w:rPr>
        <w:t xml:space="preserve">            </w:t>
      </w:r>
      <w:r>
        <w:rPr>
          <w:rFonts w:hint="eastAsia" w:ascii="方正仿宋_GBK" w:hAnsi="方正小标宋_GBK" w:eastAsia="方正仿宋_GBK" w:cs="方正小标宋_GBK"/>
          <w:sz w:val="32"/>
          <w:szCs w:val="32"/>
        </w:rPr>
        <w:t xml:space="preserve">重庆市渝北区乡村治理工作领导小组办公室     </w:t>
      </w:r>
      <w:r>
        <w:rPr>
          <w:rFonts w:hint="eastAsia" w:ascii="方正仿宋_GBK" w:hAnsi="方正小标宋_GBK" w:cs="方正小标宋_GBK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kern w:val="0"/>
          <w:sz w:val="32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K" w:hAnsi="仿宋" w:eastAsia="方正仿宋_GBK"/>
          <w:sz w:val="32"/>
          <w:szCs w:val="32"/>
        </w:rPr>
      </w:pPr>
      <w:r>
        <w:rPr>
          <w:rFonts w:hint="eastAsia" w:ascii="Times New Roman" w:hAnsi="Times New Roman" w:cs="Times New Roman"/>
          <w:kern w:val="0"/>
          <w:sz w:val="32"/>
          <w:lang w:val="en-US" w:eastAsia="zh-CN"/>
        </w:rPr>
        <w:t xml:space="preserve">             </w:t>
      </w:r>
      <w:r>
        <w:rPr>
          <w:rFonts w:hint="eastAsia" w:cs="Times New Roman"/>
          <w:kern w:val="0"/>
          <w:sz w:val="32"/>
          <w:lang w:val="en-US" w:eastAsia="zh-CN"/>
        </w:rPr>
        <w:t xml:space="preserve">         </w:t>
      </w:r>
      <w:r>
        <w:rPr>
          <w:rFonts w:hint="default" w:ascii="Times New Roman" w:hAnsi="Times New Roman" w:eastAsia="方正仿宋_GBK" w:cs="Times New Roman"/>
          <w:kern w:val="0"/>
          <w:sz w:val="32"/>
          <w:lang w:val="en-US" w:eastAsia="zh-CN"/>
        </w:rPr>
        <w:t>202</w:t>
      </w:r>
      <w:r>
        <w:rPr>
          <w:rFonts w:hint="eastAsia" w:eastAsia="方正仿宋_GBK" w:cs="Times New Roman"/>
          <w:kern w:val="0"/>
          <w:sz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kern w:val="0"/>
          <w:sz w:val="32"/>
          <w:lang w:val="en-US" w:eastAsia="zh-CN"/>
        </w:rPr>
        <w:t>年</w:t>
      </w:r>
      <w:r>
        <w:rPr>
          <w:rFonts w:hint="eastAsia" w:eastAsia="方正仿宋_GBK" w:cs="Times New Roman"/>
          <w:kern w:val="0"/>
          <w:sz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kern w:val="0"/>
          <w:sz w:val="32"/>
          <w:lang w:val="en-US" w:eastAsia="zh-CN"/>
        </w:rPr>
        <w:t>月</w:t>
      </w:r>
      <w:r>
        <w:rPr>
          <w:rFonts w:hint="eastAsia" w:eastAsia="方正仿宋_GBK" w:cs="Times New Roman"/>
          <w:kern w:val="0"/>
          <w:sz w:val="3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kern w:val="0"/>
          <w:sz w:val="32"/>
          <w:lang w:val="en-US" w:eastAsia="zh-CN"/>
        </w:rPr>
        <w:t>日</w:t>
      </w:r>
      <w:r>
        <w:rPr>
          <w:rFonts w:hint="eastAsia" w:ascii="方正仿宋_GBK" w:hAnsi="仿宋" w:eastAsia="方正仿宋_GBK"/>
          <w:sz w:val="32"/>
          <w:szCs w:val="32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both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both"/>
        <w:textAlignment w:val="auto"/>
        <w:rPr>
          <w:rFonts w:hint="eastAsia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both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（联系人：杨珂；联系电话：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86091804；邮箱：38290988@qq.com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320" w:firstLineChars="1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both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single" w:color="auto" w:sz="4" w:space="1"/>
          <w:bottom w:val="single" w:color="auto" w:sz="4" w:space="1"/>
          <w:between w:val="single" w:color="auto" w:sz="4" w:space="1"/>
        </w:pBd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spacing w:val="-23"/>
          <w:w w:val="100"/>
          <w:sz w:val="28"/>
          <w:szCs w:val="28"/>
        </w:rPr>
        <w:t>重庆市渝北区</w:t>
      </w:r>
      <w:r>
        <w:rPr>
          <w:rFonts w:hint="eastAsia" w:ascii="Times New Roman" w:hAnsi="Times New Roman" w:eastAsia="方正仿宋_GBK" w:cs="Times New Roman"/>
          <w:spacing w:val="-23"/>
          <w:w w:val="100"/>
          <w:sz w:val="28"/>
          <w:szCs w:val="28"/>
          <w:lang w:eastAsia="zh-CN"/>
        </w:rPr>
        <w:t>乡村治理工作领导小</w:t>
      </w:r>
      <w:r>
        <w:rPr>
          <w:rFonts w:hint="default" w:ascii="Times New Roman" w:hAnsi="Times New Roman" w:eastAsia="方正仿宋_GBK" w:cs="Times New Roman"/>
          <w:spacing w:val="-23"/>
          <w:w w:val="100"/>
          <w:sz w:val="28"/>
          <w:szCs w:val="28"/>
          <w:lang w:eastAsia="zh-CN"/>
        </w:rPr>
        <w:t>组办公室</w:t>
      </w:r>
      <w:r>
        <w:rPr>
          <w:rFonts w:hint="default" w:ascii="Times New Roman" w:hAnsi="Times New Roman" w:eastAsia="方正仿宋_GBK" w:cs="Times New Roman"/>
          <w:spacing w:val="-23"/>
          <w:w w:val="100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pacing w:val="-23"/>
          <w:w w:val="95"/>
          <w:sz w:val="28"/>
          <w:szCs w:val="28"/>
          <w:lang w:val="en-US" w:eastAsia="zh-CN"/>
        </w:rPr>
        <w:t xml:space="preserve">     </w:t>
      </w:r>
      <w:r>
        <w:rPr>
          <w:rFonts w:hint="eastAsia" w:ascii="Times New Roman" w:hAnsi="Times New Roman" w:eastAsia="方正仿宋_GBK" w:cs="Times New Roman"/>
          <w:spacing w:val="-23"/>
          <w:w w:val="95"/>
          <w:sz w:val="28"/>
          <w:szCs w:val="28"/>
          <w:lang w:val="en-US" w:eastAsia="zh-CN"/>
        </w:rPr>
        <w:t xml:space="preserve">           </w:t>
      </w:r>
      <w:r>
        <w:rPr>
          <w:rFonts w:hint="default" w:ascii="Times New Roman" w:hAnsi="Times New Roman" w:eastAsia="方正仿宋_GBK" w:cs="Times New Roman"/>
          <w:spacing w:val="0"/>
          <w:w w:val="100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方正仿宋_GBK" w:cs="Times New Roman"/>
          <w:spacing w:val="0"/>
          <w:w w:val="100"/>
          <w:sz w:val="28"/>
          <w:szCs w:val="28"/>
          <w:lang w:val="en-US" w:eastAsia="zh-CN"/>
        </w:rPr>
        <w:t>202</w:t>
      </w:r>
      <w:r>
        <w:rPr>
          <w:rFonts w:hint="eastAsia" w:eastAsia="方正仿宋_GBK" w:cs="Times New Roman"/>
          <w:spacing w:val="0"/>
          <w:w w:val="100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年</w:t>
      </w:r>
      <w:r>
        <w:rPr>
          <w:rFonts w:hint="eastAsia" w:eastAsia="方正仿宋_GBK" w:cs="Times New Roman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月</w:t>
      </w:r>
      <w:r>
        <w:rPr>
          <w:rFonts w:hint="eastAsia" w:eastAsia="方正仿宋_GBK" w:cs="Times New Roman"/>
          <w:sz w:val="28"/>
          <w:szCs w:val="28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日印发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渝北区推广运用乡村治理“院落制”工作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实施方案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为深入贯彻落实《中共中央办公厅国务院办公厅关于加强和改进乡村治理的指导意见》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中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办发〔2021〕41号）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《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中共重庆市委重庆市人民政府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关于加强基层治理体系和治理能力现代化建设的实施意见》（渝委发〔2021〕19号）</w:t>
      </w:r>
      <w:r>
        <w:rPr>
          <w:rFonts w:hint="eastAsia" w:eastAsia="方正仿宋_GBK" w:cs="Times New Roman"/>
          <w:sz w:val="32"/>
          <w:szCs w:val="32"/>
          <w:lang w:eastAsia="zh-CN"/>
        </w:rPr>
        <w:t>、《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重庆市乡村振兴局重庆市农业农村委员会关于推行乡村治理“院落微治理”的指导意见</w:t>
      </w:r>
      <w:r>
        <w:rPr>
          <w:rFonts w:hint="eastAsia" w:eastAsia="方正仿宋_GBK" w:cs="Times New Roman"/>
          <w:sz w:val="32"/>
          <w:szCs w:val="32"/>
          <w:lang w:eastAsia="zh-CN"/>
        </w:rPr>
        <w:t>》、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《中共重庆市渝北区委办公室重庆市渝北区人民政府办公室关于建立“五长联动”机制的通知》（</w:t>
      </w:r>
      <w:r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val="en-US" w:eastAsia="zh-CN" w:bidi="ar"/>
        </w:rPr>
        <w:t>渝北委办发〔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2022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val="en-US" w:eastAsia="zh-CN" w:bidi="ar"/>
        </w:rPr>
        <w:t>〕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13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val="en-US" w:eastAsia="zh-CN" w:bidi="ar"/>
        </w:rPr>
        <w:t>号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）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精神，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针对农村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空心化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问题突出、网格治理单元较大、农民群众参与度不高、村级组织服务管理较薄弱等问题，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结合我区“五长联动”制，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总结相关经验做法的基础上，决定在全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区推广运用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乡村治理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院落制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进一步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推动乡村网格化精细管理和乡村治理重心下移，不断提高乡村治理能力和水平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现制定如下实施方案。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一、总体要求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以习近平新时代中国特色社会主义思想为指导，全面贯彻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落实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党的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二十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大精神，紧紧围绕全面推进乡村振兴战略部署，坚持加强党对乡村治理的领导，坚持农民群众主体作用，坚持自治、法治、德治协同发力，坚持因地制宜设定院落功能定位，以自然村落为基点设立院落，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结合我区“五长联动”机制，织密基层管理网络，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以政府引导、村民参与、自治服务为主要手段，突出小院共建、共管、共享，细化基层自治单元，缩小治理服务半径，丰富乡村治理手段，扁平化、规范化、数字化推动村民自我管理、自我教育、自我服务，不断提升乡村治理效能，聚力推动乡村全面振兴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到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2023年底，实现全区173个行政村全覆盖推广运用乡村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院落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微治理”，打通乡村治理“最后一米”，实现党组织引领院落治理，服务自治和问题化解在院落，乡村治理效能显著提升。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推行一批试点示范院落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到2024年底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，创建市级“院落微治理”示范村20个、乡村治理“院落+ ”数字化示范村20个，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评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区级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乡村治理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“幸福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院落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”1000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个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优秀院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落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长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”1000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二、重点工作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（一）因地制宜建好院落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 xml:space="preserve">1.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科学设置院落。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按照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地域相连、民风相近、群众自愿、能力匹配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的原则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各镇街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优先在基层组织战斗力强、生产生活相对集中、群众基础好、民风淳朴的村开展试点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示范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并逐步全域覆盖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。院落设置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结合区“五长联动”制中院落的划分，原则上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以自然村落为基点，辐射带动周边农户，一个院落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院湾、院坝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以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—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40户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为宜，各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镇街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可结合实际优化调整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以便于管理为原则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。院落划定遵循群众自愿，按照村党组织发动、院落申报、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镇街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审核、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区级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确定的程序设定。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镇街指导做好院落命名、院落运行管理制度制定、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设置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地方特色的院落标识标牌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等工作。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 xml:space="preserve">2.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选好“院落长”。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按照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个人自荐、群众推荐、村级审查、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镇街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审定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的原则产生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院落长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，规模较大的院落可设置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eastAsia="方正仿宋_GBK" w:cs="Times New Roman"/>
          <w:sz w:val="32"/>
          <w:szCs w:val="32"/>
          <w:lang w:eastAsia="zh-CN"/>
        </w:rPr>
        <w:t>—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3人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组成的院落管理委员会。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院落长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应当由热心公益事业、责任心强、有一定文化水平和组织能力、群众公认度高的常住居民担任，重点从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农村党、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乡贤能人、退休同志、致富带头人等选出，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优先在村（居）民代表中选任，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原则上不由村社干部兼任。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 xml:space="preserve">3.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建立院落联系机制。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建立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镇街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机关干部和村支两委成员、驻村工作队队员联系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院落长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制度，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镇街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干部包村，村党组织书记兼任辖区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总院落长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，指导推动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院落制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试点落细落实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院落实行定人、定岗、定责，因特殊情况不在岗期间，以相邻方便为原则实行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AB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角制度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有条件的可探索将党小组设在院落，原则上由党小组组长兼任“院落长”。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（二）明确院落主要任务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 xml:space="preserve">1.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开展自治服务。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围绕中央大政方针和各级出台的政策措施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通过新时代文明实践站（点）、“小院讲堂”“院落茶馆”“院落主题日”等载体，依托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民情茶室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亲亲家园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和心亭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乡村治理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平台，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第一时间进院落、进农户，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把政策讲活讲明讲透。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设立群众议事厅（堂）、百姓说事点，引导群众自己说事、议事、主事、管事。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 xml:space="preserve">2.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发展庭院经济。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盘活院落土地、房屋、森林、水体等资源，采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用种植养殖、生态循环、加工作坊、休闲产业等模式，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因地制宜组织村民发展特色农业、观光旅游、休闲采摘、农耕体验、乡村民宿等产业，发展壮大庭院经济。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 xml:space="preserve">3.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搞好环境卫生。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组织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院落农户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、公益岗位和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志愿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服务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者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，组建小院清洁队，定期开展院落环境卫生清洁行动，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打好村庄清洁行动“四季战役”，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搞好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院落内部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检查评比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和院落间拉练、观摩等活动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，引导农民群众养成卫生定时打扫、物品定点摆放、畜禽定点饲养，勤洗、勤扫、勤捡，看厨房、看卧室、看厕所是否干净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“三定三勤三看”生活习惯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形成院院做清洁、户户搞卫生、人人爱干净的良好氛围，打造干净整洁有序美丽的院落人居环境。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 xml:space="preserve">4. </w:t>
      </w:r>
      <w:r>
        <w:rPr>
          <w:rFonts w:hint="eastAsia" w:eastAsia="方正仿宋_GBK" w:cs="Times New Roman"/>
          <w:b/>
          <w:bCs/>
          <w:sz w:val="32"/>
          <w:szCs w:val="32"/>
          <w:lang w:val="en-US" w:eastAsia="zh-CN"/>
        </w:rPr>
        <w:t>建设平安院落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通过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情理堂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民情茶室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众议堂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平台，运用“桂姐调解”“和为贵调解”“律师驻所调解”“天平调解”等调解载体，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及时排查发现院落矛盾纠纷，确保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小事不出院落、大事不出村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。组建平安院落巡逻队，负责院落夜间治安巡逻、群防联控等工作，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及时排查消除院内安全隐患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。组织法治教育进院落，在院落培育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农村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法律明白人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学法用法示范户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建设平安院落，提升群众法治意识。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 xml:space="preserve">5.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收集社情民意。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通过定期走访、民情恳谈、院落会议、村民夜话、建立微信群、设置意见箱等方式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广泛收集社情民意，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建立乡村产业发展、农村基础设施建设、农村公共服务、农村人环境整治、农村集体经济发展等问题台账，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及时整理上报，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做好下情上传、上情下达，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疏通联系群众的毛细血管。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大力推行“三事分流”，分层分类解决问题，实现“小事不出院落、大事不出村、矛盾不上交”。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 xml:space="preserve">6.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开展邻里互助。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开展邻里互助和院落志愿服务，创设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邻里妈妈团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等方式，有条件的院落建设村民养老互助点，针对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孤寡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老人照料、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留守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儿童教育、农业生产等具体困难，开展互帮互助活动，营造与邻为善、以邻为伴、守望相助、和谐团结的良好氛围。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 xml:space="preserve">7.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培育院落文化。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大力挖掘院落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历史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文化，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弘扬农耕文明，传承忠孝文化，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讲好院落故事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建好农家书屋。有条件的地方可以院落为基础，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打造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小精特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村情村史馆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开发富有特色的文创产品，保护传承乡情文化。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8. 倡导文明乡风。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常态化开展群众喜闻乐见的文化、体育活动，丰富院落村民精神文化生活。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开展</w:t>
      </w:r>
      <w:r>
        <w:rPr>
          <w:rFonts w:hint="eastAsia" w:ascii="Times New Roman" w:hAnsi="Times New Roman" w:eastAsia="方正仿宋_GBK" w:cs="Times New Roman"/>
          <w:bCs/>
          <w:kern w:val="33"/>
          <w:sz w:val="32"/>
          <w:szCs w:val="32"/>
        </w:rPr>
        <w:t>高价彩礼、大操大办、人情攀比、铺张浪费、厚葬薄养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等农村移风易俗重点领域突出问题专项治理，</w:t>
      </w:r>
      <w:r>
        <w:rPr>
          <w:rFonts w:hint="eastAsia" w:eastAsia="方正仿宋_GBK" w:cs="Times New Roman"/>
          <w:kern w:val="2"/>
          <w:sz w:val="32"/>
          <w:szCs w:val="32"/>
          <w:lang w:val="en-US" w:eastAsia="zh-CN" w:bidi="ar-SA"/>
        </w:rPr>
        <w:t>杜绝“活人墓”“豪华墓”，引导村民婚丧嫁娶从简，不办无事酒，确需举办的尽可能缩小规模。持续深入开展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“三管一养成”</w:t>
      </w:r>
      <w:r>
        <w:rPr>
          <w:rFonts w:hint="eastAsia" w:eastAsia="方正仿宋_GBK" w:cs="Times New Roman"/>
          <w:kern w:val="2"/>
          <w:sz w:val="32"/>
          <w:szCs w:val="32"/>
          <w:lang w:val="en-US" w:eastAsia="zh-CN" w:bidi="ar-SA"/>
        </w:rPr>
        <w:t>“十抵制十提倡”等活动，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大力培育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文明乡风、良好家风、淳朴民风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（三）加强院落建设管理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 xml:space="preserve">1.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加强院落规划。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坚持规划引导、典型示范，因地制宜做好院落基础设施、产业发展、公共服务等规划，突出历史文化传承、传统村落保护、乡村风貌塑造，打造一批望得见山、看得见水、记得住乡愁、富有乡村味道的美丽村落。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围绕党组织引领下的自治德治法治智治“四治”融合发展，坚持农民主体，解决农民急难愁盼问题，创新乡村治理方式，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策划包装一批乡村治理示范项目，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积极争取上级资金，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下沉至院落组织实施。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2. 完善硬件设施。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统筹整合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巩固拓展脱贫攻坚成果同乡村振兴有效衔接、农村人居环境整治、乡村建设资金项目，完善院落道路、水利、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照明、人居环境、通信、文化休闲等基础设施，推动文化、医疗卫生、科技、广播、快递、金融等服务进院落﹐打通基础设施和公共服务进村入户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最后一百米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。按照适宜、美观、管用原则，在院落设置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一牌一约一栏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，即: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xx小院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标牌、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xx院落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公约、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xx院落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公示公告栏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提高群众知晓度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和辨识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度。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eastAsia="方正仿宋_GBK" w:cs="Times New Roman"/>
          <w:b/>
          <w:bCs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 xml:space="preserve">.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坚持共建共享。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将院落事务作为群众参与乡村治理的重要载体，在院落设立和申报、运行管理、活动开展等过程中，充分听取群众意见建议。探索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院落说事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基层自治议事制度，构建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敞开说—大家议—齐心办—院落评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闭环议事规则，推进群众说事、干部问事、集中议事、合力办事、民主评事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五事工作法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和大事政府办、小事村社办、私事自己办的“三事分流法”，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让村民有序参与院落治理。引导当地乡贤能人、退休人员、外出返乡人员等参与院落治理，组建院落志愿服务队伍，探索政府购买社工服务，组织动员社会力量捐赠，调动各方面资源参与院落治理。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eastAsia="方正仿宋_GBK" w:cs="Times New Roman"/>
          <w:b/>
          <w:bCs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 xml:space="preserve">.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实行积分管理。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结合乡村治理积分制，探索以院落为基本单元进行积分，开展院落间的积分竞赛活动，对表现好、积分高的院落和村民进行奖励，激发群众参与积极性。开展乡村治理数字化建设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从组织群众、引导群众的角度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突出实用、好用、管用，推行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钉钉小院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即已建设应用的乡村钉钉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等乡村治理平台，建立村民线上线下参与渠道，通过数字化、信息化手段为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院落制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赋能。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三、组织保障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color w:val="0000FF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一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）加强组织领导。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要将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乡村治理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院落制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工作作为加强和改进乡村治理、助力乡村全面振兴、深入推进社会治理现代化的重要手段，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纳入“五长联动”制清单管理目录，区级层面要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坚持党政主要领导统筹抓、分管领导亲自抓、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区乡村治理办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具体抓，统筹组织、宣传、政法、民政、司法、农业农村、乡村振兴等部门，细化工作措施，形成工作合力。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各镇街要坚持主要领导亲自抓，分管领导具体抓，牵头科室抓具体，村社抓落实的原则，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制定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本镇街推广运用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乡村治理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院落制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工作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方案，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经单位主要领导审定同意后，将工作方案和渝北区乡村治理“院落制”名单，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于2023年3月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前报送至区乡村治理办备案。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）加强政策保障。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积极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统筹组织、宣传、政法、司法、农业农村、住建、乡村振兴等资源，为院落建设提供政策、资金、项目、人才支持，放大治理资源叠加效应。将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院落制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工作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的推广运用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情况作为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下一年度巩固拓展脱贫攻坚成果同乡村振兴有效衔接资金、农村人居环境整治资金、乡村建设资金安排和乡村治理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考核激励的重要因素。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并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作为推选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全市、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全国乡村治理示范村、镇的重要条件。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镇街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组织开展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幸福院落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优秀院长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等评选活动，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级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将积极推选至市级，以争取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以奖代补、通报表扬等支持。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）加强宣传推广。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坚持因地制宜、分类实施、有序开展，不搞一刀切、齐步走。鼓励各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镇街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、村级组织结合实际，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在“五长联动”制的基础上，不断完善，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探索创新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院落制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实现方式和有效路径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及时总结推广经验做法，加大典型案例总结宣传力度，增强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院落制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的示范性和影响力。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附件：渝北区乡村治理“院落制”名单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5YWJiOWM1M2Y0ZDFmNTg5M2IwOTZiN2Q0OTFmOWEifQ=="/>
  </w:docVars>
  <w:rsids>
    <w:rsidRoot w:val="00000000"/>
    <w:rsid w:val="098C69F0"/>
    <w:rsid w:val="0EA92831"/>
    <w:rsid w:val="0F3C4D39"/>
    <w:rsid w:val="19443358"/>
    <w:rsid w:val="1A815666"/>
    <w:rsid w:val="1A822CB7"/>
    <w:rsid w:val="1C4F3541"/>
    <w:rsid w:val="1CA81171"/>
    <w:rsid w:val="1DA71CD4"/>
    <w:rsid w:val="22CD7EAA"/>
    <w:rsid w:val="234937DA"/>
    <w:rsid w:val="26D720CC"/>
    <w:rsid w:val="283D08B5"/>
    <w:rsid w:val="289D0CA6"/>
    <w:rsid w:val="2B9B5E5B"/>
    <w:rsid w:val="2C8114F5"/>
    <w:rsid w:val="2D88240F"/>
    <w:rsid w:val="2E2F10ED"/>
    <w:rsid w:val="30280E28"/>
    <w:rsid w:val="31085D41"/>
    <w:rsid w:val="31AC060E"/>
    <w:rsid w:val="34DF7419"/>
    <w:rsid w:val="38710670"/>
    <w:rsid w:val="3C3E7F67"/>
    <w:rsid w:val="3CF01E51"/>
    <w:rsid w:val="3CFA4EBA"/>
    <w:rsid w:val="4A897A9B"/>
    <w:rsid w:val="4B771FE9"/>
    <w:rsid w:val="4C6D6F48"/>
    <w:rsid w:val="4FDD6193"/>
    <w:rsid w:val="4FE15C83"/>
    <w:rsid w:val="5457613E"/>
    <w:rsid w:val="572D6BB8"/>
    <w:rsid w:val="59237874"/>
    <w:rsid w:val="5CEA6A94"/>
    <w:rsid w:val="5E954808"/>
    <w:rsid w:val="6346457F"/>
    <w:rsid w:val="63E31B72"/>
    <w:rsid w:val="64E64726"/>
    <w:rsid w:val="6AD05952"/>
    <w:rsid w:val="6BD10E4A"/>
    <w:rsid w:val="6DD733CE"/>
    <w:rsid w:val="73033B98"/>
    <w:rsid w:val="73D05F2C"/>
    <w:rsid w:val="74F57957"/>
    <w:rsid w:val="77A95593"/>
    <w:rsid w:val="7D3B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iPriority="99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index 8"/>
    <w:basedOn w:val="1"/>
    <w:next w:val="1"/>
    <w:unhideWhenUsed/>
    <w:qFormat/>
    <w:uiPriority w:val="99"/>
    <w:pPr>
      <w:ind w:left="1400" w:leftChars="1400"/>
    </w:p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3752</Words>
  <Characters>3838</Characters>
  <Lines>0</Lines>
  <Paragraphs>0</Paragraphs>
  <TotalTime>7</TotalTime>
  <ScaleCrop>false</ScaleCrop>
  <LinksUpToDate>false</LinksUpToDate>
  <CharactersWithSpaces>3926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2022-05-24T03:04:00Z</dcterms:created>
  <dc:creator>Administrator</dc:creator>
  <cp:lastModifiedBy>asus</cp:lastModifiedBy>
  <dcterms:modified xsi:type="dcterms:W3CDTF">2023-11-09T09:50:43Z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  <property fmtid="{D5CDD505-2E9C-101B-9397-08002B2CF9AE}" pid="3" name="ICV">
    <vt:lpwstr>1CD4911DB7FF44CABBC5D3288A32F39E</vt:lpwstr>
  </property>
</Properties>
</file>