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关于《渝北区民政事业发展“十四五”规划（送审稿）》起草情况的说明</w:t>
      </w:r>
    </w:p>
    <w:p>
      <w:pPr>
        <w:rPr>
          <w:rFonts w:ascii="方正仿宋_GBK" w:eastAsia="方正仿宋_GBK"/>
          <w:sz w:val="32"/>
          <w:szCs w:val="32"/>
        </w:rPr>
      </w:pPr>
    </w:p>
    <w:p>
      <w:pPr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为统筹谋划好全区“十四五”时期民政事业发展方向、发展目标、重点任务和保障措施，</w:t>
      </w:r>
      <w:r>
        <w:rPr>
          <w:rFonts w:eastAsia="方正仿宋_GBK"/>
          <w:kern w:val="0"/>
          <w:sz w:val="32"/>
          <w:szCs w:val="32"/>
        </w:rPr>
        <w:t>推</w:t>
      </w:r>
      <w:r>
        <w:rPr>
          <w:rFonts w:hint="eastAsia" w:eastAsia="方正仿宋_GBK"/>
          <w:kern w:val="0"/>
          <w:sz w:val="32"/>
          <w:szCs w:val="32"/>
        </w:rPr>
        <w:t>动</w:t>
      </w:r>
      <w:r>
        <w:rPr>
          <w:rFonts w:eastAsia="方正仿宋_GBK"/>
          <w:kern w:val="0"/>
          <w:sz w:val="32"/>
          <w:szCs w:val="32"/>
        </w:rPr>
        <w:t>民政事业高质量发展，</w:t>
      </w:r>
      <w:r>
        <w:rPr>
          <w:rFonts w:hint="eastAsia" w:ascii="方正仿宋_GBK" w:eastAsia="方正仿宋_GBK"/>
          <w:sz w:val="32"/>
          <w:szCs w:val="32"/>
        </w:rPr>
        <w:t>区民政局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编制了《渝北区民政事业发展“十四五”规划（送审稿）》（以下简称《规划（送审稿）》）。现将有关情况说明如下：</w:t>
      </w:r>
    </w:p>
    <w:p>
      <w:pPr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一、起草背景及过程</w:t>
      </w:r>
    </w:p>
    <w:p>
      <w:pPr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《规划（送审稿）》编制工作于2019年11月启动。编制过程中，我们深入贯彻习近平总书记</w:t>
      </w:r>
      <w:r>
        <w:rPr>
          <w:rFonts w:ascii="Times New Roman" w:hAnsi="Times New Roman" w:eastAsia="方正仿宋_GBK"/>
          <w:color w:val="000000"/>
          <w:sz w:val="32"/>
          <w:szCs w:val="30"/>
        </w:rPr>
        <w:t>关于民政工作的重要指示精神</w:t>
      </w:r>
      <w:r>
        <w:rPr>
          <w:rFonts w:hint="eastAsia" w:ascii="方正仿宋_GBK" w:hAnsi="Calibri" w:eastAsia="方正仿宋_GBK" w:cs="Times New Roman"/>
          <w:sz w:val="32"/>
          <w:szCs w:val="32"/>
        </w:rPr>
        <w:t>、《中华人民共和国国民经济和社会发展第十四个五年规划和2035年远景目标纲要》《成渝地区双城经济圈规划纲要》等精神，全面落实《重庆市国民经济和社会发展第十四个五年规划和</w:t>
      </w:r>
      <w:bookmarkStart w:id="0" w:name="_GoBack"/>
      <w:bookmarkEnd w:id="0"/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二〇三五年远景目标</w:t>
      </w:r>
      <w:r>
        <w:rPr>
          <w:rFonts w:hint="eastAsia" w:ascii="方正仿宋_GBK" w:hAnsi="Calibri" w:eastAsia="方正仿宋_GBK" w:cs="Times New Roman"/>
          <w:sz w:val="32"/>
          <w:szCs w:val="32"/>
        </w:rPr>
        <w:t>纲要》《重庆市渝北区国民经济和社会发展第十四个五年规划和</w:t>
      </w:r>
      <w:r>
        <w:rPr>
          <w:rFonts w:hint="eastAsia" w:ascii="方正仿宋_GBK" w:hAnsi="Calibri" w:eastAsia="方正仿宋_GBK" w:cs="Times New Roman"/>
          <w:sz w:val="32"/>
          <w:szCs w:val="32"/>
          <w:lang w:eastAsia="zh-CN"/>
        </w:rPr>
        <w:t>二〇三五年远景目标</w:t>
      </w:r>
      <w:r>
        <w:rPr>
          <w:rFonts w:hint="eastAsia" w:ascii="方正仿宋_GBK" w:hAnsi="Calibri" w:eastAsia="方正仿宋_GBK" w:cs="Times New Roman"/>
          <w:sz w:val="32"/>
          <w:szCs w:val="32"/>
        </w:rPr>
        <w:t>纲要》、区政府《关于加强和改进新时代民政工作的实施意见》等决策部署，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结合民政工作实际，</w:t>
      </w:r>
      <w:r>
        <w:rPr>
          <w:rFonts w:hint="eastAsia" w:ascii="方正仿宋_GBK" w:hAnsi="Calibri" w:eastAsia="方正仿宋_GBK" w:cs="Times New Roman"/>
          <w:sz w:val="32"/>
          <w:szCs w:val="32"/>
        </w:rPr>
        <w:t>坚持“开门编规划”，广泛征求各镇街、区级相关部门意见，形成《规划（送审稿）》。</w:t>
      </w:r>
    </w:p>
    <w:p>
      <w:pPr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二、基本框架</w:t>
      </w:r>
    </w:p>
    <w:p>
      <w:pPr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仿宋_GBK" w:hAnsi="Calibri" w:eastAsia="方正仿宋_GBK" w:cs="Times New Roman"/>
          <w:sz w:val="32"/>
          <w:szCs w:val="32"/>
        </w:rPr>
        <w:t>《规划（送审稿）》分为7章31节。第一章总结“十三五”发展成就、分析“十四五”面临挑战和发展机遇；第二章提出“十四五”发展的指导思想、基本原则和发展目标；第三章至六章围绕4个重点方面，分别对未来五年的主要任务做了安排部署；第七章是保障措施，确保各项目标任务落到实处。</w:t>
      </w:r>
    </w:p>
    <w:p>
      <w:pPr>
        <w:ind w:firstLine="640" w:firstLineChars="200"/>
        <w:rPr>
          <w:rFonts w:ascii="方正黑体_GBK" w:hAnsi="Calibri" w:eastAsia="方正黑体_GBK" w:cs="Times New Roman"/>
          <w:sz w:val="32"/>
          <w:szCs w:val="32"/>
        </w:rPr>
      </w:pPr>
      <w:r>
        <w:rPr>
          <w:rFonts w:hint="eastAsia" w:ascii="方正黑体_GBK" w:hAnsi="Calibri" w:eastAsia="方正黑体_GBK" w:cs="Times New Roman"/>
          <w:sz w:val="32"/>
          <w:szCs w:val="32"/>
        </w:rPr>
        <w:t>三、重点任务</w:t>
      </w:r>
    </w:p>
    <w:p>
      <w:pPr>
        <w:ind w:firstLine="640" w:firstLineChars="200"/>
        <w:rPr>
          <w:rFonts w:ascii="Times New Roman" w:hAnsi="Times New Roman" w:eastAsia="方正仿宋_GBK"/>
          <w:color w:val="000000"/>
          <w:sz w:val="32"/>
          <w:szCs w:val="30"/>
        </w:rPr>
      </w:pPr>
      <w:r>
        <w:rPr>
          <w:rFonts w:hint="eastAsia" w:ascii="方正仿宋_GBK" w:hAnsi="Calibri" w:eastAsia="方正仿宋_GBK" w:cs="Times New Roman"/>
          <w:bCs/>
          <w:sz w:val="32"/>
          <w:szCs w:val="32"/>
        </w:rPr>
        <w:t>我们</w:t>
      </w:r>
      <w:r>
        <w:rPr>
          <w:rFonts w:ascii="Times New Roman" w:hAnsi="Times New Roman" w:eastAsia="方正仿宋_GBK"/>
          <w:color w:val="000000"/>
          <w:sz w:val="32"/>
          <w:szCs w:val="30"/>
        </w:rPr>
        <w:t>坚持尽力而为、量力而行，</w:t>
      </w:r>
      <w:r>
        <w:rPr>
          <w:rFonts w:ascii="Times New Roman" w:hAnsi="Times New Roman" w:eastAsia="方正仿宋_GBK"/>
          <w:color w:val="000000"/>
          <w:kern w:val="32"/>
          <w:sz w:val="32"/>
          <w:szCs w:val="32"/>
        </w:rPr>
        <w:t>紧扣标准型、法治型、服务型、智慧型、创新型“五型民政”建设，</w:t>
      </w:r>
      <w:r>
        <w:rPr>
          <w:rFonts w:hint="eastAsia" w:ascii="Times New Roman" w:hAnsi="Times New Roman" w:eastAsia="方正仿宋_GBK"/>
          <w:color w:val="000000"/>
          <w:sz w:val="32"/>
          <w:szCs w:val="30"/>
        </w:rPr>
        <w:t>以</w:t>
      </w:r>
      <w:r>
        <w:rPr>
          <w:rFonts w:hint="eastAsia" w:eastAsia="方正仿宋_GBK"/>
          <w:kern w:val="0"/>
          <w:sz w:val="32"/>
          <w:szCs w:val="32"/>
        </w:rPr>
        <w:t>加快构建与渝北“四区”定位相协调、与人民群众对美好生活需要相呼应、与推进社会主义现代化国家建设相适应的现代民政事业发展新格局，民政工作继续走在全市最前列</w:t>
      </w:r>
      <w:r>
        <w:rPr>
          <w:rFonts w:hint="eastAsia" w:ascii="Times New Roman" w:hAnsi="Times New Roman" w:eastAsia="方正仿宋_GBK"/>
          <w:color w:val="000000"/>
          <w:sz w:val="32"/>
          <w:szCs w:val="30"/>
        </w:rPr>
        <w:t>为目标，</w:t>
      </w:r>
      <w:r>
        <w:rPr>
          <w:rFonts w:hint="eastAsia" w:ascii="方正仿宋_GBK" w:hAnsi="Calibri" w:eastAsia="方正仿宋_GBK" w:cs="Times New Roman"/>
          <w:bCs/>
          <w:sz w:val="32"/>
          <w:szCs w:val="32"/>
        </w:rPr>
        <w:t>从以下</w:t>
      </w:r>
      <w:r>
        <w:rPr>
          <w:rFonts w:hint="eastAsia" w:ascii="方正仿宋_GBK" w:hAnsi="Calibri" w:eastAsia="方正仿宋_GBK" w:cs="Times New Roman"/>
          <w:sz w:val="32"/>
          <w:szCs w:val="32"/>
        </w:rPr>
        <w:t>四个方面谋划民政事业发展重点任务：</w:t>
      </w:r>
    </w:p>
    <w:p>
      <w:pPr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（一）提升基本民生保障水平。</w:t>
      </w:r>
      <w:r>
        <w:rPr>
          <w:rFonts w:ascii="Times New Roman" w:hAnsi="Times New Roman" w:eastAsia="方正仿宋_GBK"/>
          <w:color w:val="000000"/>
          <w:sz w:val="32"/>
          <w:szCs w:val="32"/>
        </w:rPr>
        <w:t>适应人的全面发展和全体人民共同富裕进程，</w:t>
      </w:r>
      <w:r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  <w:t>推动巩固拓展脱贫攻坚兜底保障成果同乡村振兴有效衔接，健全分层分类的社会救助体系，稳步提升残疾人、孤儿等社会福利水平，发挥福利彩票支持保障作用。</w:t>
      </w:r>
    </w:p>
    <w:p>
      <w:pPr>
        <w:ind w:firstLine="640" w:firstLineChars="20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（二）加强和创新基层社会治理。</w:t>
      </w:r>
      <w:r>
        <w:rPr>
          <w:rFonts w:hint="eastAsia" w:ascii="Times New Roman" w:hAnsi="Times New Roman" w:eastAsia="方正仿宋_GBK"/>
          <w:color w:val="000000"/>
          <w:spacing w:val="1"/>
          <w:sz w:val="32"/>
          <w:szCs w:val="32"/>
        </w:rPr>
        <w:t>创新新形势下社区治理模式，</w:t>
      </w:r>
      <w:r>
        <w:rPr>
          <w:rFonts w:ascii="Times New Roman" w:hAnsi="Times New Roman" w:eastAsia="方正仿宋_GBK"/>
          <w:color w:val="000000"/>
          <w:spacing w:val="1"/>
          <w:sz w:val="32"/>
          <w:szCs w:val="32"/>
        </w:rPr>
        <w:t>强化城乡社区治理和服务体系建设，</w:t>
      </w:r>
      <w:r>
        <w:rPr>
          <w:rFonts w:hint="eastAsia" w:ascii="Times New Roman" w:hAnsi="Times New Roman" w:eastAsia="方正仿宋_GBK"/>
          <w:color w:val="000000"/>
          <w:spacing w:val="1"/>
          <w:sz w:val="32"/>
          <w:szCs w:val="32"/>
        </w:rPr>
        <w:t>大力加强社会组织培育发展，</w:t>
      </w:r>
      <w:r>
        <w:rPr>
          <w:rFonts w:ascii="Times New Roman" w:hAnsi="Times New Roman" w:eastAsia="方正仿宋_GBK"/>
          <w:color w:val="000000"/>
          <w:spacing w:val="1"/>
          <w:sz w:val="32"/>
          <w:szCs w:val="32"/>
        </w:rPr>
        <w:t>发挥社会组织在社会治理中的作用，</w:t>
      </w:r>
      <w:r>
        <w:rPr>
          <w:rFonts w:hint="eastAsia" w:ascii="Times New Roman" w:hAnsi="Times New Roman" w:eastAsia="方正仿宋_GBK"/>
          <w:color w:val="000000"/>
          <w:spacing w:val="1"/>
          <w:sz w:val="32"/>
          <w:szCs w:val="32"/>
        </w:rPr>
        <w:t>构建多层次社工和志愿者服务体系，</w:t>
      </w:r>
      <w:r>
        <w:rPr>
          <w:rFonts w:ascii="Times New Roman" w:hAnsi="Times New Roman" w:eastAsia="方正仿宋_GBK"/>
          <w:color w:val="000000"/>
          <w:spacing w:val="1"/>
          <w:sz w:val="32"/>
          <w:szCs w:val="32"/>
        </w:rPr>
        <w:t>畅通社会工作者和志愿者参与社会治理途径，大力发展慈善事业，建设人人有责、人人尽责、人人享有的基层社会治理共同体</w:t>
      </w:r>
      <w:r>
        <w:rPr>
          <w:rFonts w:ascii="Times New Roman" w:hAnsi="Times New Roman" w:eastAsia="方正仿宋_GBK"/>
          <w:color w:val="000000"/>
          <w:sz w:val="32"/>
          <w:szCs w:val="32"/>
        </w:rPr>
        <w:t>。</w:t>
      </w:r>
    </w:p>
    <w:p>
      <w:pPr>
        <w:ind w:firstLine="640" w:firstLineChars="200"/>
        <w:rPr>
          <w:rFonts w:ascii="方正楷体_GBK" w:hAnsi="Calibri" w:eastAsia="方正楷体_GBK" w:cs="Times New Roman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（三）优化基本社会服务体系。</w:t>
      </w:r>
      <w:r>
        <w:rPr>
          <w:rFonts w:hint="eastAsia" w:ascii="方正仿宋_GBK" w:hAnsi="仿宋" w:eastAsia="方正仿宋_GBK"/>
          <w:color w:val="000000"/>
          <w:sz w:val="32"/>
          <w:szCs w:val="32"/>
        </w:rPr>
        <w:t>提升婚姻服务水平，</w:t>
      </w:r>
      <w:r>
        <w:rPr>
          <w:rFonts w:hint="eastAsia" w:ascii="方正仿宋_GBK" w:hAnsi="仿宋" w:eastAsia="方正仿宋_GBK" w:cs="方正仿宋_GBK"/>
          <w:color w:val="000000"/>
          <w:sz w:val="32"/>
          <w:szCs w:val="32"/>
        </w:rPr>
        <w:t>优化殡葬服务、流浪乞讨人员救助管理、区划地名管理等公共服务，加强农村留守妇女关爱，合理拓展服务内容，显著提升基本社会服务质量。</w:t>
      </w:r>
    </w:p>
    <w:p>
      <w:pPr>
        <w:ind w:firstLine="640" w:firstLineChars="200"/>
        <w:rPr>
          <w:rFonts w:ascii="方正仿宋_GBK" w:hAnsi="仿宋" w:eastAsia="方正仿宋_GBK" w:cs="宋体-简"/>
          <w:color w:val="000000"/>
          <w:sz w:val="32"/>
          <w:szCs w:val="32"/>
        </w:rPr>
      </w:pPr>
      <w:r>
        <w:rPr>
          <w:rFonts w:hint="eastAsia" w:ascii="方正楷体_GBK" w:hAnsi="Calibri" w:eastAsia="方正楷体_GBK" w:cs="Times New Roman"/>
          <w:sz w:val="32"/>
          <w:szCs w:val="32"/>
        </w:rPr>
        <w:t>（四）促进养老服务业发展。</w:t>
      </w:r>
      <w:r>
        <w:rPr>
          <w:rFonts w:hint="eastAsia" w:ascii="方正仿宋_GBK" w:hAnsi="仿宋" w:eastAsia="方正仿宋_GBK" w:cs="宋体-简"/>
          <w:color w:val="000000"/>
          <w:sz w:val="32"/>
          <w:szCs w:val="32"/>
        </w:rPr>
        <w:t>落实积极应对人口老龄化国家战略</w:t>
      </w:r>
      <w:r>
        <w:rPr>
          <w:rFonts w:hint="eastAsia" w:ascii="方正仿宋_GBK" w:hAnsi="仿宋" w:eastAsia="方正仿宋_GBK" w:cs="Songti SC Regular"/>
          <w:color w:val="000000"/>
          <w:sz w:val="32"/>
          <w:szCs w:val="32"/>
        </w:rPr>
        <w:t>，深化养老服务制度改革创新，</w:t>
      </w:r>
      <w:r>
        <w:rPr>
          <w:rFonts w:hint="eastAsia" w:ascii="方正仿宋_GBK" w:hAnsi="仿宋" w:eastAsia="方正仿宋_GBK" w:cs="宋体-简"/>
          <w:color w:val="000000"/>
          <w:sz w:val="32"/>
          <w:szCs w:val="32"/>
        </w:rPr>
        <w:t>提升居家社区机构养老服务品质，</w:t>
      </w:r>
      <w:r>
        <w:rPr>
          <w:rFonts w:hint="eastAsia" w:ascii="方正仿宋_GBK" w:hAnsi="仿宋" w:eastAsia="方正仿宋_GBK" w:cs="Songti SC Regular"/>
          <w:color w:val="000000"/>
          <w:sz w:val="32"/>
          <w:szCs w:val="32"/>
        </w:rPr>
        <w:t>强化机构养老服务能力，</w:t>
      </w:r>
      <w:r>
        <w:rPr>
          <w:rFonts w:hint="eastAsia" w:ascii="方正仿宋_GBK" w:hAnsi="仿宋" w:eastAsia="方正仿宋_GBK" w:cs="宋体-简"/>
          <w:color w:val="000000"/>
          <w:sz w:val="32"/>
          <w:szCs w:val="32"/>
        </w:rPr>
        <w:t>深入推进医养康养结合发展，积极发展农村互助养老，健全养老服务综合监管制度，推动养老事业和养老产业协同发展。</w:t>
      </w:r>
    </w:p>
    <w:p>
      <w:pPr>
        <w:ind w:firstLine="640" w:firstLineChars="200"/>
        <w:rPr>
          <w:rFonts w:ascii="方正仿宋_GBK" w:hAnsi="Calibri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Songti SC Regular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3BC"/>
    <w:rsid w:val="00030FC3"/>
    <w:rsid w:val="00083F3C"/>
    <w:rsid w:val="000D6B2D"/>
    <w:rsid w:val="000E23BC"/>
    <w:rsid w:val="00196945"/>
    <w:rsid w:val="001F569C"/>
    <w:rsid w:val="002A7491"/>
    <w:rsid w:val="00345593"/>
    <w:rsid w:val="0041765A"/>
    <w:rsid w:val="0042026D"/>
    <w:rsid w:val="00477826"/>
    <w:rsid w:val="00497320"/>
    <w:rsid w:val="005F262F"/>
    <w:rsid w:val="00611B85"/>
    <w:rsid w:val="00622350"/>
    <w:rsid w:val="00632D27"/>
    <w:rsid w:val="00661F50"/>
    <w:rsid w:val="00674601"/>
    <w:rsid w:val="00684C5A"/>
    <w:rsid w:val="006C77E2"/>
    <w:rsid w:val="00700741"/>
    <w:rsid w:val="0073766C"/>
    <w:rsid w:val="00753D78"/>
    <w:rsid w:val="007A2E10"/>
    <w:rsid w:val="007D13CD"/>
    <w:rsid w:val="00843E60"/>
    <w:rsid w:val="00860733"/>
    <w:rsid w:val="008D55C4"/>
    <w:rsid w:val="00981299"/>
    <w:rsid w:val="009F706A"/>
    <w:rsid w:val="00A06348"/>
    <w:rsid w:val="00A40118"/>
    <w:rsid w:val="00A47CC6"/>
    <w:rsid w:val="00AA53F9"/>
    <w:rsid w:val="00AD0F46"/>
    <w:rsid w:val="00AE7D92"/>
    <w:rsid w:val="00B00AC6"/>
    <w:rsid w:val="00B246A0"/>
    <w:rsid w:val="00B6776B"/>
    <w:rsid w:val="00B75D27"/>
    <w:rsid w:val="00B8175E"/>
    <w:rsid w:val="00B87E0E"/>
    <w:rsid w:val="00B97DD1"/>
    <w:rsid w:val="00C73F75"/>
    <w:rsid w:val="00CC2C72"/>
    <w:rsid w:val="00CD18BC"/>
    <w:rsid w:val="00CE1302"/>
    <w:rsid w:val="00D77D92"/>
    <w:rsid w:val="00DC7BE3"/>
    <w:rsid w:val="00E353AE"/>
    <w:rsid w:val="00E75C0C"/>
    <w:rsid w:val="00EB086C"/>
    <w:rsid w:val="00EF07D1"/>
    <w:rsid w:val="00F222BC"/>
    <w:rsid w:val="00F445CA"/>
    <w:rsid w:val="00F50D14"/>
    <w:rsid w:val="00F5516C"/>
    <w:rsid w:val="00F67140"/>
    <w:rsid w:val="00FA01DD"/>
    <w:rsid w:val="00FA7301"/>
    <w:rsid w:val="00FC20BE"/>
    <w:rsid w:val="0450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semiHidden/>
    <w:unhideWhenUsed/>
    <w:uiPriority w:val="99"/>
    <w:pPr>
      <w:ind w:left="800" w:leftChars="800"/>
    </w:pPr>
  </w:style>
  <w:style w:type="paragraph" w:styleId="3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2"/>
    <w:semiHidden/>
    <w:uiPriority w:val="0"/>
    <w:pPr>
      <w:widowControl/>
      <w:spacing w:before="100" w:after="100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Char Char Char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30"/>
      <w:szCs w:val="30"/>
      <w:lang w:eastAsia="en-US"/>
    </w:rPr>
  </w:style>
  <w:style w:type="character" w:customStyle="1" w:styleId="10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175</Words>
  <Characters>1003</Characters>
  <Lines>8</Lines>
  <Paragraphs>2</Paragraphs>
  <TotalTime>1</TotalTime>
  <ScaleCrop>false</ScaleCrop>
  <LinksUpToDate>false</LinksUpToDate>
  <CharactersWithSpaces>1176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2021-10-09T02:07:00Z</dcterms:created>
  <dc:creator>HP</dc:creator>
  <cp:lastModifiedBy>杨倩怡</cp:lastModifiedBy>
  <dcterms:modified xsi:type="dcterms:W3CDTF">2024-12-09T03:13:47Z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