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700" w:lineRule="exact"/>
        <w:jc w:val="center"/>
        <w:rPr>
          <w:rFonts w:ascii="宋体" w:hAnsi="宋体"/>
          <w:b/>
          <w:bCs/>
          <w:sz w:val="48"/>
          <w:szCs w:val="48"/>
        </w:rPr>
      </w:pPr>
      <w:bookmarkStart w:id="131" w:name="_GoBack"/>
      <w:bookmarkEnd w:id="131"/>
    </w:p>
    <w:p>
      <w:pPr>
        <w:snapToGrid w:val="0"/>
        <w:spacing w:line="700" w:lineRule="exact"/>
        <w:jc w:val="center"/>
        <w:rPr>
          <w:rFonts w:ascii="宋体" w:hAnsi="宋体"/>
          <w:b/>
          <w:bCs/>
          <w:sz w:val="48"/>
          <w:szCs w:val="48"/>
        </w:rPr>
      </w:pPr>
      <w:r>
        <w:rPr>
          <w:rFonts w:hint="eastAsia" w:ascii="宋体" w:hAnsi="宋体"/>
          <w:b/>
          <w:bCs/>
          <w:sz w:val="48"/>
          <w:szCs w:val="48"/>
        </w:rPr>
        <w:t>渝北区森林消防水箱建设项目</w:t>
      </w:r>
    </w:p>
    <w:p>
      <w:pPr>
        <w:snapToGrid w:val="0"/>
        <w:spacing w:line="700" w:lineRule="exact"/>
        <w:jc w:val="center"/>
        <w:rPr>
          <w:rFonts w:ascii="宋体" w:hAnsi="宋体" w:cs="Times New Roman"/>
          <w:b/>
          <w:bCs/>
          <w:kern w:val="0"/>
          <w:sz w:val="52"/>
          <w:szCs w:val="52"/>
        </w:rPr>
      </w:pPr>
      <w:r>
        <w:rPr>
          <w:rFonts w:hint="eastAsia" w:ascii="宋体" w:hAnsi="宋体" w:cs="Times New Roman"/>
          <w:b/>
          <w:bCs/>
          <w:kern w:val="0"/>
          <w:sz w:val="52"/>
          <w:szCs w:val="52"/>
        </w:rPr>
        <w:t xml:space="preserve"> </w:t>
      </w:r>
      <w:r>
        <w:rPr>
          <w:rFonts w:ascii="宋体" w:hAnsi="宋体" w:cs="Times New Roman"/>
          <w:b/>
          <w:bCs/>
          <w:kern w:val="0"/>
          <w:sz w:val="52"/>
          <w:szCs w:val="52"/>
        </w:rPr>
        <w:t>设</w:t>
      </w:r>
      <w:r>
        <w:rPr>
          <w:rFonts w:hint="eastAsia" w:ascii="宋体" w:hAnsi="宋体" w:cs="Times New Roman"/>
          <w:b/>
          <w:bCs/>
          <w:kern w:val="0"/>
          <w:sz w:val="52"/>
          <w:szCs w:val="52"/>
        </w:rPr>
        <w:t xml:space="preserve">  </w:t>
      </w:r>
      <w:r>
        <w:rPr>
          <w:rFonts w:ascii="宋体" w:hAnsi="宋体" w:cs="Times New Roman"/>
          <w:b/>
          <w:bCs/>
          <w:kern w:val="0"/>
          <w:sz w:val="52"/>
          <w:szCs w:val="52"/>
        </w:rPr>
        <w:t>计</w:t>
      </w:r>
      <w:r>
        <w:rPr>
          <w:rFonts w:hint="eastAsia" w:ascii="宋体" w:hAnsi="宋体" w:cs="Times New Roman"/>
          <w:b/>
          <w:bCs/>
          <w:kern w:val="0"/>
          <w:sz w:val="52"/>
          <w:szCs w:val="52"/>
        </w:rPr>
        <w:t xml:space="preserve">  </w:t>
      </w:r>
      <w:r>
        <w:rPr>
          <w:rFonts w:ascii="宋体" w:hAnsi="宋体" w:cs="Times New Roman"/>
          <w:b/>
          <w:bCs/>
          <w:kern w:val="0"/>
          <w:sz w:val="52"/>
          <w:szCs w:val="52"/>
        </w:rPr>
        <w:t>方</w:t>
      </w:r>
      <w:r>
        <w:rPr>
          <w:rFonts w:hint="eastAsia" w:ascii="宋体" w:hAnsi="宋体" w:cs="Times New Roman"/>
          <w:b/>
          <w:bCs/>
          <w:kern w:val="0"/>
          <w:sz w:val="52"/>
          <w:szCs w:val="52"/>
        </w:rPr>
        <w:t xml:space="preserve">  </w:t>
      </w:r>
      <w:r>
        <w:rPr>
          <w:rFonts w:ascii="宋体" w:hAnsi="宋体" w:cs="Times New Roman"/>
          <w:b/>
          <w:bCs/>
          <w:kern w:val="0"/>
          <w:sz w:val="52"/>
          <w:szCs w:val="52"/>
        </w:rPr>
        <w:t>案</w:t>
      </w:r>
    </w:p>
    <w:p>
      <w:pPr>
        <w:spacing w:line="600" w:lineRule="exact"/>
        <w:jc w:val="center"/>
        <w:rPr>
          <w:rFonts w:ascii="黑体" w:hAnsi="黑体" w:eastAsia="黑体" w:cs="Times New Roman"/>
          <w:b/>
          <w:kern w:val="0"/>
          <w:sz w:val="36"/>
          <w:szCs w:val="36"/>
        </w:rPr>
      </w:pPr>
    </w:p>
    <w:p>
      <w:pPr>
        <w:jc w:val="center"/>
        <w:rPr>
          <w:rFonts w:ascii="Times New Roman" w:hAnsi="Times New Roman" w:eastAsia="华文行楷" w:cs="Times New Roman"/>
          <w:b/>
          <w:kern w:val="0"/>
          <w:sz w:val="72"/>
        </w:rPr>
      </w:pPr>
    </w:p>
    <w:p>
      <w:pPr>
        <w:jc w:val="center"/>
        <w:rPr>
          <w:rFonts w:ascii="Times New Roman" w:hAnsi="Times New Roman" w:eastAsia="华文行楷" w:cs="Times New Roman"/>
          <w:b/>
          <w:kern w:val="0"/>
          <w:sz w:val="72"/>
        </w:rPr>
      </w:pPr>
    </w:p>
    <w:p>
      <w:pPr>
        <w:jc w:val="center"/>
        <w:rPr>
          <w:rFonts w:ascii="Times New Roman" w:hAnsi="Times New Roman" w:eastAsia="华文行楷" w:cs="Times New Roman"/>
          <w:b/>
          <w:kern w:val="0"/>
          <w:sz w:val="36"/>
          <w:szCs w:val="36"/>
        </w:rPr>
      </w:pPr>
    </w:p>
    <w:p>
      <w:pPr>
        <w:jc w:val="center"/>
        <w:rPr>
          <w:rFonts w:ascii="Times New Roman" w:hAnsi="Times New Roman" w:eastAsia="华文行楷" w:cs="Times New Roman"/>
          <w:b/>
          <w:kern w:val="0"/>
          <w:sz w:val="36"/>
          <w:szCs w:val="36"/>
        </w:rPr>
      </w:pPr>
    </w:p>
    <w:p>
      <w:pPr>
        <w:jc w:val="center"/>
        <w:rPr>
          <w:rFonts w:ascii="Times New Roman" w:hAnsi="Times New Roman" w:eastAsia="华文行楷" w:cs="Times New Roman"/>
          <w:b/>
          <w:kern w:val="0"/>
          <w:sz w:val="32"/>
          <w:szCs w:val="32"/>
        </w:rPr>
      </w:pPr>
    </w:p>
    <w:p>
      <w:pPr>
        <w:jc w:val="center"/>
        <w:rPr>
          <w:rFonts w:ascii="Times New Roman" w:hAnsi="Times New Roman" w:eastAsia="华文行楷" w:cs="Times New Roman"/>
          <w:b/>
          <w:kern w:val="0"/>
          <w:sz w:val="32"/>
          <w:szCs w:val="32"/>
        </w:rPr>
      </w:pPr>
    </w:p>
    <w:p>
      <w:pPr>
        <w:jc w:val="center"/>
        <w:rPr>
          <w:rFonts w:ascii="Times New Roman" w:hAnsi="Times New Roman" w:eastAsia="华文行楷" w:cs="Times New Roman"/>
          <w:b/>
          <w:kern w:val="0"/>
          <w:sz w:val="32"/>
          <w:szCs w:val="32"/>
        </w:rPr>
      </w:pPr>
    </w:p>
    <w:p>
      <w:pPr>
        <w:jc w:val="center"/>
        <w:rPr>
          <w:rFonts w:ascii="Times New Roman" w:hAnsi="Times New Roman" w:eastAsia="华文行楷" w:cs="Times New Roman"/>
          <w:b/>
          <w:kern w:val="0"/>
          <w:sz w:val="32"/>
          <w:szCs w:val="32"/>
        </w:rPr>
      </w:pPr>
    </w:p>
    <w:p>
      <w:pPr>
        <w:jc w:val="center"/>
        <w:rPr>
          <w:rFonts w:ascii="Times New Roman" w:hAnsi="Times New Roman" w:eastAsia="华文行楷" w:cs="Times New Roman"/>
          <w:b/>
          <w:kern w:val="0"/>
          <w:sz w:val="32"/>
          <w:szCs w:val="32"/>
        </w:rPr>
      </w:pPr>
    </w:p>
    <w:p>
      <w:pPr>
        <w:jc w:val="center"/>
        <w:rPr>
          <w:rFonts w:ascii="Times New Roman" w:hAnsi="Times New Roman" w:eastAsia="华文行楷" w:cs="Times New Roman"/>
          <w:b/>
          <w:kern w:val="0"/>
          <w:sz w:val="32"/>
          <w:szCs w:val="32"/>
        </w:rPr>
      </w:pPr>
    </w:p>
    <w:p>
      <w:pPr>
        <w:rPr>
          <w:rFonts w:ascii="Times New Roman" w:hAnsi="Times New Roman" w:eastAsia="华文行楷" w:cs="Times New Roman"/>
          <w:b/>
          <w:kern w:val="0"/>
          <w:sz w:val="72"/>
        </w:rPr>
      </w:pPr>
    </w:p>
    <w:p>
      <w:pPr>
        <w:pStyle w:val="2"/>
      </w:pPr>
    </w:p>
    <w:p>
      <w:pPr>
        <w:pStyle w:val="2"/>
      </w:pPr>
    </w:p>
    <w:p>
      <w:pPr>
        <w:pStyle w:val="2"/>
      </w:pPr>
    </w:p>
    <w:p>
      <w:pPr>
        <w:jc w:val="center"/>
        <w:rPr>
          <w:rFonts w:ascii="Times New Roman" w:hAnsi="Times New Roman" w:cs="Times New Roman"/>
          <w:b/>
          <w:bCs/>
          <w:sz w:val="36"/>
          <w:szCs w:val="36"/>
        </w:rPr>
      </w:pPr>
      <w:r>
        <w:rPr>
          <w:rFonts w:hint="eastAsia" w:ascii="Times New Roman" w:hAnsi="Times New Roman" w:cs="Times New Roman"/>
          <w:b/>
          <w:bCs/>
          <w:sz w:val="36"/>
          <w:szCs w:val="36"/>
        </w:rPr>
        <w:t>重庆市渝北区林业局</w:t>
      </w:r>
    </w:p>
    <w:p>
      <w:pPr>
        <w:jc w:val="center"/>
        <w:rPr>
          <w:rFonts w:ascii="Times New Roman" w:hAnsi="Times New Roman" w:cs="Times New Roman"/>
          <w:b/>
          <w:bCs/>
          <w:sz w:val="36"/>
          <w:szCs w:val="36"/>
        </w:rPr>
      </w:pPr>
      <w:r>
        <w:rPr>
          <w:rFonts w:hint="eastAsia" w:ascii="Times New Roman" w:hAnsi="Times New Roman" w:cs="Times New Roman"/>
          <w:b/>
          <w:bCs/>
          <w:sz w:val="36"/>
          <w:szCs w:val="36"/>
        </w:rPr>
        <w:t>重庆森霄林业咨询有限公司</w:t>
      </w:r>
    </w:p>
    <w:p>
      <w:pPr>
        <w:jc w:val="center"/>
        <w:rPr>
          <w:rFonts w:ascii="Times New Roman" w:hAnsi="Times New Roman" w:cs="Times New Roman"/>
          <w:b/>
          <w:bCs/>
          <w:sz w:val="36"/>
          <w:szCs w:val="36"/>
        </w:rPr>
      </w:pPr>
      <w:r>
        <w:rPr>
          <w:rFonts w:hint="eastAsia" w:ascii="Times New Roman" w:hAnsi="Times New Roman" w:cs="Times New Roman"/>
          <w:b/>
          <w:bCs/>
          <w:sz w:val="36"/>
          <w:szCs w:val="36"/>
        </w:rPr>
        <w:t>二〇二三</w:t>
      </w:r>
      <w:r>
        <w:rPr>
          <w:rFonts w:ascii="Times New Roman" w:hAnsi="Times New Roman" w:cs="Times New Roman"/>
          <w:b/>
          <w:bCs/>
          <w:sz w:val="36"/>
          <w:szCs w:val="36"/>
        </w:rPr>
        <w:t>年</w:t>
      </w:r>
      <w:r>
        <w:rPr>
          <w:rFonts w:hint="eastAsia" w:ascii="Times New Roman" w:hAnsi="Times New Roman" w:cs="Times New Roman"/>
          <w:b/>
          <w:bCs/>
          <w:sz w:val="36"/>
          <w:szCs w:val="36"/>
        </w:rPr>
        <w:t>一月</w:t>
      </w:r>
    </w:p>
    <w:p>
      <w:pPr>
        <w:pStyle w:val="2"/>
      </w:pPr>
    </w:p>
    <w:p>
      <w:pPr>
        <w:tabs>
          <w:tab w:val="left" w:pos="882"/>
        </w:tabs>
        <w:rPr>
          <w:rFonts w:ascii="Times New Roman" w:hAnsi="Times New Roman" w:eastAsia="宋体" w:cs="Times New Roman"/>
          <w:sz w:val="32"/>
          <w:szCs w:val="32"/>
        </w:rPr>
      </w:pPr>
      <w:r>
        <w:rPr>
          <w:rFonts w:ascii="Times New Roman" w:hAnsi="Times New Roman" w:eastAsia="宋体" w:cs="Times New Roman"/>
          <w:sz w:val="32"/>
          <w:szCs w:val="32"/>
        </w:rPr>
        <w:t>项目名称：</w:t>
      </w:r>
      <w:r>
        <w:rPr>
          <w:rFonts w:hint="eastAsia" w:ascii="Times New Roman" w:hAnsi="Times New Roman" w:eastAsia="宋体" w:cs="Times New Roman"/>
          <w:sz w:val="32"/>
          <w:szCs w:val="32"/>
        </w:rPr>
        <w:t>渝北区森林消防水箱建设项目设计方案</w:t>
      </w:r>
    </w:p>
    <w:p>
      <w:pPr>
        <w:pStyle w:val="2"/>
      </w:pPr>
    </w:p>
    <w:p>
      <w:pPr>
        <w:pStyle w:val="2"/>
      </w:pPr>
    </w:p>
    <w:p>
      <w:pPr>
        <w:tabs>
          <w:tab w:val="left" w:pos="882"/>
        </w:tabs>
        <w:rPr>
          <w:rFonts w:ascii="Times New Roman" w:hAnsi="Times New Roman" w:eastAsia="宋体" w:cs="Times New Roman"/>
          <w:sz w:val="32"/>
          <w:szCs w:val="32"/>
        </w:rPr>
      </w:pPr>
      <w:r>
        <w:rPr>
          <w:rFonts w:ascii="Times New Roman" w:hAnsi="Times New Roman" w:eastAsia="宋体" w:cs="Times New Roman"/>
          <w:sz w:val="32"/>
          <w:szCs w:val="32"/>
        </w:rPr>
        <w:t>委托单位：</w:t>
      </w:r>
      <w:r>
        <w:rPr>
          <w:rFonts w:hint="eastAsia" w:ascii="Times New Roman" w:hAnsi="Times New Roman" w:eastAsia="宋体" w:cs="Times New Roman"/>
          <w:sz w:val="32"/>
          <w:szCs w:val="32"/>
        </w:rPr>
        <w:t>重庆市渝北区林业局</w:t>
      </w:r>
    </w:p>
    <w:p>
      <w:pPr>
        <w:tabs>
          <w:tab w:val="left" w:pos="882"/>
        </w:tabs>
        <w:rPr>
          <w:rFonts w:ascii="Times New Roman" w:hAnsi="Times New Roman" w:eastAsia="宋体" w:cs="Times New Roman"/>
          <w:sz w:val="32"/>
          <w:szCs w:val="32"/>
        </w:rPr>
      </w:pPr>
      <w:r>
        <w:rPr>
          <w:rFonts w:ascii="Times New Roman" w:hAnsi="Times New Roman" w:eastAsia="宋体" w:cs="Times New Roman"/>
          <w:sz w:val="32"/>
          <w:szCs w:val="32"/>
        </w:rPr>
        <w:t>编制单位：</w:t>
      </w:r>
      <w:r>
        <w:rPr>
          <w:rFonts w:hint="eastAsia" w:ascii="Times New Roman" w:hAnsi="Times New Roman" w:eastAsia="宋体" w:cs="Times New Roman"/>
          <w:sz w:val="32"/>
          <w:szCs w:val="32"/>
        </w:rPr>
        <w:t>重庆森霄林业咨询有限公司</w:t>
      </w:r>
    </w:p>
    <w:p>
      <w:pPr>
        <w:pStyle w:val="2"/>
      </w:pPr>
    </w:p>
    <w:p>
      <w:pPr>
        <w:pStyle w:val="2"/>
      </w:pPr>
    </w:p>
    <w:p>
      <w:pPr>
        <w:rPr>
          <w:rFonts w:ascii="Times New Roman" w:hAnsi="Times New Roman" w:cs="Times New Roman"/>
        </w:rPr>
      </w:pPr>
      <w:r>
        <w:rPr>
          <w:rFonts w:ascii="Times New Roman" w:hAnsi="Times New Roman" w:eastAsia="宋体" w:cs="Times New Roman"/>
          <w:sz w:val="32"/>
          <w:szCs w:val="32"/>
        </w:rPr>
        <w:t>项目负责人：</w:t>
      </w:r>
      <w:r>
        <w:rPr>
          <w:rFonts w:hint="eastAsia" w:ascii="Times New Roman" w:hAnsi="Times New Roman" w:cs="Times New Roman"/>
          <w:sz w:val="32"/>
          <w:szCs w:val="32"/>
        </w:rPr>
        <w:t xml:space="preserve">滕秀荣 </w:t>
      </w:r>
      <w:r>
        <w:rPr>
          <w:rFonts w:ascii="Times New Roman" w:hAnsi="Times New Roman" w:cs="Times New Roman"/>
          <w:sz w:val="32"/>
          <w:szCs w:val="32"/>
        </w:rPr>
        <w:t xml:space="preserve"> </w:t>
      </w:r>
      <w:r>
        <w:rPr>
          <w:rFonts w:hint="eastAsia" w:ascii="Times New Roman" w:hAnsi="Times New Roman" w:cs="Times New Roman"/>
          <w:sz w:val="32"/>
          <w:szCs w:val="32"/>
        </w:rPr>
        <w:t>正高级工程师</w:t>
      </w:r>
    </w:p>
    <w:p>
      <w:pPr>
        <w:rPr>
          <w:rFonts w:ascii="Times New Roman" w:hAnsi="Times New Roman" w:cs="Times New Roman"/>
          <w:sz w:val="32"/>
          <w:szCs w:val="32"/>
        </w:rPr>
      </w:pPr>
      <w:r>
        <w:rPr>
          <w:rFonts w:ascii="Times New Roman" w:hAnsi="Times New Roman" w:cs="Times New Roman"/>
          <w:sz w:val="32"/>
          <w:szCs w:val="32"/>
        </w:rPr>
        <w:t>技术负责人：</w:t>
      </w:r>
      <w:r>
        <w:rPr>
          <w:rFonts w:hint="eastAsia" w:ascii="Times New Roman" w:hAnsi="Times New Roman" w:cs="Times New Roman"/>
          <w:sz w:val="32"/>
          <w:szCs w:val="32"/>
        </w:rPr>
        <w:t xml:space="preserve">张  磊 </w:t>
      </w:r>
      <w:r>
        <w:rPr>
          <w:rFonts w:ascii="Times New Roman" w:hAnsi="Times New Roman" w:cs="Times New Roman"/>
          <w:sz w:val="32"/>
          <w:szCs w:val="32"/>
        </w:rPr>
        <w:t xml:space="preserve"> </w:t>
      </w:r>
      <w:r>
        <w:rPr>
          <w:rFonts w:hint="eastAsia" w:ascii="Times New Roman" w:hAnsi="Times New Roman" w:cs="Times New Roman"/>
          <w:sz w:val="32"/>
          <w:szCs w:val="32"/>
        </w:rPr>
        <w:t>工程师</w:t>
      </w:r>
    </w:p>
    <w:p>
      <w:pPr>
        <w:pStyle w:val="2"/>
      </w:pPr>
    </w:p>
    <w:p>
      <w:pPr>
        <w:pStyle w:val="2"/>
      </w:pPr>
    </w:p>
    <w:p>
      <w:pPr>
        <w:tabs>
          <w:tab w:val="left" w:pos="882"/>
        </w:tabs>
        <w:spacing w:line="480" w:lineRule="auto"/>
        <w:rPr>
          <w:rFonts w:ascii="Times New Roman" w:hAnsi="Times New Roman" w:eastAsia="宋体" w:cs="Times New Roman"/>
          <w:sz w:val="32"/>
          <w:szCs w:val="32"/>
        </w:rPr>
      </w:pPr>
      <w:r>
        <w:rPr>
          <w:rFonts w:hint="eastAsia" w:ascii="Times New Roman" w:hAnsi="Times New Roman" w:eastAsia="宋体" w:cs="Times New Roman"/>
          <w:sz w:val="32"/>
          <w:szCs w:val="32"/>
        </w:rPr>
        <w:t>报告编制：张  磊  工程师  王清平 工程师</w:t>
      </w:r>
    </w:p>
    <w:p>
      <w:pPr>
        <w:tabs>
          <w:tab w:val="left" w:pos="882"/>
        </w:tabs>
        <w:spacing w:line="480" w:lineRule="auto"/>
        <w:rPr>
          <w:rFonts w:ascii="Times New Roman" w:hAnsi="Times New Roman" w:eastAsia="宋体" w:cs="Times New Roman"/>
          <w:sz w:val="32"/>
          <w:szCs w:val="32"/>
        </w:rPr>
      </w:pPr>
      <w:r>
        <w:rPr>
          <w:rFonts w:hint="eastAsia" w:ascii="Times New Roman" w:hAnsi="Times New Roman" w:eastAsia="宋体" w:cs="Times New Roman"/>
          <w:sz w:val="32"/>
          <w:szCs w:val="32"/>
        </w:rPr>
        <w:t>数据统计：王清平 工程师   王小龙  助理工程师</w:t>
      </w:r>
    </w:p>
    <w:p>
      <w:pPr>
        <w:tabs>
          <w:tab w:val="left" w:pos="882"/>
        </w:tabs>
        <w:spacing w:line="480" w:lineRule="auto"/>
        <w:rPr>
          <w:rFonts w:ascii="Times New Roman" w:hAnsi="Times New Roman" w:eastAsia="宋体" w:cs="Times New Roman"/>
          <w:sz w:val="32"/>
          <w:szCs w:val="32"/>
        </w:rPr>
      </w:pPr>
      <w:r>
        <w:rPr>
          <w:rFonts w:hint="eastAsia" w:ascii="Times New Roman" w:hAnsi="Times New Roman" w:eastAsia="宋体" w:cs="Times New Roman"/>
          <w:sz w:val="32"/>
          <w:szCs w:val="32"/>
        </w:rPr>
        <w:t>图件制作：唐美庆、陈同星、向伟、王成、代佳</w:t>
      </w:r>
    </w:p>
    <w:p>
      <w:pPr>
        <w:tabs>
          <w:tab w:val="left" w:pos="882"/>
        </w:tabs>
        <w:spacing w:line="480" w:lineRule="auto"/>
        <w:ind w:left="1600" w:hanging="1600" w:hangingChars="500"/>
        <w:rPr>
          <w:rFonts w:ascii="Times New Roman" w:hAnsi="Times New Roman" w:eastAsia="宋体" w:cs="Times New Roman"/>
          <w:sz w:val="32"/>
          <w:szCs w:val="32"/>
        </w:rPr>
      </w:pPr>
      <w:r>
        <w:rPr>
          <w:rFonts w:hint="eastAsia" w:ascii="Times New Roman" w:hAnsi="Times New Roman" w:eastAsia="宋体" w:cs="Times New Roman"/>
          <w:sz w:val="32"/>
          <w:szCs w:val="32"/>
        </w:rPr>
        <w:t>外业调查：张磊、王清平、唐美庆、陈同星、王小龙、向伟、王成、代佳及各镇街、林场相关工作人员</w:t>
      </w:r>
    </w:p>
    <w:p>
      <w:pPr>
        <w:pStyle w:val="2"/>
      </w:pPr>
      <w:r>
        <w:rPr>
          <w:rFonts w:hint="eastAsia"/>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rFonts w:asciiTheme="minorHAnsi" w:hAnsiTheme="minorHAnsi" w:eastAsiaTheme="minorEastAsia" w:cstheme="minorBidi"/>
          <w:b w:val="0"/>
          <w:bCs w:val="0"/>
          <w:color w:val="auto"/>
          <w:kern w:val="2"/>
          <w:sz w:val="21"/>
          <w:szCs w:val="22"/>
          <w:lang w:val="zh-CN"/>
        </w:rPr>
        <w:id w:val="2018036801"/>
        <w:docPartObj>
          <w:docPartGallery w:val="Table of Contents"/>
          <w:docPartUnique/>
        </w:docPartObj>
      </w:sdtPr>
      <w:sdtEndPr>
        <w:rPr>
          <w:rFonts w:asciiTheme="minorHAnsi" w:hAnsiTheme="minorHAnsi" w:eastAsiaTheme="minorEastAsia" w:cstheme="minorBidi"/>
          <w:b w:val="0"/>
          <w:bCs w:val="0"/>
          <w:color w:val="auto"/>
          <w:kern w:val="2"/>
          <w:sz w:val="24"/>
          <w:szCs w:val="24"/>
          <w:lang w:val="zh-CN"/>
        </w:rPr>
      </w:sdtEndPr>
      <w:sdtContent>
        <w:p>
          <w:pPr>
            <w:pStyle w:val="28"/>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录</w:t>
          </w:r>
        </w:p>
        <w:p>
          <w:pPr>
            <w:pStyle w:val="11"/>
            <w:rPr>
              <w:rFonts w:ascii="Times New Roman" w:hAnsi="Times New Roman" w:cs="Times New Roman"/>
              <w:b w:val="0"/>
              <w:kern w:val="2"/>
              <w:sz w:val="21"/>
              <w:szCs w:val="22"/>
            </w:rPr>
          </w:pPr>
          <w:r>
            <w:fldChar w:fldCharType="begin"/>
          </w:r>
          <w:r>
            <w:instrText xml:space="preserve"> TOC \o "1-3" \h \z \u </w:instrText>
          </w:r>
          <w:r>
            <w:fldChar w:fldCharType="separate"/>
          </w:r>
          <w:r>
            <w:fldChar w:fldCharType="begin"/>
          </w:r>
          <w:r>
            <w:instrText xml:space="preserve"> HYPERLINK \l "_Toc126075347" </w:instrText>
          </w:r>
          <w:r>
            <w:fldChar w:fldCharType="separate"/>
          </w:r>
          <w:r>
            <w:rPr>
              <w:rStyle w:val="18"/>
              <w:rFonts w:ascii="Times New Roman" w:hAnsi="Times New Roman" w:cs="Times New Roman"/>
            </w:rPr>
            <w:t>1 总论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_Toc126075347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"_Toc126075348" </w:instrText>
          </w:r>
          <w:r>
            <w:fldChar w:fldCharType="separate"/>
          </w:r>
          <w:r>
            <w:rPr>
              <w:rStyle w:val="18"/>
              <w:rFonts w:ascii="Times New Roman" w:hAnsi="Times New Roman" w:cs="Times New Roman"/>
            </w:rPr>
            <w:t>1.1 项目名称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_Toc126075348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"_Toc126075349" </w:instrText>
          </w:r>
          <w:r>
            <w:fldChar w:fldCharType="separate"/>
          </w:r>
          <w:r>
            <w:rPr>
              <w:rStyle w:val="18"/>
              <w:rFonts w:ascii="Times New Roman" w:hAnsi="Times New Roman" w:cs="Times New Roman"/>
            </w:rPr>
            <w:t>1.2 项目建设地点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_Toc126075349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"_Toc126075350" </w:instrText>
          </w:r>
          <w:r>
            <w:fldChar w:fldCharType="separate"/>
          </w:r>
          <w:r>
            <w:rPr>
              <w:rStyle w:val="18"/>
              <w:rFonts w:ascii="Times New Roman" w:hAnsi="Times New Roman" w:cs="Times New Roman"/>
            </w:rPr>
            <w:t>1.3项目法人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"_Toc126075351" </w:instrText>
          </w:r>
          <w:r>
            <w:fldChar w:fldCharType="separate"/>
          </w:r>
          <w:r>
            <w:rPr>
              <w:rStyle w:val="18"/>
              <w:rFonts w:ascii="Times New Roman" w:hAnsi="Times New Roman" w:cs="Times New Roman"/>
            </w:rPr>
            <w:t>1.4 法人代表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"_Toc126075352" </w:instrText>
          </w:r>
          <w:r>
            <w:fldChar w:fldCharType="separate"/>
          </w:r>
          <w:r>
            <w:rPr>
              <w:rStyle w:val="18"/>
              <w:rFonts w:ascii="Times New Roman" w:hAnsi="Times New Roman" w:cs="Times New Roman"/>
            </w:rPr>
            <w:t>1.5 项目性质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_Toc126075352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"_Toc126075353" </w:instrText>
          </w:r>
          <w:r>
            <w:fldChar w:fldCharType="separate"/>
          </w:r>
          <w:r>
            <w:rPr>
              <w:rStyle w:val="18"/>
              <w:rFonts w:ascii="Times New Roman" w:hAnsi="Times New Roman" w:cs="Times New Roman"/>
            </w:rPr>
            <w:t>1.6 项目建设目标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_Toc126075353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"_Toc126075354" </w:instrText>
          </w:r>
          <w:r>
            <w:fldChar w:fldCharType="separate"/>
          </w:r>
          <w:r>
            <w:rPr>
              <w:rStyle w:val="18"/>
              <w:rFonts w:ascii="Times New Roman" w:hAnsi="Times New Roman" w:cs="Times New Roman"/>
            </w:rPr>
            <w:t>1.7 项目主要建设内容及规模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_Toc126075354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"_Toc126075355" </w:instrText>
          </w:r>
          <w:r>
            <w:fldChar w:fldCharType="separate"/>
          </w:r>
          <w:r>
            <w:rPr>
              <w:rStyle w:val="18"/>
              <w:rFonts w:ascii="Times New Roman" w:hAnsi="Times New Roman" w:cs="Times New Roman"/>
            </w:rPr>
            <w:t>1.8 项目建设期及进度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_Toc126075355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"_Toc126075356" </w:instrText>
          </w:r>
          <w:r>
            <w:fldChar w:fldCharType="separate"/>
          </w:r>
          <w:r>
            <w:rPr>
              <w:rStyle w:val="18"/>
              <w:rFonts w:ascii="Times New Roman" w:hAnsi="Times New Roman" w:cs="Times New Roman"/>
            </w:rPr>
            <w:t>1.9 项目投资规模与资金来源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_Toc126075356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"_Toc126075357" </w:instrText>
          </w:r>
          <w:r>
            <w:fldChar w:fldCharType="separate"/>
          </w:r>
          <w:r>
            <w:rPr>
              <w:rStyle w:val="18"/>
              <w:rFonts w:ascii="Times New Roman" w:hAnsi="Times New Roman" w:cs="Times New Roman"/>
            </w:rPr>
            <w:t>1.10 设计依据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_Toc126075357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"_Toc126075358" </w:instrText>
          </w:r>
          <w:r>
            <w:fldChar w:fldCharType="separate"/>
          </w:r>
          <w:r>
            <w:rPr>
              <w:rStyle w:val="18"/>
              <w:rFonts w:ascii="Times New Roman" w:hAnsi="Times New Roman" w:cs="Times New Roman"/>
            </w:rPr>
            <w:t>2 项目区基本概况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_Toc126075358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"_Toc126075359" </w:instrText>
          </w:r>
          <w:r>
            <w:fldChar w:fldCharType="separate"/>
          </w:r>
          <w:r>
            <w:rPr>
              <w:rStyle w:val="18"/>
              <w:rFonts w:ascii="Times New Roman" w:hAnsi="Times New Roman" w:cs="Times New Roman"/>
            </w:rPr>
            <w:t>2.1 自然地理概况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_Toc126075359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"_Toc126075364" </w:instrText>
          </w:r>
          <w:r>
            <w:fldChar w:fldCharType="separate"/>
          </w:r>
          <w:r>
            <w:rPr>
              <w:rStyle w:val="18"/>
              <w:rFonts w:ascii="Times New Roman" w:hAnsi="Times New Roman" w:cs="Times New Roman"/>
            </w:rPr>
            <w:t>2.2 社会经济概况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_Toc126075364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"_Toc126075368" </w:instrText>
          </w:r>
          <w:r>
            <w:fldChar w:fldCharType="separate"/>
          </w:r>
          <w:r>
            <w:rPr>
              <w:rStyle w:val="18"/>
              <w:rFonts w:ascii="Times New Roman" w:hAnsi="Times New Roman" w:cs="Times New Roman"/>
            </w:rPr>
            <w:t>2.3 森林资源概况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_Toc126075368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"_Toc126075371" </w:instrText>
          </w:r>
          <w:r>
            <w:fldChar w:fldCharType="separate"/>
          </w:r>
          <w:r>
            <w:rPr>
              <w:rStyle w:val="18"/>
              <w:rFonts w:ascii="Times New Roman" w:hAnsi="Times New Roman" w:cs="Times New Roman"/>
            </w:rPr>
            <w:t>2.4 森林防火概况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_Toc126075371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"_Toc126075374" </w:instrText>
          </w:r>
          <w:r>
            <w:fldChar w:fldCharType="separate"/>
          </w:r>
          <w:r>
            <w:rPr>
              <w:rStyle w:val="18"/>
              <w:rFonts w:ascii="Times New Roman" w:hAnsi="Times New Roman" w:cs="Times New Roman"/>
            </w:rPr>
            <w:t>3 森林消防水箱建设现状分析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_Toc126075374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"_Toc126075375" </w:instrText>
          </w:r>
          <w:r>
            <w:fldChar w:fldCharType="separate"/>
          </w:r>
          <w:r>
            <w:rPr>
              <w:rStyle w:val="18"/>
              <w:rFonts w:ascii="Times New Roman" w:hAnsi="Times New Roman" w:cs="Times New Roman"/>
            </w:rPr>
            <w:t>3.1 森林消防水箱建设现状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_Toc126075375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"_Toc126075376" </w:instrText>
          </w:r>
          <w:r>
            <w:fldChar w:fldCharType="separate"/>
          </w:r>
          <w:r>
            <w:rPr>
              <w:rStyle w:val="18"/>
              <w:rFonts w:ascii="Times New Roman" w:hAnsi="Times New Roman" w:cs="Times New Roman"/>
            </w:rPr>
            <w:t>3.2 森林消防水箱与消防水池比较分析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_Toc126075376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"_Toc126075377" </w:instrText>
          </w:r>
          <w:r>
            <w:fldChar w:fldCharType="separate"/>
          </w:r>
          <w:r>
            <w:rPr>
              <w:rStyle w:val="18"/>
              <w:rFonts w:ascii="Times New Roman" w:hAnsi="Times New Roman" w:cs="Times New Roman"/>
            </w:rPr>
            <w:t>3.3现有森林灭火水源覆盖区域空间分析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_Toc126075377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"_Toc126075378" </w:instrText>
          </w:r>
          <w:r>
            <w:fldChar w:fldCharType="separate"/>
          </w:r>
          <w:r>
            <w:rPr>
              <w:rStyle w:val="18"/>
              <w:rFonts w:ascii="Times New Roman" w:hAnsi="Times New Roman" w:cs="Times New Roman"/>
            </w:rPr>
            <w:t>3.</w:t>
          </w:r>
          <w:r>
            <w:rPr>
              <w:rStyle w:val="18"/>
              <w:rFonts w:hint="eastAsia" w:ascii="Times New Roman" w:hAnsi="Times New Roman" w:cs="Times New Roman"/>
            </w:rPr>
            <w:t>4</w:t>
          </w:r>
          <w:r>
            <w:rPr>
              <w:rStyle w:val="18"/>
              <w:rFonts w:ascii="Times New Roman" w:hAnsi="Times New Roman" w:cs="Times New Roman"/>
            </w:rPr>
            <w:t xml:space="preserve"> 主要存在问题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_Toc126075378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"_Toc126075381" </w:instrText>
          </w:r>
          <w:r>
            <w:fldChar w:fldCharType="separate"/>
          </w:r>
          <w:r>
            <w:rPr>
              <w:rStyle w:val="18"/>
              <w:rFonts w:ascii="Times New Roman" w:hAnsi="Times New Roman" w:cs="Times New Roman"/>
            </w:rPr>
            <w:t>4 总体思路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_Toc126075381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"_Toc126075382" </w:instrText>
          </w:r>
          <w:r>
            <w:fldChar w:fldCharType="separate"/>
          </w:r>
          <w:r>
            <w:rPr>
              <w:rStyle w:val="18"/>
              <w:rFonts w:ascii="Times New Roman" w:hAnsi="Times New Roman" w:cs="Times New Roman"/>
            </w:rPr>
            <w:t>4.1 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_Toc126075382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"_Toc126075383" </w:instrText>
          </w:r>
          <w:r>
            <w:fldChar w:fldCharType="separate"/>
          </w:r>
          <w:r>
            <w:rPr>
              <w:rStyle w:val="18"/>
              <w:rFonts w:ascii="Times New Roman" w:hAnsi="Times New Roman" w:cs="Times New Roman"/>
            </w:rPr>
            <w:t>4.2 基本原则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_Toc126075383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"_Toc126075387" </w:instrText>
          </w:r>
          <w:r>
            <w:fldChar w:fldCharType="separate"/>
          </w:r>
          <w:r>
            <w:rPr>
              <w:rStyle w:val="18"/>
              <w:rFonts w:ascii="Times New Roman" w:hAnsi="Times New Roman" w:cs="Times New Roman"/>
            </w:rPr>
            <w:t>4.3 建设目标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_Toc126075387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"_Toc126075388" </w:instrText>
          </w:r>
          <w:r>
            <w:fldChar w:fldCharType="separate"/>
          </w:r>
          <w:r>
            <w:rPr>
              <w:rStyle w:val="18"/>
              <w:rFonts w:ascii="Times New Roman" w:hAnsi="Times New Roman" w:cs="Times New Roman"/>
            </w:rPr>
            <w:t>4.4 建设进度安排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_Toc126075388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"_Toc126075389" </w:instrText>
          </w:r>
          <w:r>
            <w:fldChar w:fldCharType="separate"/>
          </w:r>
          <w:r>
            <w:rPr>
              <w:rStyle w:val="18"/>
              <w:rFonts w:ascii="Times New Roman" w:hAnsi="Times New Roman" w:cs="Times New Roman"/>
            </w:rPr>
            <w:t>5 总体设计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_Toc126075389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"_Toc126075390" </w:instrText>
          </w:r>
          <w:r>
            <w:fldChar w:fldCharType="separate"/>
          </w:r>
          <w:r>
            <w:rPr>
              <w:rStyle w:val="18"/>
              <w:rFonts w:ascii="Times New Roman" w:hAnsi="Times New Roman" w:cs="Times New Roman"/>
            </w:rPr>
            <w:t>5.1 森林消防水箱建设总体布局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_Toc126075390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"_Toc126075391" </w:instrText>
          </w:r>
          <w:r>
            <w:fldChar w:fldCharType="separate"/>
          </w:r>
          <w:r>
            <w:rPr>
              <w:rStyle w:val="18"/>
              <w:rFonts w:ascii="Times New Roman" w:hAnsi="Times New Roman" w:cs="Times New Roman"/>
            </w:rPr>
            <w:t>5.2 森林消防水箱设计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_Toc126075391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"_Toc126075394" </w:instrText>
          </w:r>
          <w:r>
            <w:fldChar w:fldCharType="separate"/>
          </w:r>
          <w:r>
            <w:rPr>
              <w:rStyle w:val="18"/>
              <w:rFonts w:ascii="Times New Roman" w:hAnsi="Times New Roman" w:cs="Times New Roman"/>
            </w:rPr>
            <w:t>5.3 运营期维护设计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_Toc126075394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"_Toc126075395" </w:instrText>
          </w:r>
          <w:r>
            <w:fldChar w:fldCharType="separate"/>
          </w:r>
          <w:r>
            <w:rPr>
              <w:rStyle w:val="18"/>
              <w:rFonts w:ascii="Times New Roman" w:hAnsi="Times New Roman" w:cs="Times New Roman"/>
            </w:rPr>
            <w:t>6 项目组织管理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_Toc126075395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"_Toc126075396" </w:instrText>
          </w:r>
          <w:r>
            <w:fldChar w:fldCharType="separate"/>
          </w:r>
          <w:r>
            <w:rPr>
              <w:rStyle w:val="18"/>
              <w:rFonts w:ascii="Times New Roman" w:hAnsi="Times New Roman" w:cs="Times New Roman"/>
            </w:rPr>
            <w:t>6.1 组织管理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_Toc126075396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"_Toc126075397" </w:instrText>
          </w:r>
          <w:r>
            <w:fldChar w:fldCharType="separate"/>
          </w:r>
          <w:r>
            <w:rPr>
              <w:rStyle w:val="18"/>
              <w:rFonts w:ascii="Times New Roman" w:hAnsi="Times New Roman" w:cs="Times New Roman"/>
            </w:rPr>
            <w:t>6.2 运营管理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_Toc126075397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"_Toc126075398" </w:instrText>
          </w:r>
          <w:r>
            <w:fldChar w:fldCharType="separate"/>
          </w:r>
          <w:r>
            <w:rPr>
              <w:rStyle w:val="18"/>
              <w:rFonts w:ascii="Times New Roman" w:hAnsi="Times New Roman" w:cs="Times New Roman"/>
            </w:rPr>
            <w:t>6.3 防火制度管理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"_Toc126075399" </w:instrText>
          </w:r>
          <w:r>
            <w:fldChar w:fldCharType="separate"/>
          </w:r>
          <w:r>
            <w:rPr>
              <w:rStyle w:val="18"/>
              <w:rFonts w:ascii="Times New Roman" w:hAnsi="Times New Roman" w:cs="Times New Roman"/>
            </w:rPr>
            <w:t>6.4 安全施工管理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_Toc126075399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"_Toc126075400" </w:instrText>
          </w:r>
          <w:r>
            <w:fldChar w:fldCharType="separate"/>
          </w:r>
          <w:r>
            <w:rPr>
              <w:rStyle w:val="18"/>
              <w:rFonts w:ascii="Times New Roman" w:hAnsi="Times New Roman" w:cs="Times New Roman"/>
            </w:rPr>
            <w:t>7 投资估算与资金来源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_Toc126075400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"_Toc126075401" </w:instrText>
          </w:r>
          <w:r>
            <w:fldChar w:fldCharType="separate"/>
          </w:r>
          <w:r>
            <w:rPr>
              <w:rStyle w:val="18"/>
              <w:rFonts w:ascii="Times New Roman" w:hAnsi="Times New Roman" w:cs="Times New Roman"/>
            </w:rPr>
            <w:t>7.1 估算依据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_Toc126075401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"_Toc126075404" </w:instrText>
          </w:r>
          <w:r>
            <w:fldChar w:fldCharType="separate"/>
          </w:r>
          <w:r>
            <w:rPr>
              <w:rStyle w:val="18"/>
              <w:rFonts w:ascii="Times New Roman" w:hAnsi="Times New Roman" w:cs="Times New Roman"/>
            </w:rPr>
            <w:t>7.2 投资估算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_Toc126075404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"_Toc126075405" </w:instrText>
          </w:r>
          <w:r>
            <w:fldChar w:fldCharType="separate"/>
          </w:r>
          <w:r>
            <w:rPr>
              <w:rStyle w:val="18"/>
              <w:rFonts w:ascii="Times New Roman" w:hAnsi="Times New Roman" w:cs="Times New Roman"/>
            </w:rPr>
            <w:t>7.3 资金来源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_Toc126075405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b w:val="0"/>
              <w:kern w:val="2"/>
              <w:sz w:val="21"/>
              <w:szCs w:val="22"/>
            </w:rPr>
          </w:pPr>
          <w:r>
            <w:fldChar w:fldCharType="begin"/>
          </w:r>
          <w:r>
            <w:instrText xml:space="preserve"> HYPERLINK \l "_Toc126075406" </w:instrText>
          </w:r>
          <w:r>
            <w:fldChar w:fldCharType="separate"/>
          </w:r>
          <w:r>
            <w:rPr>
              <w:rStyle w:val="18"/>
              <w:rFonts w:hint="eastAsia" w:ascii="Times New Roman" w:hAnsi="Times New Roman" w:cs="Times New Roman"/>
            </w:rPr>
            <w:t>8</w:t>
          </w:r>
          <w:r>
            <w:rPr>
              <w:rStyle w:val="18"/>
              <w:rFonts w:ascii="Times New Roman" w:hAnsi="Times New Roman" w:cs="Times New Roman"/>
            </w:rPr>
            <w:t xml:space="preserve"> 综合效益分析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_Toc126075406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kern w:val="2"/>
              <w:sz w:val="21"/>
            </w:rPr>
          </w:pPr>
          <w:r>
            <w:fldChar w:fldCharType="begin"/>
          </w:r>
          <w:r>
            <w:instrText xml:space="preserve"> HYPERLINK \l "_Toc126075407" </w:instrText>
          </w:r>
          <w:r>
            <w:fldChar w:fldCharType="separate"/>
          </w:r>
          <w:r>
            <w:rPr>
              <w:rStyle w:val="18"/>
              <w:rFonts w:hint="eastAsia" w:ascii="Times New Roman" w:hAnsi="Times New Roman" w:cs="Times New Roman"/>
            </w:rPr>
            <w:t>8</w:t>
          </w:r>
          <w:r>
            <w:rPr>
              <w:rStyle w:val="18"/>
              <w:rFonts w:ascii="Times New Roman" w:hAnsi="Times New Roman" w:cs="Times New Roman"/>
            </w:rPr>
            <w:t>.1 生态效益分析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_Toc126075407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kern w:val="2"/>
              <w:sz w:val="21"/>
            </w:rPr>
          </w:pPr>
          <w:r>
            <w:fldChar w:fldCharType="begin"/>
          </w:r>
          <w:r>
            <w:instrText xml:space="preserve"> HYPERLINK \l "_Toc126075408" </w:instrText>
          </w:r>
          <w:r>
            <w:fldChar w:fldCharType="separate"/>
          </w:r>
          <w:r>
            <w:rPr>
              <w:rStyle w:val="18"/>
              <w:rFonts w:hint="eastAsia" w:ascii="Times New Roman" w:hAnsi="Times New Roman" w:cs="Times New Roman"/>
            </w:rPr>
            <w:t>8</w:t>
          </w:r>
          <w:r>
            <w:rPr>
              <w:rStyle w:val="18"/>
              <w:rFonts w:ascii="Times New Roman" w:hAnsi="Times New Roman" w:cs="Times New Roman"/>
            </w:rPr>
            <w:t>.2 社会效益分析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_Toc126075408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rPr>
              <w:sz w:val="24"/>
              <w:szCs w:val="24"/>
            </w:rPr>
          </w:pPr>
          <w:r>
            <w:rPr>
              <w:b/>
              <w:bCs/>
              <w:sz w:val="24"/>
              <w:szCs w:val="24"/>
              <w:lang w:val="zh-CN"/>
            </w:rPr>
            <w:fldChar w:fldCharType="end"/>
          </w:r>
        </w:p>
      </w:sdtContent>
    </w:sdt>
    <w:p>
      <w:pPr>
        <w:spacing w:line="500" w:lineRule="exact"/>
        <w:jc w:val="left"/>
        <w:rPr>
          <w:rFonts w:ascii="Times New Roman" w:hAnsi="Times New Roman" w:cs="Times New Roman"/>
          <w:b/>
          <w:sz w:val="24"/>
          <w:szCs w:val="24"/>
        </w:rPr>
      </w:pPr>
      <w:r>
        <w:rPr>
          <w:rFonts w:hint="eastAsia" w:ascii="Times New Roman" w:hAnsi="Times New Roman" w:cs="Times New Roman"/>
          <w:b/>
          <w:sz w:val="24"/>
          <w:szCs w:val="24"/>
        </w:rPr>
        <w:t>附表：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1：</w:t>
      </w:r>
      <w:r>
        <w:rPr>
          <w:rFonts w:hint="eastAsia" w:ascii="Times New Roman" w:hAnsi="Times New Roman" w:cs="Times New Roman"/>
          <w:sz w:val="24"/>
          <w:szCs w:val="24"/>
        </w:rPr>
        <w:t>渝北区森林资源现状统计表；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2：</w:t>
      </w:r>
      <w:r>
        <w:rPr>
          <w:rFonts w:hint="eastAsia" w:ascii="Times New Roman" w:hAnsi="Times New Roman" w:cs="Times New Roman"/>
          <w:sz w:val="24"/>
          <w:szCs w:val="24"/>
        </w:rPr>
        <w:t>渝北区已建森林消防水箱现状统计表；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3：</w:t>
      </w:r>
      <w:r>
        <w:rPr>
          <w:rFonts w:hint="eastAsia" w:ascii="Times New Roman" w:hAnsi="Times New Roman" w:cs="Times New Roman"/>
          <w:sz w:val="24"/>
          <w:szCs w:val="24"/>
        </w:rPr>
        <w:t>渝北区拟建森林消防水箱点位分布统计表；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4：</w:t>
      </w:r>
      <w:r>
        <w:rPr>
          <w:rFonts w:hint="eastAsia" w:ascii="Times New Roman" w:hAnsi="Times New Roman" w:cs="Times New Roman"/>
          <w:sz w:val="24"/>
          <w:szCs w:val="24"/>
        </w:rPr>
        <w:t>渝北区森林消防水箱建设项目60立方米水箱投资估算表；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5：</w:t>
      </w:r>
      <w:r>
        <w:rPr>
          <w:rFonts w:hint="eastAsia" w:ascii="Times New Roman" w:hAnsi="Times New Roman" w:cs="Times New Roman"/>
          <w:sz w:val="24"/>
          <w:szCs w:val="24"/>
        </w:rPr>
        <w:t>渝北区森林消防水箱建设项目90立方米水箱投资估算表；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6：</w:t>
      </w:r>
      <w:r>
        <w:rPr>
          <w:rFonts w:hint="eastAsia" w:ascii="Times New Roman" w:hAnsi="Times New Roman" w:cs="Times New Roman"/>
          <w:sz w:val="24"/>
          <w:szCs w:val="24"/>
        </w:rPr>
        <w:t>渝北区森林消防水箱建设项目120立方米水箱投资估算表；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7：</w:t>
      </w:r>
      <w:r>
        <w:rPr>
          <w:rFonts w:hint="eastAsia" w:ascii="Times New Roman" w:hAnsi="Times New Roman" w:cs="Times New Roman"/>
          <w:sz w:val="24"/>
          <w:szCs w:val="24"/>
        </w:rPr>
        <w:t>渝北区森林消防水箱建设项目直接投资汇总统计表；</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附表</w:t>
      </w:r>
      <w:r>
        <w:rPr>
          <w:rFonts w:hint="eastAsia" w:ascii="Times New Roman" w:hAnsi="Times New Roman" w:cs="Times New Roman"/>
          <w:b/>
          <w:sz w:val="24"/>
          <w:szCs w:val="24"/>
        </w:rPr>
        <w:t>8：</w:t>
      </w:r>
      <w:r>
        <w:rPr>
          <w:rFonts w:hint="eastAsia" w:ascii="Times New Roman" w:hAnsi="Times New Roman" w:cs="Times New Roman"/>
          <w:sz w:val="24"/>
          <w:szCs w:val="24"/>
        </w:rPr>
        <w:t>渝北区森林消防水箱建设项目总投资估算表；</w:t>
      </w:r>
    </w:p>
    <w:p>
      <w:pPr>
        <w:spacing w:line="500" w:lineRule="exact"/>
        <w:jc w:val="left"/>
        <w:rPr>
          <w:rFonts w:ascii="Times New Roman" w:hAnsi="Times New Roman" w:cs="Times New Roman"/>
          <w:b/>
          <w:bCs/>
          <w:sz w:val="24"/>
          <w:szCs w:val="24"/>
        </w:rPr>
      </w:pPr>
      <w:r>
        <w:rPr>
          <w:rFonts w:hint="eastAsia" w:ascii="Times New Roman" w:hAnsi="Times New Roman" w:cs="Times New Roman"/>
          <w:b/>
          <w:bCs/>
          <w:sz w:val="24"/>
          <w:szCs w:val="24"/>
        </w:rPr>
        <w:t>附图：</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w:t>
      </w:r>
      <w:r>
        <w:rPr>
          <w:rFonts w:hint="eastAsia" w:ascii="Times New Roman" w:hAnsi="Times New Roman" w:cs="Times New Roman"/>
          <w:b/>
          <w:sz w:val="24"/>
          <w:szCs w:val="24"/>
        </w:rPr>
        <w:t>图1：</w:t>
      </w:r>
      <w:r>
        <w:rPr>
          <w:rFonts w:hint="eastAsia" w:ascii="Times New Roman" w:hAnsi="Times New Roman" w:cs="Times New Roman"/>
          <w:sz w:val="24"/>
          <w:szCs w:val="24"/>
        </w:rPr>
        <w:t>渝北区森林消防水箱建设项目位置示意图；</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w:t>
      </w:r>
      <w:r>
        <w:rPr>
          <w:rFonts w:hint="eastAsia" w:ascii="Times New Roman" w:hAnsi="Times New Roman" w:cs="Times New Roman"/>
          <w:b/>
          <w:sz w:val="24"/>
          <w:szCs w:val="24"/>
        </w:rPr>
        <w:t>图2：</w:t>
      </w:r>
      <w:r>
        <w:rPr>
          <w:rFonts w:hint="eastAsia" w:ascii="Times New Roman" w:hAnsi="Times New Roman" w:cs="Times New Roman"/>
          <w:sz w:val="24"/>
          <w:szCs w:val="24"/>
        </w:rPr>
        <w:t>渝北区森林资源现状分布图；</w:t>
      </w:r>
    </w:p>
    <w:p>
      <w:pPr>
        <w:spacing w:line="500" w:lineRule="exact"/>
        <w:jc w:val="left"/>
        <w:rPr>
          <w:rFonts w:ascii="Times New Roman" w:hAnsi="Times New Roman" w:cs="Times New Roman"/>
          <w:sz w:val="24"/>
          <w:szCs w:val="24"/>
        </w:rPr>
      </w:pPr>
      <w:r>
        <w:rPr>
          <w:rFonts w:ascii="Times New Roman" w:hAnsi="Times New Roman" w:cs="Times New Roman"/>
          <w:b/>
          <w:sz w:val="24"/>
          <w:szCs w:val="24"/>
        </w:rPr>
        <w:t>附</w:t>
      </w:r>
      <w:r>
        <w:rPr>
          <w:rFonts w:hint="eastAsia" w:ascii="Times New Roman" w:hAnsi="Times New Roman" w:cs="Times New Roman"/>
          <w:b/>
          <w:sz w:val="24"/>
          <w:szCs w:val="24"/>
        </w:rPr>
        <w:t>图3：</w:t>
      </w:r>
      <w:r>
        <w:rPr>
          <w:rFonts w:hint="eastAsia" w:ascii="Times New Roman" w:hAnsi="Times New Roman" w:cs="Times New Roman"/>
          <w:sz w:val="24"/>
          <w:szCs w:val="24"/>
        </w:rPr>
        <w:t>渝北区已建森林消防水箱总体布局图；</w:t>
      </w:r>
    </w:p>
    <w:p>
      <w:pPr>
        <w:spacing w:line="500" w:lineRule="exact"/>
        <w:jc w:val="left"/>
        <w:rPr>
          <w:rFonts w:ascii="Times New Roman" w:hAnsi="Times New Roman" w:cs="Times New Roman"/>
          <w:sz w:val="24"/>
          <w:szCs w:val="24"/>
        </w:rPr>
      </w:pPr>
      <w:r>
        <w:rPr>
          <w:rFonts w:hint="eastAsia" w:ascii="Times New Roman" w:hAnsi="Times New Roman" w:cs="Times New Roman"/>
          <w:b/>
          <w:sz w:val="24"/>
          <w:szCs w:val="24"/>
        </w:rPr>
        <w:t>附图4：</w:t>
      </w:r>
      <w:r>
        <w:rPr>
          <w:rFonts w:hint="eastAsia" w:ascii="Times New Roman" w:hAnsi="Times New Roman" w:cs="Times New Roman"/>
          <w:sz w:val="24"/>
          <w:szCs w:val="24"/>
        </w:rPr>
        <w:t>渝北区拟建森林消防水箱总体布局图；</w:t>
      </w:r>
    </w:p>
    <w:p>
      <w:pPr>
        <w:spacing w:line="500" w:lineRule="exact"/>
        <w:jc w:val="left"/>
        <w:rPr>
          <w:rFonts w:ascii="Times New Roman" w:hAnsi="Times New Roman" w:cs="Times New Roman"/>
          <w:sz w:val="24"/>
          <w:szCs w:val="24"/>
        </w:rPr>
      </w:pPr>
      <w:r>
        <w:rPr>
          <w:rFonts w:hint="eastAsia" w:ascii="Times New Roman" w:hAnsi="Times New Roman" w:cs="Times New Roman"/>
          <w:b/>
          <w:sz w:val="24"/>
          <w:szCs w:val="24"/>
        </w:rPr>
        <w:t>附图5：</w:t>
      </w:r>
      <w:r>
        <w:rPr>
          <w:rFonts w:hint="eastAsia" w:ascii="Times New Roman" w:hAnsi="Times New Roman" w:cs="Times New Roman"/>
          <w:sz w:val="24"/>
          <w:szCs w:val="24"/>
        </w:rPr>
        <w:t>渝北区森林消防水箱建设项目点位设计分布图；</w:t>
      </w:r>
    </w:p>
    <w:p>
      <w:pPr>
        <w:spacing w:line="500" w:lineRule="exact"/>
        <w:jc w:val="left"/>
        <w:rPr>
          <w:rFonts w:ascii="Times New Roman" w:hAnsi="Times New Roman" w:cs="Times New Roman"/>
          <w:sz w:val="24"/>
          <w:szCs w:val="24"/>
        </w:rPr>
      </w:pPr>
      <w:r>
        <w:rPr>
          <w:rFonts w:hint="eastAsia" w:ascii="Times New Roman" w:hAnsi="Times New Roman" w:cs="Times New Roman"/>
          <w:b/>
          <w:sz w:val="24"/>
          <w:szCs w:val="24"/>
        </w:rPr>
        <w:t>附图6：</w:t>
      </w:r>
      <w:r>
        <w:rPr>
          <w:rFonts w:hint="eastAsia" w:ascii="Times New Roman" w:hAnsi="Times New Roman" w:cs="Times New Roman"/>
          <w:sz w:val="24"/>
          <w:szCs w:val="24"/>
        </w:rPr>
        <w:t>60、90、120立方米水箱大样图及施工图；</w:t>
      </w:r>
      <w:r>
        <w:rPr>
          <w:rFonts w:ascii="Times New Roman" w:hAnsi="Times New Roman" w:cs="Times New Roman"/>
          <w:sz w:val="24"/>
          <w:szCs w:val="24"/>
        </w:rPr>
        <w:br w:type="page"/>
      </w:r>
    </w:p>
    <w:p>
      <w:pPr>
        <w:pStyle w:val="3"/>
        <w:spacing w:line="500" w:lineRule="exact"/>
        <w:jc w:val="center"/>
        <w:rPr>
          <w:sz w:val="32"/>
          <w:szCs w:val="32"/>
        </w:rPr>
      </w:pPr>
      <w:bookmarkStart w:id="0" w:name="_Toc126075346"/>
      <w:r>
        <w:rPr>
          <w:rFonts w:hint="eastAsia"/>
          <w:sz w:val="32"/>
          <w:szCs w:val="32"/>
        </w:rPr>
        <w:t>前   言</w:t>
      </w:r>
      <w:bookmarkEnd w:id="0"/>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党的二十大报告明确了新时代我国生态文明建设的战略任务，对生态文明建设提出了一系列新目标、新要求，作出了新部署，为建设美丽中国提供了根本遵循和行动指南。森林防火是生态文明建设的安全保障，事关国土生态安全，事关人民生命财产和森林资源安全，事关人与自然和谐共生的中国式现代化建设，森林防火责任重于泰山。今年，</w:t>
      </w:r>
      <w:r>
        <w:rPr>
          <w:rFonts w:ascii="Times New Roman" w:hAnsi="Times New Roman" w:cs="Times New Roman"/>
          <w:sz w:val="28"/>
          <w:szCs w:val="28"/>
        </w:rPr>
        <w:t xml:space="preserve"> </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属中心城区，在全市经济社会活动中扮演着极其重要的角色，同时，全区自然资源丰富，其境内的中梁山（龙王洞山）、铜锣山、明月山构筑了重庆中心城区重要的生态屏障，是重庆市“四山肺叶”重点分布区域。渝北区在不断加大在林火预警监测、林火阻隔系统、森林消防专业队伍、森林防火物资储备库、以水灭火系统等方面的投入力度，近两年全区新建森林消防水箱130余口，为实现森林火灾早期及时处置奠定了基础，但目前仍存在不少薄弱环节，与实现“早预防、早发现和打早、打小、打了”的目标还有一定的差距。2022年全市极端高温天气持续，森林草原火险气象等级高，涪陵、巴南、南川、北碚等区县相继发生森林山火，森林防火形势异常严峻。</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为了全面贯彻落实《森林防火条例》、《重庆市森林防火规划（2016-2025年）》、《重庆市渝北区森林防火规划（2016-2025年）》，不断提升全区的森林火灾扑救能力，实现“打早、打小、打了”的目标。重庆市渝北区林业局组织开展《渝北区森林消防水箱建设项目设计方案》编制工作，通过摸清全区森林资源现状及分布情况、主要森林火险分布区域，已建森林消防水箱等，科学规划、合理布局森林消防水箱，补齐短板。</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项目的建设对于保护森林资源和人民生命财产安全、维护国土生态安全、巩固生态文明建设成果，全面提升森林防火综合治理水平，构建森林火灾综合扑救体系，全面推进渝北区建设现代产业集聚区、协同创新引领区、内陆开放先行区、城乡融合示范区具有重要的意义。</w:t>
      </w:r>
    </w:p>
    <w:p>
      <w:pPr>
        <w:pStyle w:val="2"/>
      </w:pPr>
    </w:p>
    <w:p>
      <w:pPr>
        <w:spacing w:line="600" w:lineRule="exact"/>
        <w:ind w:firstLine="420" w:firstLineChars="200"/>
        <w:rPr>
          <w:rFonts w:ascii="Times New Roman" w:hAnsi="Times New Roman" w:cs="Times New Roman"/>
          <w:sz w:val="28"/>
          <w:szCs w:val="28"/>
        </w:rPr>
      </w:pPr>
      <w:r>
        <w:rPr>
          <w:rFonts w:hint="eastAsia"/>
        </w:rPr>
        <w:t xml:space="preserve"> </w:t>
      </w:r>
      <w:r>
        <w:rPr>
          <w:rFonts w:hint="eastAsia" w:ascii="Times New Roman" w:hAnsi="Times New Roman" w:cs="Times New Roman"/>
          <w:sz w:val="28"/>
          <w:szCs w:val="28"/>
        </w:rPr>
        <w:t>在开展外业调查过程中，得到了各镇街和林场相关工作人员的大力配合和支持，同时在本《设计方案》初稿完成之际，各位专家提出了宝贵的建议，在此一并感谢。</w:t>
      </w:r>
    </w:p>
    <w:p>
      <w:pPr>
        <w:pStyle w:val="2"/>
      </w:pPr>
    </w:p>
    <w:p>
      <w:pPr>
        <w:spacing w:line="600" w:lineRule="exact"/>
        <w:ind w:firstLine="5040" w:firstLineChars="1800"/>
        <w:rPr>
          <w:rFonts w:ascii="Times New Roman" w:hAnsi="Times New Roman" w:cs="Times New Roman"/>
          <w:sz w:val="28"/>
          <w:szCs w:val="28"/>
        </w:rPr>
      </w:pPr>
      <w:r>
        <w:rPr>
          <w:rFonts w:hint="eastAsia" w:ascii="Times New Roman" w:hAnsi="Times New Roman" w:cs="Times New Roman"/>
          <w:sz w:val="28"/>
          <w:szCs w:val="28"/>
        </w:rPr>
        <w:t>《设计方案》编制组</w:t>
      </w:r>
    </w:p>
    <w:p>
      <w:pPr>
        <w:spacing w:line="600" w:lineRule="exact"/>
        <w:ind w:firstLine="5600" w:firstLineChars="2000"/>
      </w:pPr>
      <w:r>
        <w:rPr>
          <w:rFonts w:hint="eastAsia" w:ascii="Times New Roman" w:hAnsi="Times New Roman" w:cs="Times New Roman"/>
          <w:sz w:val="28"/>
          <w:szCs w:val="28"/>
        </w:rPr>
        <w:t>二〇二三年一月</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   </w:t>
      </w:r>
    </w:p>
    <w:p>
      <w:pPr>
        <w:spacing w:line="500" w:lineRule="exact"/>
        <w:jc w:val="left"/>
        <w:rPr>
          <w:rFonts w:ascii="Times New Roman" w:hAnsi="Times New Roman" w:cs="Times New Roman"/>
          <w:sz w:val="24"/>
          <w:szCs w:val="24"/>
        </w:rPr>
      </w:pPr>
    </w:p>
    <w:p/>
    <w:p>
      <w:pPr>
        <w:pStyle w:val="3"/>
        <w:spacing w:line="500" w:lineRule="exact"/>
        <w:jc w:val="center"/>
        <w:rPr>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pStyle w:val="3"/>
        <w:spacing w:line="500" w:lineRule="exact"/>
        <w:jc w:val="center"/>
        <w:rPr>
          <w:sz w:val="32"/>
          <w:szCs w:val="32"/>
        </w:rPr>
      </w:pPr>
      <w:bookmarkStart w:id="1" w:name="_Toc126075347"/>
      <w:r>
        <w:rPr>
          <w:sz w:val="32"/>
          <w:szCs w:val="32"/>
        </w:rPr>
        <w:t>1</w:t>
      </w:r>
      <w:r>
        <w:rPr>
          <w:rFonts w:hint="eastAsia"/>
          <w:sz w:val="32"/>
          <w:szCs w:val="32"/>
        </w:rPr>
        <w:t xml:space="preserve"> </w:t>
      </w:r>
      <w:r>
        <w:rPr>
          <w:sz w:val="32"/>
          <w:szCs w:val="32"/>
        </w:rPr>
        <w:t>总论</w:t>
      </w:r>
      <w:bookmarkEnd w:id="1"/>
    </w:p>
    <w:p>
      <w:pPr>
        <w:pStyle w:val="4"/>
        <w:spacing w:line="500" w:lineRule="exact"/>
        <w:rPr>
          <w:rFonts w:ascii="Times New Roman" w:hAnsi="Times New Roman" w:cs="Times New Roman"/>
          <w:sz w:val="30"/>
          <w:szCs w:val="30"/>
        </w:rPr>
      </w:pPr>
      <w:bookmarkStart w:id="2" w:name="_Toc126075348"/>
      <w:r>
        <w:rPr>
          <w:rFonts w:ascii="Times New Roman" w:hAnsi="Times New Roman" w:cs="Times New Roman"/>
          <w:sz w:val="30"/>
          <w:szCs w:val="30"/>
        </w:rPr>
        <w:t>1.1</w:t>
      </w:r>
      <w:r>
        <w:rPr>
          <w:rFonts w:hint="eastAsia" w:ascii="Times New Roman" w:hAnsi="Times New Roman" w:cs="Times New Roman"/>
          <w:sz w:val="30"/>
          <w:szCs w:val="30"/>
        </w:rPr>
        <w:t xml:space="preserve"> </w:t>
      </w:r>
      <w:r>
        <w:rPr>
          <w:rFonts w:ascii="Times New Roman" w:hAnsi="Times New Roman" w:cs="Times New Roman"/>
          <w:sz w:val="30"/>
          <w:szCs w:val="30"/>
        </w:rPr>
        <w:t>项目名称</w:t>
      </w:r>
      <w:bookmarkEnd w:id="2"/>
    </w:p>
    <w:p>
      <w:pPr>
        <w:spacing w:line="600" w:lineRule="exact"/>
        <w:ind w:firstLine="560" w:firstLineChars="200"/>
        <w:rPr>
          <w:rFonts w:ascii="Times New Roman" w:hAnsi="Times New Roman" w:cs="Times New Roman"/>
          <w:b/>
          <w:sz w:val="30"/>
          <w:szCs w:val="30"/>
        </w:rPr>
      </w:pPr>
      <w:r>
        <w:rPr>
          <w:rFonts w:hint="eastAsia" w:ascii="Times New Roman" w:hAnsi="Times New Roman" w:cs="Times New Roman"/>
          <w:sz w:val="28"/>
          <w:szCs w:val="28"/>
        </w:rPr>
        <w:t>渝北区森林消防水箱建设项目</w:t>
      </w:r>
    </w:p>
    <w:p>
      <w:pPr>
        <w:pStyle w:val="4"/>
        <w:spacing w:line="500" w:lineRule="exact"/>
        <w:rPr>
          <w:rFonts w:ascii="Times New Roman" w:hAnsi="Times New Roman" w:cs="Times New Roman"/>
          <w:sz w:val="30"/>
          <w:szCs w:val="30"/>
        </w:rPr>
      </w:pPr>
      <w:bookmarkStart w:id="3" w:name="_Toc126075349"/>
      <w:r>
        <w:rPr>
          <w:rFonts w:hint="eastAsia" w:ascii="Times New Roman" w:hAnsi="Times New Roman" w:cs="Times New Roman"/>
          <w:sz w:val="30"/>
          <w:szCs w:val="30"/>
        </w:rPr>
        <w:t>1.</w:t>
      </w:r>
      <w:r>
        <w:rPr>
          <w:rFonts w:ascii="Times New Roman" w:hAnsi="Times New Roman" w:cs="Times New Roman"/>
          <w:sz w:val="30"/>
          <w:szCs w:val="30"/>
        </w:rPr>
        <w:t>2</w:t>
      </w:r>
      <w:r>
        <w:rPr>
          <w:rFonts w:hint="eastAsia" w:ascii="Times New Roman" w:hAnsi="Times New Roman" w:cs="Times New Roman"/>
          <w:sz w:val="30"/>
          <w:szCs w:val="30"/>
        </w:rPr>
        <w:t xml:space="preserve"> </w:t>
      </w:r>
      <w:r>
        <w:rPr>
          <w:rFonts w:ascii="Times New Roman" w:hAnsi="Times New Roman" w:cs="Times New Roman"/>
          <w:sz w:val="30"/>
          <w:szCs w:val="30"/>
        </w:rPr>
        <w:t>项目建设地点</w:t>
      </w:r>
      <w:bookmarkEnd w:id="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渝北区茨竹镇、大盛镇、大湾镇、古路镇、华蓥山林场、龙兴镇、洛碛镇、木耳镇、石船镇、统景林场、统景镇、王家街道、兴隆镇、玉峰山林场、玉峰山镇。</w:t>
      </w:r>
    </w:p>
    <w:p>
      <w:pPr>
        <w:pStyle w:val="4"/>
        <w:spacing w:line="500" w:lineRule="exact"/>
        <w:rPr>
          <w:rFonts w:ascii="Times New Roman" w:hAnsi="Times New Roman" w:cs="Times New Roman"/>
          <w:sz w:val="30"/>
          <w:szCs w:val="30"/>
        </w:rPr>
      </w:pPr>
      <w:bookmarkStart w:id="4" w:name="_Toc126075350"/>
      <w:r>
        <w:rPr>
          <w:rFonts w:hint="eastAsia" w:ascii="Times New Roman" w:hAnsi="Times New Roman" w:cs="Times New Roman"/>
          <w:sz w:val="30"/>
          <w:szCs w:val="30"/>
        </w:rPr>
        <w:t>1.</w:t>
      </w:r>
      <w:r>
        <w:rPr>
          <w:rFonts w:ascii="Times New Roman" w:hAnsi="Times New Roman" w:cs="Times New Roman"/>
          <w:sz w:val="30"/>
          <w:szCs w:val="30"/>
        </w:rPr>
        <w:t>3</w:t>
      </w:r>
      <w:r>
        <w:rPr>
          <w:rFonts w:hint="eastAsia" w:ascii="Times New Roman" w:hAnsi="Times New Roman" w:cs="Times New Roman"/>
          <w:sz w:val="30"/>
          <w:szCs w:val="30"/>
        </w:rPr>
        <w:t>项目法人</w:t>
      </w:r>
      <w:bookmarkEnd w:id="4"/>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茨竹镇人民政府、大盛镇人民政府、大湾镇人民政府、古路镇人民政府、龙兴镇人民政府、洛碛镇人民政府、木耳镇人民政府、石船镇人民政府、统景镇人民政府、王家街道办事处、兴隆镇人民政府、玉峰山镇人民政府及三个国有林场。</w:t>
      </w:r>
    </w:p>
    <w:p>
      <w:pPr>
        <w:pStyle w:val="4"/>
        <w:spacing w:line="500" w:lineRule="exact"/>
        <w:rPr>
          <w:rFonts w:ascii="Times New Roman" w:hAnsi="Times New Roman" w:cs="Times New Roman"/>
          <w:sz w:val="30"/>
          <w:szCs w:val="30"/>
        </w:rPr>
      </w:pPr>
      <w:bookmarkStart w:id="5" w:name="_Toc126075351"/>
      <w:r>
        <w:rPr>
          <w:rFonts w:ascii="Times New Roman" w:hAnsi="Times New Roman" w:cs="Times New Roman"/>
          <w:sz w:val="30"/>
          <w:szCs w:val="30"/>
        </w:rPr>
        <w:t>1.</w:t>
      </w:r>
      <w:r>
        <w:rPr>
          <w:rFonts w:hint="eastAsia" w:ascii="Times New Roman" w:hAnsi="Times New Roman" w:cs="Times New Roman"/>
          <w:sz w:val="30"/>
          <w:szCs w:val="30"/>
        </w:rPr>
        <w:t>4 法人代表</w:t>
      </w:r>
      <w:bookmarkEnd w:id="5"/>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各镇街及林场法人代表</w:t>
      </w:r>
    </w:p>
    <w:p>
      <w:pPr>
        <w:pStyle w:val="4"/>
        <w:spacing w:line="500" w:lineRule="exact"/>
        <w:rPr>
          <w:rFonts w:ascii="Times New Roman" w:hAnsi="Times New Roman" w:cs="Times New Roman"/>
          <w:sz w:val="30"/>
          <w:szCs w:val="30"/>
        </w:rPr>
      </w:pPr>
      <w:bookmarkStart w:id="6" w:name="_Toc126075352"/>
      <w:r>
        <w:rPr>
          <w:rFonts w:ascii="Times New Roman" w:hAnsi="Times New Roman" w:cs="Times New Roman"/>
          <w:sz w:val="30"/>
          <w:szCs w:val="30"/>
        </w:rPr>
        <w:t>1.</w:t>
      </w:r>
      <w:r>
        <w:rPr>
          <w:rFonts w:hint="eastAsia" w:ascii="Times New Roman" w:hAnsi="Times New Roman" w:cs="Times New Roman"/>
          <w:sz w:val="30"/>
          <w:szCs w:val="30"/>
        </w:rPr>
        <w:t xml:space="preserve">5 </w:t>
      </w:r>
      <w:r>
        <w:rPr>
          <w:rFonts w:ascii="Times New Roman" w:hAnsi="Times New Roman" w:cs="Times New Roman"/>
          <w:sz w:val="30"/>
          <w:szCs w:val="30"/>
        </w:rPr>
        <w:t>项目性质</w:t>
      </w:r>
      <w:bookmarkEnd w:id="6"/>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新建</w:t>
      </w:r>
    </w:p>
    <w:p>
      <w:pPr>
        <w:pStyle w:val="4"/>
        <w:spacing w:line="500" w:lineRule="exact"/>
        <w:rPr>
          <w:rFonts w:ascii="Times New Roman" w:hAnsi="Times New Roman" w:cs="Times New Roman"/>
          <w:sz w:val="30"/>
          <w:szCs w:val="30"/>
        </w:rPr>
      </w:pPr>
      <w:bookmarkStart w:id="7" w:name="_Toc126075353"/>
      <w:r>
        <w:rPr>
          <w:rFonts w:hint="eastAsia" w:ascii="Times New Roman" w:hAnsi="Times New Roman" w:cs="Times New Roman"/>
          <w:sz w:val="30"/>
          <w:szCs w:val="30"/>
        </w:rPr>
        <w:t>1.6</w:t>
      </w:r>
      <w:r>
        <w:rPr>
          <w:rFonts w:ascii="Times New Roman" w:hAnsi="Times New Roman" w:cs="Times New Roman"/>
          <w:sz w:val="30"/>
          <w:szCs w:val="30"/>
        </w:rPr>
        <w:t xml:space="preserve"> 项目建设目标</w:t>
      </w:r>
      <w:bookmarkEnd w:id="7"/>
    </w:p>
    <w:p>
      <w:pPr>
        <w:pStyle w:val="2"/>
        <w:ind w:firstLine="560" w:firstLineChars="20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通过与已建的森林消防水池相结合使用，充分覆盖辖区内的中梁山山脉（龙王洞山）、铜锣山山脉、明月山山脉森林资源集中分布区域和森林火险隐患较高的区域，覆盖率达95%以上，缩短水源补给距离，灭火供水保障半径达到500米-1000米之间。</w:t>
      </w:r>
    </w:p>
    <w:p>
      <w:pPr>
        <w:pStyle w:val="4"/>
        <w:spacing w:line="500" w:lineRule="exact"/>
        <w:rPr>
          <w:rFonts w:ascii="Times New Roman" w:hAnsi="Times New Roman" w:cs="Times New Roman"/>
          <w:sz w:val="30"/>
          <w:szCs w:val="30"/>
        </w:rPr>
      </w:pPr>
      <w:bookmarkStart w:id="8" w:name="_Toc126075354"/>
      <w:r>
        <w:rPr>
          <w:rFonts w:ascii="Times New Roman" w:hAnsi="Times New Roman" w:cs="Times New Roman"/>
          <w:sz w:val="30"/>
          <w:szCs w:val="30"/>
        </w:rPr>
        <w:t>1.</w:t>
      </w:r>
      <w:r>
        <w:rPr>
          <w:rFonts w:hint="eastAsia" w:ascii="Times New Roman" w:hAnsi="Times New Roman" w:cs="Times New Roman"/>
          <w:sz w:val="30"/>
          <w:szCs w:val="30"/>
        </w:rPr>
        <w:t>7</w:t>
      </w:r>
      <w:r>
        <w:rPr>
          <w:rFonts w:ascii="Times New Roman" w:hAnsi="Times New Roman" w:cs="Times New Roman"/>
          <w:sz w:val="30"/>
          <w:szCs w:val="30"/>
        </w:rPr>
        <w:t xml:space="preserve"> 项目主要建设内容及规模</w:t>
      </w:r>
      <w:bookmarkEnd w:id="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在辖区内的明月山山脉、铜锣山山脉、中梁山脉（龙王洞山）新建森林消防蓄水箱219个，其中60立方米26个，90立方米181个，120立方米12个。涉及11个镇、1个街道、3个林场共计74个行政村（管护站）。</w:t>
      </w:r>
    </w:p>
    <w:p>
      <w:pPr>
        <w:pStyle w:val="4"/>
        <w:spacing w:line="500" w:lineRule="exact"/>
        <w:rPr>
          <w:rFonts w:ascii="Times New Roman" w:hAnsi="Times New Roman" w:cs="Times New Roman"/>
          <w:sz w:val="30"/>
          <w:szCs w:val="30"/>
        </w:rPr>
      </w:pPr>
      <w:bookmarkStart w:id="9" w:name="_Toc126075355"/>
      <w:r>
        <w:rPr>
          <w:rFonts w:ascii="Times New Roman" w:hAnsi="Times New Roman" w:cs="Times New Roman"/>
          <w:sz w:val="30"/>
          <w:szCs w:val="30"/>
        </w:rPr>
        <w:t>1.</w:t>
      </w:r>
      <w:r>
        <w:rPr>
          <w:rFonts w:hint="eastAsia" w:ascii="Times New Roman" w:hAnsi="Times New Roman" w:cs="Times New Roman"/>
          <w:sz w:val="30"/>
          <w:szCs w:val="30"/>
        </w:rPr>
        <w:t>8</w:t>
      </w:r>
      <w:r>
        <w:rPr>
          <w:rFonts w:ascii="Times New Roman" w:hAnsi="Times New Roman" w:cs="Times New Roman"/>
          <w:sz w:val="30"/>
          <w:szCs w:val="30"/>
        </w:rPr>
        <w:t xml:space="preserve"> 项目建设期及进度</w:t>
      </w:r>
      <w:bookmarkEnd w:id="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准备阶段：2022年12月~2023年1月，完成设计和预算的编制、审批、开展招标、确定施工单位。</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建设阶段：2022年2月~2023年6月，完成森林消防水箱施工建设。</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验收阶段：2023年6月，项目竣工验收。</w:t>
      </w:r>
    </w:p>
    <w:p>
      <w:pPr>
        <w:pStyle w:val="4"/>
        <w:spacing w:line="500" w:lineRule="exact"/>
        <w:rPr>
          <w:rFonts w:ascii="Times New Roman" w:hAnsi="Times New Roman" w:cs="Times New Roman"/>
          <w:sz w:val="30"/>
          <w:szCs w:val="30"/>
        </w:rPr>
      </w:pPr>
      <w:bookmarkStart w:id="10" w:name="_Toc126075356"/>
      <w:r>
        <w:rPr>
          <w:rFonts w:ascii="Times New Roman" w:hAnsi="Times New Roman" w:cs="Times New Roman"/>
          <w:sz w:val="30"/>
          <w:szCs w:val="30"/>
        </w:rPr>
        <w:t>1.</w:t>
      </w:r>
      <w:r>
        <w:rPr>
          <w:rFonts w:hint="eastAsia" w:ascii="Times New Roman" w:hAnsi="Times New Roman" w:cs="Times New Roman"/>
          <w:sz w:val="30"/>
          <w:szCs w:val="30"/>
        </w:rPr>
        <w:t>9</w:t>
      </w:r>
      <w:r>
        <w:rPr>
          <w:rFonts w:ascii="Times New Roman" w:hAnsi="Times New Roman" w:cs="Times New Roman"/>
          <w:sz w:val="30"/>
          <w:szCs w:val="30"/>
        </w:rPr>
        <w:t xml:space="preserve"> 项目投资规模与资金来源</w:t>
      </w:r>
      <w:bookmarkEnd w:id="10"/>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项目总投资2032.08万元，其中：工程建设直接费用1970.98万元，占总投资的9</w:t>
      </w:r>
      <w:r>
        <w:rPr>
          <w:rFonts w:hint="eastAsia" w:ascii="Times New Roman" w:hAnsi="Times New Roman" w:cs="Times New Roman"/>
          <w:sz w:val="28"/>
          <w:szCs w:val="28"/>
        </w:rPr>
        <w:t>6</w:t>
      </w:r>
      <w:r>
        <w:rPr>
          <w:rFonts w:ascii="Times New Roman" w:hAnsi="Times New Roman" w:cs="Times New Roman"/>
          <w:sz w:val="28"/>
          <w:szCs w:val="28"/>
        </w:rPr>
        <w:t>.</w:t>
      </w:r>
      <w:r>
        <w:rPr>
          <w:rFonts w:hint="eastAsia" w:ascii="Times New Roman" w:hAnsi="Times New Roman" w:cs="Times New Roman"/>
          <w:sz w:val="28"/>
          <w:szCs w:val="28"/>
        </w:rPr>
        <w:t>99</w:t>
      </w:r>
      <w:r>
        <w:rPr>
          <w:rFonts w:ascii="Times New Roman" w:hAnsi="Times New Roman" w:cs="Times New Roman"/>
          <w:sz w:val="28"/>
          <w:szCs w:val="28"/>
        </w:rPr>
        <w:t>%，工程建设间接费用61.1</w:t>
      </w:r>
      <w:r>
        <w:rPr>
          <w:rFonts w:hint="eastAsia" w:ascii="Times New Roman" w:hAnsi="Times New Roman" w:cs="Times New Roman"/>
          <w:sz w:val="28"/>
          <w:szCs w:val="28"/>
        </w:rPr>
        <w:t>.0</w:t>
      </w:r>
      <w:r>
        <w:rPr>
          <w:rFonts w:ascii="Times New Roman" w:hAnsi="Times New Roman" w:cs="Times New Roman"/>
          <w:sz w:val="28"/>
          <w:szCs w:val="28"/>
        </w:rPr>
        <w:t>万元，占总投资的</w:t>
      </w:r>
      <w:r>
        <w:rPr>
          <w:rFonts w:hint="eastAsia" w:ascii="Times New Roman" w:hAnsi="Times New Roman" w:cs="Times New Roman"/>
          <w:sz w:val="28"/>
          <w:szCs w:val="28"/>
        </w:rPr>
        <w:t>3.01</w:t>
      </w:r>
      <w:r>
        <w:rPr>
          <w:rFonts w:ascii="Times New Roman" w:hAnsi="Times New Roman" w:cs="Times New Roman"/>
          <w:sz w:val="28"/>
          <w:szCs w:val="28"/>
        </w:rPr>
        <w:t>%。资金</w:t>
      </w:r>
      <w:r>
        <w:rPr>
          <w:rFonts w:hint="eastAsia" w:ascii="Times New Roman" w:hAnsi="Times New Roman" w:cs="Times New Roman"/>
          <w:sz w:val="28"/>
          <w:szCs w:val="28"/>
        </w:rPr>
        <w:t>主要来源于区财政资金。</w:t>
      </w:r>
    </w:p>
    <w:p>
      <w:pPr>
        <w:pStyle w:val="4"/>
        <w:spacing w:line="500" w:lineRule="exact"/>
        <w:rPr>
          <w:rFonts w:ascii="Times New Roman" w:hAnsi="Times New Roman" w:cs="Times New Roman"/>
          <w:sz w:val="30"/>
          <w:szCs w:val="30"/>
        </w:rPr>
      </w:pPr>
      <w:bookmarkStart w:id="11" w:name="_Toc126075357"/>
      <w:r>
        <w:rPr>
          <w:rFonts w:hint="eastAsia" w:ascii="Times New Roman" w:hAnsi="Times New Roman" w:cs="Times New Roman"/>
          <w:sz w:val="30"/>
          <w:szCs w:val="30"/>
        </w:rPr>
        <w:t>1.10 设计依据</w:t>
      </w:r>
      <w:bookmarkEnd w:id="11"/>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1.《中华人民共和国森林法》（2019年12月28日）；</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2.《中华人民共和国森林法实施条例》（2018年3月）；</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3.</w:t>
      </w:r>
      <w:r>
        <w:rPr>
          <w:rFonts w:hint="eastAsia" w:ascii="Times New Roman" w:hAnsi="Times New Roman" w:cs="Times New Roman"/>
          <w:sz w:val="28"/>
          <w:szCs w:val="28"/>
          <w:lang w:eastAsia="zh-CN"/>
        </w:rPr>
        <w:t>《森林防火条例》</w:t>
      </w:r>
      <w:r>
        <w:rPr>
          <w:rFonts w:hint="eastAsia" w:ascii="Times New Roman" w:hAnsi="Times New Roman" w:cs="Times New Roman"/>
          <w:sz w:val="28"/>
          <w:szCs w:val="28"/>
        </w:rPr>
        <w:t>（2008年11月19日）；</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4.《重庆市森林防火条例》（2011年9月22）；</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5.《重庆市林地保护管理条例（2018年7月26日）》</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6.《全国森林防火规划（2016-2025年）》；</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7.《重庆市森林防火规划（2016-2025年）》；</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8.《重庆市林业发展“十四五”规划（2021-2025年）》；</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9.《重庆市“十四五”林业草原防灾减灾规划》；</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10.《重庆市渝北区森林防火规划（2016-2025年）》；</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11.《12S101矩形给水箱》；</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12.《不锈钢冷轧钢板及钢带（GB/T3280-2015）》；</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13.《不锈钢焊接施工工艺标准（QB-CNCEC J221010-2006）》；</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14.《森林防火工程技术标准（LYJ127-91）》；</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15.《森林火险区综合治理工程建设标准》（2014年3月1日起实施）；</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16.渝北区2020年森林资源管理“一张图”数据；</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17.2021年渝北区国民经济和社会发展统计公报；</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18.重庆市渝北区森林防火能力建设提升行动（2021-2025年）</w:t>
      </w:r>
    </w:p>
    <w:p>
      <w:pPr>
        <w:spacing w:line="600" w:lineRule="exact"/>
        <w:ind w:firstLine="560" w:firstLineChars="200"/>
        <w:rPr>
          <w:rFonts w:ascii="Times New Roman" w:hAnsi="Times New Roman" w:cs="Times New Roman"/>
          <w:sz w:val="28"/>
          <w:szCs w:val="28"/>
        </w:rPr>
      </w:pPr>
    </w:p>
    <w:p>
      <w:pPr>
        <w:pStyle w:val="3"/>
        <w:spacing w:line="500" w:lineRule="exact"/>
        <w:jc w:val="center"/>
        <w:rPr>
          <w:sz w:val="32"/>
          <w:szCs w:val="32"/>
        </w:rPr>
      </w:pPr>
      <w:bookmarkStart w:id="12" w:name="_Toc126075358"/>
      <w:r>
        <w:rPr>
          <w:rFonts w:hint="eastAsia"/>
          <w:sz w:val="32"/>
          <w:szCs w:val="32"/>
        </w:rPr>
        <w:t>2 项目区基本概况</w:t>
      </w:r>
      <w:bookmarkEnd w:id="12"/>
    </w:p>
    <w:p>
      <w:pPr>
        <w:pStyle w:val="4"/>
        <w:spacing w:line="500" w:lineRule="exact"/>
        <w:rPr>
          <w:rFonts w:ascii="Times New Roman" w:hAnsi="Times New Roman" w:cs="Times New Roman"/>
          <w:sz w:val="30"/>
          <w:szCs w:val="30"/>
        </w:rPr>
      </w:pPr>
      <w:bookmarkStart w:id="13" w:name="_Toc126075359"/>
      <w:r>
        <w:rPr>
          <w:rFonts w:hint="eastAsia" w:ascii="Times New Roman" w:hAnsi="Times New Roman" w:cs="Times New Roman"/>
          <w:sz w:val="30"/>
          <w:szCs w:val="30"/>
        </w:rPr>
        <w:t>2</w:t>
      </w:r>
      <w:r>
        <w:rPr>
          <w:rFonts w:ascii="Times New Roman" w:hAnsi="Times New Roman" w:cs="Times New Roman"/>
          <w:sz w:val="30"/>
          <w:szCs w:val="30"/>
        </w:rPr>
        <w:t>.1</w:t>
      </w:r>
      <w:r>
        <w:rPr>
          <w:rFonts w:hint="eastAsia" w:ascii="Times New Roman" w:hAnsi="Times New Roman" w:cs="Times New Roman"/>
          <w:sz w:val="30"/>
          <w:szCs w:val="30"/>
        </w:rPr>
        <w:t xml:space="preserve"> 自然</w:t>
      </w:r>
      <w:r>
        <w:rPr>
          <w:rFonts w:ascii="Times New Roman" w:hAnsi="Times New Roman" w:cs="Times New Roman"/>
          <w:sz w:val="30"/>
          <w:szCs w:val="30"/>
        </w:rPr>
        <w:t>地理概况</w:t>
      </w:r>
      <w:bookmarkEnd w:id="13"/>
    </w:p>
    <w:p>
      <w:pPr>
        <w:pStyle w:val="5"/>
        <w:spacing w:line="500" w:lineRule="exact"/>
        <w:ind w:firstLine="562" w:firstLineChars="200"/>
        <w:rPr>
          <w:rFonts w:ascii="Times New Roman" w:hAnsi="Times New Roman" w:cs="Times New Roman"/>
          <w:sz w:val="28"/>
          <w:szCs w:val="28"/>
        </w:rPr>
      </w:pPr>
      <w:bookmarkStart w:id="14" w:name="_Toc122971918"/>
      <w:bookmarkStart w:id="15" w:name="_Toc122955584"/>
      <w:bookmarkStart w:id="16" w:name="_Toc123041819"/>
      <w:bookmarkStart w:id="17" w:name="_Toc126075360"/>
      <w:bookmarkStart w:id="18" w:name="_Toc124614699"/>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.1</w:t>
      </w:r>
      <w:r>
        <w:rPr>
          <w:rFonts w:hint="eastAsia" w:ascii="Times New Roman" w:hAnsi="Times New Roman" w:cs="Times New Roman"/>
          <w:sz w:val="28"/>
          <w:szCs w:val="28"/>
        </w:rPr>
        <w:t xml:space="preserve"> </w:t>
      </w:r>
      <w:r>
        <w:rPr>
          <w:rFonts w:ascii="Times New Roman" w:hAnsi="Times New Roman" w:cs="Times New Roman"/>
          <w:sz w:val="28"/>
          <w:szCs w:val="28"/>
        </w:rPr>
        <w:t>地理位置</w:t>
      </w:r>
      <w:bookmarkEnd w:id="14"/>
      <w:bookmarkEnd w:id="15"/>
      <w:bookmarkEnd w:id="16"/>
      <w:bookmarkEnd w:id="17"/>
      <w:bookmarkEnd w:id="1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地处重庆中心城区北大门，地跨东经106°27'30"～106°57'58"、北纬29°34'45"～30°07'22"之间。铜锣山、明月山、中梁山三山列屏，长江、嘉陵江两江环绕。东邻长寿区、南与江北区毗邻，西连北碚区、合川区，北接四川省广安市华蓥市，同巴南区、南岸区、沙坪坝区隔江相望。</w:t>
      </w:r>
    </w:p>
    <w:p>
      <w:pPr>
        <w:pStyle w:val="5"/>
        <w:spacing w:line="500" w:lineRule="exact"/>
        <w:ind w:firstLine="562" w:firstLineChars="200"/>
        <w:rPr>
          <w:rFonts w:ascii="Times New Roman" w:hAnsi="Times New Roman" w:cs="Times New Roman"/>
          <w:sz w:val="28"/>
          <w:szCs w:val="28"/>
        </w:rPr>
      </w:pPr>
      <w:bookmarkStart w:id="19" w:name="_Toc123041820"/>
      <w:bookmarkStart w:id="20" w:name="_Toc122955585"/>
      <w:bookmarkStart w:id="21" w:name="_Toc126075361"/>
      <w:bookmarkStart w:id="22" w:name="_Toc124614700"/>
      <w:bookmarkStart w:id="23" w:name="_Toc122971919"/>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.2</w:t>
      </w:r>
      <w:r>
        <w:rPr>
          <w:rFonts w:hint="eastAsia" w:ascii="Times New Roman" w:hAnsi="Times New Roman" w:cs="Times New Roman"/>
          <w:sz w:val="28"/>
          <w:szCs w:val="28"/>
        </w:rPr>
        <w:t xml:space="preserve"> </w:t>
      </w:r>
      <w:r>
        <w:rPr>
          <w:rFonts w:ascii="Times New Roman" w:hAnsi="Times New Roman" w:cs="Times New Roman"/>
          <w:sz w:val="28"/>
          <w:szCs w:val="28"/>
        </w:rPr>
        <w:t>地形地貌</w:t>
      </w:r>
      <w:bookmarkEnd w:id="19"/>
      <w:bookmarkEnd w:id="20"/>
      <w:bookmarkEnd w:id="21"/>
      <w:bookmarkEnd w:id="22"/>
      <w:bookmarkEnd w:id="2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地处华蓥山主峰以南的巴渝平行岭谷地带，地势从西北向东南缓缓倾斜。自西向东由华蓥山脉、铜锣山脉、明月山脉三条西北至东南走向的条状山脉与宽谷丘陵交互组成的平行岭谷。北部为中山，海拔800-1460米；中部为低山，海拔450-800米；南部多浅丘，海拔155-450米。地质属沉积岩广泛发育区，地质形态为华蓥山帚状褶皱束和宣汉-重庆平行褶皱束，褶皱带呈北北东向展布，狭长而不对称，褶皱紧密，向斜宽，背斜窄，断裂少。地貌多呈垄岗状，山体雄厚，长岭岗、馒头山、桌状山错落于岭谷间，地势起伏较大。喀斯特地貌分布较广，谷坡河岸多溶洞。</w:t>
      </w:r>
    </w:p>
    <w:p>
      <w:pPr>
        <w:pStyle w:val="5"/>
        <w:spacing w:line="500" w:lineRule="exact"/>
        <w:ind w:firstLine="562" w:firstLineChars="200"/>
        <w:rPr>
          <w:rFonts w:ascii="Times New Roman" w:hAnsi="Times New Roman" w:cs="Times New Roman"/>
          <w:sz w:val="28"/>
          <w:szCs w:val="28"/>
        </w:rPr>
      </w:pPr>
      <w:bookmarkStart w:id="24" w:name="_Toc122971920"/>
      <w:bookmarkStart w:id="25" w:name="_Toc122955586"/>
      <w:bookmarkStart w:id="26" w:name="_Toc126075362"/>
      <w:bookmarkStart w:id="27" w:name="_Toc124614701"/>
      <w:bookmarkStart w:id="28" w:name="_Toc123041821"/>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.3</w:t>
      </w:r>
      <w:r>
        <w:rPr>
          <w:rFonts w:hint="eastAsia" w:ascii="Times New Roman" w:hAnsi="Times New Roman" w:cs="Times New Roman"/>
          <w:sz w:val="28"/>
          <w:szCs w:val="28"/>
        </w:rPr>
        <w:t xml:space="preserve"> </w:t>
      </w:r>
      <w:r>
        <w:rPr>
          <w:rFonts w:ascii="Times New Roman" w:hAnsi="Times New Roman" w:cs="Times New Roman"/>
          <w:sz w:val="28"/>
          <w:szCs w:val="28"/>
        </w:rPr>
        <w:t>气候和水文</w:t>
      </w:r>
      <w:bookmarkEnd w:id="24"/>
      <w:bookmarkEnd w:id="25"/>
      <w:bookmarkEnd w:id="26"/>
      <w:bookmarkEnd w:id="27"/>
      <w:bookmarkEnd w:id="2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属亚热带湿润气候区，大陆性季风气候特点显著。具有冬暖春早、秋短夏长、初夏多雨、无霜期长、湿度大、风力小、云雾多、日照少的气候特点。常年平均气温17.3℃。极端最高气温40℃,极端最低气温–2℃左右。常年平均降雨量1100毫米左右，平均日照1340小时左右，平均无霜期319天。</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过境河流主要有长江和嘉陵江，其中长江沿区境东南边境流过，嘉陵江沿区境西南边境流过，中、东部有寸滩河、朝阳河、长堰溪、御临河注入长江。另外，境内年平均降水量为10亿立方米，地下水出露总量约1.1亿立方米。</w:t>
      </w:r>
    </w:p>
    <w:p>
      <w:pPr>
        <w:pStyle w:val="5"/>
        <w:spacing w:line="500" w:lineRule="exact"/>
        <w:ind w:firstLine="562" w:firstLineChars="200"/>
        <w:rPr>
          <w:rFonts w:ascii="Times New Roman" w:hAnsi="Times New Roman" w:cs="Times New Roman"/>
          <w:sz w:val="28"/>
          <w:szCs w:val="28"/>
        </w:rPr>
      </w:pPr>
      <w:bookmarkStart w:id="29" w:name="_Toc124614702"/>
      <w:bookmarkStart w:id="30" w:name="_Toc126075363"/>
      <w:bookmarkStart w:id="31" w:name="_Toc123041822"/>
      <w:bookmarkStart w:id="32" w:name="_Toc122955587"/>
      <w:bookmarkStart w:id="33" w:name="_Toc122971921"/>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w:t>
      </w:r>
      <w:r>
        <w:rPr>
          <w:rFonts w:hint="eastAsia" w:ascii="Times New Roman" w:hAnsi="Times New Roman" w:cs="Times New Roman"/>
          <w:sz w:val="28"/>
          <w:szCs w:val="28"/>
        </w:rPr>
        <w:t xml:space="preserve">4 </w:t>
      </w:r>
      <w:r>
        <w:rPr>
          <w:rFonts w:ascii="Times New Roman" w:hAnsi="Times New Roman" w:cs="Times New Roman"/>
          <w:sz w:val="28"/>
          <w:szCs w:val="28"/>
        </w:rPr>
        <w:t>土壤</w:t>
      </w:r>
      <w:bookmarkEnd w:id="29"/>
      <w:bookmarkEnd w:id="30"/>
      <w:bookmarkEnd w:id="31"/>
      <w:bookmarkEnd w:id="32"/>
      <w:bookmarkEnd w:id="3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土壤母质主要属休罗系须家河祖，由泥页岩、沙岩夹簿层页岩组成。土壤属冷沙黄壤，微酸性，土层深厚疏松，多数地块厚度大于50厘米。土壤肥沃，有潮土、紫色土、矿子黄壤、冷沙黄壤四大类，养分含量中氮低磷富钾。</w:t>
      </w:r>
    </w:p>
    <w:p>
      <w:pPr>
        <w:pStyle w:val="4"/>
        <w:spacing w:line="500" w:lineRule="exact"/>
        <w:rPr>
          <w:rFonts w:ascii="Times New Roman" w:hAnsi="Times New Roman" w:cs="Times New Roman"/>
          <w:sz w:val="30"/>
          <w:szCs w:val="30"/>
        </w:rPr>
      </w:pPr>
      <w:bookmarkStart w:id="34" w:name="_Toc126075364"/>
      <w:r>
        <w:rPr>
          <w:rFonts w:hint="eastAsia" w:ascii="Times New Roman" w:hAnsi="Times New Roman" w:cs="Times New Roman"/>
          <w:sz w:val="30"/>
          <w:szCs w:val="30"/>
        </w:rPr>
        <w:t>2</w:t>
      </w:r>
      <w:r>
        <w:rPr>
          <w:rFonts w:ascii="Times New Roman" w:hAnsi="Times New Roman" w:cs="Times New Roman"/>
          <w:sz w:val="30"/>
          <w:szCs w:val="30"/>
        </w:rPr>
        <w:t>.</w:t>
      </w:r>
      <w:r>
        <w:rPr>
          <w:rFonts w:hint="eastAsia" w:ascii="Times New Roman" w:hAnsi="Times New Roman" w:cs="Times New Roman"/>
          <w:sz w:val="30"/>
          <w:szCs w:val="30"/>
        </w:rPr>
        <w:t>2 社会经济概况</w:t>
      </w:r>
      <w:bookmarkEnd w:id="34"/>
    </w:p>
    <w:p>
      <w:pPr>
        <w:pStyle w:val="5"/>
        <w:spacing w:line="500" w:lineRule="exact"/>
        <w:ind w:firstLine="562" w:firstLineChars="200"/>
        <w:rPr>
          <w:rFonts w:ascii="Times New Roman" w:hAnsi="Times New Roman" w:cs="Times New Roman"/>
          <w:sz w:val="28"/>
          <w:szCs w:val="28"/>
        </w:rPr>
      </w:pPr>
      <w:bookmarkStart w:id="35" w:name="_Toc122971923"/>
      <w:bookmarkStart w:id="36" w:name="_Toc124614704"/>
      <w:bookmarkStart w:id="37" w:name="_Toc123041824"/>
      <w:bookmarkStart w:id="38" w:name="_Toc126075365"/>
      <w:bookmarkStart w:id="39" w:name="_Toc122955589"/>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 xml:space="preserve"> </w:t>
      </w:r>
      <w:r>
        <w:rPr>
          <w:rFonts w:hint="eastAsia" w:ascii="Times New Roman" w:hAnsi="Times New Roman" w:cs="Times New Roman"/>
          <w:sz w:val="28"/>
          <w:szCs w:val="28"/>
        </w:rPr>
        <w:t>行政</w:t>
      </w:r>
      <w:r>
        <w:rPr>
          <w:rFonts w:ascii="Times New Roman" w:hAnsi="Times New Roman" w:cs="Times New Roman"/>
          <w:sz w:val="28"/>
          <w:szCs w:val="28"/>
        </w:rPr>
        <w:t>区划和人口</w:t>
      </w:r>
      <w:bookmarkEnd w:id="35"/>
      <w:bookmarkEnd w:id="36"/>
      <w:bookmarkEnd w:id="37"/>
      <w:bookmarkEnd w:id="38"/>
      <w:bookmarkEnd w:id="3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渝北区员幅面积1452平方公里，辖11个镇19个街道（含两江新区直管区8个街道），城市建成区面积202平方公里。</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根据《2021年渝北区国民经济和社会发展统计公报》，全区常住人口220.58万人，较上年增加0.71万人。其中城镇常住人197.85万人，城镇化率89.70%，较上年提高0.65个百分点。年末户籍总人口152.20万人,较上年增加5.68万人。其中，城镇人口120.76万人，较上年增加6.19万人;乡村人口31.44万人，较上年减少0.51万人。户籍人口中，男性人口 75.29万人，女性人口76.91 万人，人口性别比为97.9(以女性为100)全年出生人口14384人，死亡人口7424人，人口自然增长率4.66‰。</w:t>
      </w:r>
    </w:p>
    <w:p>
      <w:pPr>
        <w:pStyle w:val="5"/>
        <w:spacing w:line="500" w:lineRule="exact"/>
        <w:ind w:firstLine="562" w:firstLineChars="200"/>
        <w:rPr>
          <w:rFonts w:ascii="Times New Roman" w:hAnsi="Times New Roman" w:cs="Times New Roman"/>
          <w:sz w:val="28"/>
          <w:szCs w:val="28"/>
        </w:rPr>
      </w:pPr>
      <w:bookmarkStart w:id="40" w:name="_Toc122955590"/>
      <w:bookmarkStart w:id="41" w:name="_Toc122971924"/>
      <w:bookmarkStart w:id="42" w:name="_Toc124614705"/>
      <w:bookmarkStart w:id="43" w:name="_Toc126075366"/>
      <w:bookmarkStart w:id="44" w:name="_Toc123041825"/>
      <w:r>
        <w:rPr>
          <w:rFonts w:hint="eastAsia" w:ascii="Times New Roman" w:hAnsi="Times New Roman" w:cs="Times New Roman"/>
          <w:sz w:val="28"/>
          <w:szCs w:val="28"/>
        </w:rPr>
        <w:t>2</w:t>
      </w:r>
      <w:r>
        <w:rPr>
          <w:rFonts w:ascii="Times New Roman" w:hAnsi="Times New Roman" w:cs="Times New Roman"/>
          <w:sz w:val="28"/>
          <w:szCs w:val="28"/>
        </w:rPr>
        <w:t>.2.</w:t>
      </w:r>
      <w:r>
        <w:rPr>
          <w:rFonts w:hint="eastAsia" w:ascii="Times New Roman" w:hAnsi="Times New Roman" w:cs="Times New Roman"/>
          <w:sz w:val="28"/>
          <w:szCs w:val="28"/>
        </w:rPr>
        <w:t>2</w:t>
      </w:r>
      <w:r>
        <w:rPr>
          <w:rFonts w:ascii="Times New Roman" w:hAnsi="Times New Roman" w:cs="Times New Roman"/>
          <w:sz w:val="28"/>
          <w:szCs w:val="28"/>
        </w:rPr>
        <w:t xml:space="preserve"> </w:t>
      </w:r>
      <w:r>
        <w:rPr>
          <w:rFonts w:hint="eastAsia" w:ascii="Times New Roman" w:hAnsi="Times New Roman" w:cs="Times New Roman"/>
          <w:sz w:val="28"/>
          <w:szCs w:val="28"/>
        </w:rPr>
        <w:t>社会</w:t>
      </w:r>
      <w:r>
        <w:rPr>
          <w:rFonts w:ascii="Times New Roman" w:hAnsi="Times New Roman" w:cs="Times New Roman"/>
          <w:sz w:val="28"/>
          <w:szCs w:val="28"/>
        </w:rPr>
        <w:t>经济</w:t>
      </w:r>
      <w:r>
        <w:rPr>
          <w:rFonts w:hint="eastAsia" w:ascii="Times New Roman" w:hAnsi="Times New Roman" w:cs="Times New Roman"/>
          <w:sz w:val="28"/>
          <w:szCs w:val="28"/>
        </w:rPr>
        <w:t>条件</w:t>
      </w:r>
      <w:bookmarkEnd w:id="40"/>
      <w:bookmarkEnd w:id="41"/>
      <w:bookmarkEnd w:id="42"/>
      <w:bookmarkEnd w:id="43"/>
      <w:bookmarkEnd w:id="44"/>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获批国家首批临空经济示范区，是重庆自贸试验区、中新（重庆）战略性互联互通示范项目重要承载地、重庆内陆开放高地建设主阵地、两江新区开发建设的主战场，汇集保税港区空港功能区、悦来国际博览中心、龙兴工业园、仙桃国际大数据谷、创新经济走廊等市、区开发开放平台，是重庆主城都市区重要经济板块和成渝地区双城经济圈建设重要枢纽节点。</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2011年以来，经济总量连续九年位居全市第一，是全市最大的汽车制造基地和创新金融聚集地，综合科技竞争力、“双创”指数均保持全市第一。2020年实现地区生产总值2009.5亿元、增长3.6%，人均GDP达11.5万元。规模以上工业总产值3155亿元，战略性新兴制造业产值占比达48.6%；固定资产投资1420亿元、增长0.1%；社会消费品零售总额947亿元、增长0.4%；一般公共预算收入达67亿元；城乡常住居民人均可支配收入分别达45100元、21140元，增长5.5%和8.2%；全社会研发经费支出占GDP的4.08%。智能终端、软件和信息服务、两江国际商务中心、现代消费走廊和航空物流园“五个千亿级”产业集群正成为高质量发展的强大引擎，渝北发展继往开来，实力雄厚，后劲蓬勃。</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根据《2021年渝北区国民经济和社会发展统计公报》，全年实现地区生产总值2235.61亿元，按可比价格计算比上年增长8.5%，两年平均增长6.0%。按产业分，第一产业增加值31.16亿元，增长4.6%;第二产业增加值765.16亿元，增长9.3%;第三产业增加值1439.29亿元，增长8.2%。次产业结构比为1.4:34.2:64.4。按常住人口计算，人均地区生产总值101515元。民营经济增加值965.35亿元，增长12.4%，占全区经济总量的43.2%。</w:t>
      </w:r>
    </w:p>
    <w:p>
      <w:pPr>
        <w:pStyle w:val="5"/>
        <w:spacing w:line="500" w:lineRule="exact"/>
        <w:ind w:firstLine="562" w:firstLineChars="200"/>
        <w:rPr>
          <w:rFonts w:ascii="Times New Roman" w:hAnsi="Times New Roman" w:cs="Times New Roman"/>
          <w:sz w:val="28"/>
          <w:szCs w:val="28"/>
        </w:rPr>
      </w:pPr>
      <w:bookmarkStart w:id="45" w:name="_Toc122955591"/>
      <w:bookmarkStart w:id="46" w:name="_Toc122971925"/>
      <w:bookmarkStart w:id="47" w:name="_Toc124614706"/>
      <w:bookmarkStart w:id="48" w:name="_Toc123041826"/>
      <w:bookmarkStart w:id="49" w:name="_Toc126075367"/>
      <w:r>
        <w:rPr>
          <w:rFonts w:hint="eastAsia" w:ascii="Times New Roman" w:hAnsi="Times New Roman" w:cs="Times New Roman"/>
          <w:sz w:val="28"/>
          <w:szCs w:val="28"/>
        </w:rPr>
        <w:t>2.2.3 交通条件</w:t>
      </w:r>
      <w:bookmarkEnd w:id="45"/>
      <w:bookmarkEnd w:id="46"/>
      <w:bookmarkEnd w:id="47"/>
      <w:bookmarkEnd w:id="48"/>
      <w:bookmarkEnd w:id="4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江北国际机场和重庆火车北站均位于境内，紧邻长江上游最大的外贸集装箱枢纽港——寸滩港，渝怀铁路、渝利铁路贯穿区境，渝长、渝邻、渝合、渝广等8条高速公路在此交汇，10号线、3号线、6号线等7条轻轨交织成网，是西部地区少有的集空港、铁路、水路、高速公路于一体的综合交通枢纽。渝北作为新时代西部大开发前沿，平台众多，要素集聚，优势明显。</w:t>
      </w:r>
    </w:p>
    <w:p>
      <w:pPr>
        <w:pStyle w:val="4"/>
        <w:spacing w:line="500" w:lineRule="exact"/>
        <w:rPr>
          <w:rFonts w:ascii="Times New Roman" w:hAnsi="Times New Roman" w:cs="Times New Roman"/>
          <w:sz w:val="30"/>
          <w:szCs w:val="30"/>
        </w:rPr>
      </w:pPr>
      <w:bookmarkStart w:id="50" w:name="_Toc126075368"/>
      <w:r>
        <w:rPr>
          <w:rFonts w:hint="eastAsia" w:ascii="Times New Roman" w:hAnsi="Times New Roman" w:cs="Times New Roman"/>
          <w:sz w:val="30"/>
          <w:szCs w:val="30"/>
        </w:rPr>
        <w:t>2.3 森林资源概况</w:t>
      </w:r>
      <w:bookmarkEnd w:id="50"/>
    </w:p>
    <w:p>
      <w:pPr>
        <w:pStyle w:val="5"/>
        <w:spacing w:line="500" w:lineRule="exact"/>
        <w:ind w:firstLine="562" w:firstLineChars="200"/>
        <w:rPr>
          <w:rFonts w:ascii="Times New Roman" w:hAnsi="Times New Roman" w:cs="Times New Roman"/>
          <w:sz w:val="28"/>
          <w:szCs w:val="28"/>
        </w:rPr>
      </w:pPr>
      <w:bookmarkStart w:id="51" w:name="_Toc126075369"/>
      <w:bookmarkStart w:id="52" w:name="_Toc123041828"/>
      <w:bookmarkStart w:id="53" w:name="_Toc122971927"/>
      <w:bookmarkStart w:id="54" w:name="_Toc124614708"/>
      <w:bookmarkStart w:id="55" w:name="_Toc122955593"/>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3</w:t>
      </w:r>
      <w:r>
        <w:rPr>
          <w:rFonts w:ascii="Times New Roman" w:hAnsi="Times New Roman" w:cs="Times New Roman"/>
          <w:sz w:val="28"/>
          <w:szCs w:val="28"/>
        </w:rPr>
        <w:t>.</w:t>
      </w:r>
      <w:r>
        <w:rPr>
          <w:rFonts w:hint="eastAsia" w:ascii="Times New Roman" w:hAnsi="Times New Roman" w:cs="Times New Roman"/>
          <w:sz w:val="28"/>
          <w:szCs w:val="28"/>
        </w:rPr>
        <w:t>1</w:t>
      </w:r>
      <w:r>
        <w:rPr>
          <w:rFonts w:ascii="Times New Roman" w:hAnsi="Times New Roman" w:cs="Times New Roman"/>
          <w:sz w:val="28"/>
          <w:szCs w:val="28"/>
        </w:rPr>
        <w:t xml:space="preserve"> </w:t>
      </w:r>
      <w:r>
        <w:rPr>
          <w:rFonts w:hint="eastAsia" w:ascii="Times New Roman" w:hAnsi="Times New Roman" w:cs="Times New Roman"/>
          <w:sz w:val="28"/>
          <w:szCs w:val="28"/>
        </w:rPr>
        <w:t>森林</w:t>
      </w:r>
      <w:r>
        <w:rPr>
          <w:rFonts w:ascii="Times New Roman" w:hAnsi="Times New Roman" w:cs="Times New Roman"/>
          <w:sz w:val="28"/>
          <w:szCs w:val="28"/>
        </w:rPr>
        <w:t>资源现状</w:t>
      </w:r>
      <w:bookmarkEnd w:id="51"/>
      <w:bookmarkEnd w:id="52"/>
      <w:bookmarkEnd w:id="53"/>
      <w:bookmarkEnd w:id="54"/>
      <w:bookmarkEnd w:id="55"/>
    </w:p>
    <w:p>
      <w:pPr>
        <w:spacing w:line="600" w:lineRule="exact"/>
        <w:ind w:firstLine="560" w:firstLineChars="200"/>
        <w:rPr>
          <w:rFonts w:ascii="Times New Roman" w:hAnsi="Times New Roman" w:cs="Times New Roman"/>
          <w:sz w:val="28"/>
          <w:szCs w:val="28"/>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cs="Times New Roman"/>
          <w:sz w:val="28"/>
          <w:szCs w:val="28"/>
        </w:rPr>
        <w:t>根据2020年渝北区森林资源管理“一张图”数据统计，非林地面积80248.8975公顷，林地面积65341.1025公顷。其中，森林面积56666.6235公顷（包括乔木林地面积33986.9803公顷、竹林地面积11872.9035公顷、特殊灌木林地面积10806.7397公顷），占林地面积的86.72%，疏林地面积14.4802公顷，占林地面积的0.02%；其他灌木林地面积393.5422公顷，占林地面积的0.60%；未成林造林地面积6261.8523公顷，占林地面积的9.58%；苗圃地面积62.9698公顷，占林地面积的0.33%；无立木林地面积1275.3724公顷，占林地面积的1.95%；其他地类面积513.299公顷，占林地面积的0.79%。森林覆盖率38.92%。分镇街详见表2-1。</w:t>
      </w:r>
      <w:r>
        <w:rPr>
          <w:rFonts w:ascii="Times New Roman" w:hAnsi="Times New Roman" w:cs="Times New Roman"/>
          <w:sz w:val="28"/>
          <w:szCs w:val="28"/>
        </w:rPr>
        <w:br w:type="page"/>
      </w:r>
    </w:p>
    <w:p>
      <w:pPr>
        <w:pStyle w:val="2"/>
        <w:jc w:val="center"/>
        <w:rPr>
          <w:rFonts w:ascii="Times New Roman" w:hAnsi="Times New Roman" w:cs="Times New Roman"/>
          <w:b/>
        </w:rPr>
      </w:pPr>
      <w:r>
        <w:rPr>
          <w:rFonts w:hint="eastAsia" w:ascii="Times New Roman" w:hAnsi="Times New Roman" w:cs="Times New Roman" w:eastAsiaTheme="majorEastAsia"/>
          <w:b/>
          <w:sz w:val="21"/>
          <w:szCs w:val="21"/>
        </w:rPr>
        <w:t xml:space="preserve">表2-1 渝北区林地分乡镇、地类面积统计表  </w:t>
      </w:r>
      <w:r>
        <w:rPr>
          <w:rFonts w:hint="eastAsia" w:ascii="Times New Roman" w:hAnsi="Times New Roman" w:cs="Times New Roman"/>
          <w:b/>
        </w:rPr>
        <w:t xml:space="preserve"> </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单位：公顷</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062"/>
        <w:gridCol w:w="1013"/>
        <w:gridCol w:w="1013"/>
        <w:gridCol w:w="1013"/>
        <w:gridCol w:w="1013"/>
        <w:gridCol w:w="1013"/>
        <w:gridCol w:w="1013"/>
        <w:gridCol w:w="806"/>
        <w:gridCol w:w="909"/>
        <w:gridCol w:w="702"/>
        <w:gridCol w:w="909"/>
        <w:gridCol w:w="909"/>
        <w:gridCol w:w="806"/>
        <w:gridCol w:w="884"/>
        <w:gridCol w:w="92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tblHeader/>
          <w:jc w:val="center"/>
        </w:trPr>
        <w:tc>
          <w:tcPr>
            <w:tcW w:w="380" w:type="pct"/>
            <w:vMerge w:val="restart"/>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统计单位</w:t>
            </w:r>
          </w:p>
        </w:tc>
        <w:tc>
          <w:tcPr>
            <w:tcW w:w="362" w:type="pct"/>
            <w:vMerge w:val="restart"/>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林地合计</w:t>
            </w:r>
          </w:p>
        </w:tc>
        <w:tc>
          <w:tcPr>
            <w:tcW w:w="1085" w:type="pct"/>
            <w:gridSpan w:val="3"/>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有林地</w:t>
            </w:r>
          </w:p>
        </w:tc>
        <w:tc>
          <w:tcPr>
            <w:tcW w:w="1011" w:type="pct"/>
            <w:gridSpan w:val="3"/>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灌木林地</w:t>
            </w:r>
          </w:p>
        </w:tc>
        <w:tc>
          <w:tcPr>
            <w:tcW w:w="1829" w:type="pct"/>
            <w:gridSpan w:val="6"/>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其他林地</w:t>
            </w:r>
          </w:p>
        </w:tc>
        <w:tc>
          <w:tcPr>
            <w:tcW w:w="333" w:type="pct"/>
            <w:vMerge w:val="restart"/>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森林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tblHeader/>
          <w:jc w:val="center"/>
        </w:trPr>
        <w:tc>
          <w:tcPr>
            <w:tcW w:w="380" w:type="pct"/>
            <w:vMerge w:val="continue"/>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p>
        </w:tc>
        <w:tc>
          <w:tcPr>
            <w:tcW w:w="362" w:type="pct"/>
            <w:vMerge w:val="continue"/>
            <w:shd w:val="clear" w:color="800000" w:fill="FFFFFF"/>
            <w:tcMar>
              <w:top w:w="15" w:type="dxa"/>
              <w:left w:w="15" w:type="dxa"/>
              <w:right w:w="15" w:type="dxa"/>
            </w:tcMar>
            <w:vAlign w:val="center"/>
          </w:tcPr>
          <w:p>
            <w:pPr>
              <w:widowControl/>
              <w:jc w:val="center"/>
              <w:rPr>
                <w:rFonts w:ascii="Times New Roman" w:hAnsi="Times New Roman" w:eastAsia="等线" w:cs="Times New Roman"/>
                <w:b/>
                <w:color w:val="000000"/>
                <w:kern w:val="0"/>
                <w:szCs w:val="21"/>
              </w:rPr>
            </w:pPr>
          </w:p>
        </w:tc>
        <w:tc>
          <w:tcPr>
            <w:tcW w:w="362"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小计</w:t>
            </w:r>
          </w:p>
        </w:tc>
        <w:tc>
          <w:tcPr>
            <w:tcW w:w="362"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乔木林</w:t>
            </w:r>
          </w:p>
        </w:tc>
        <w:tc>
          <w:tcPr>
            <w:tcW w:w="362"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竹林</w:t>
            </w:r>
          </w:p>
        </w:tc>
        <w:tc>
          <w:tcPr>
            <w:tcW w:w="362"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小计</w:t>
            </w:r>
          </w:p>
        </w:tc>
        <w:tc>
          <w:tcPr>
            <w:tcW w:w="362"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国家特别规定灌木林</w:t>
            </w:r>
          </w:p>
        </w:tc>
        <w:tc>
          <w:tcPr>
            <w:tcW w:w="288"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其他灌木林</w:t>
            </w:r>
          </w:p>
        </w:tc>
        <w:tc>
          <w:tcPr>
            <w:tcW w:w="325"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小计</w:t>
            </w:r>
          </w:p>
        </w:tc>
        <w:tc>
          <w:tcPr>
            <w:tcW w:w="251"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疏林地</w:t>
            </w:r>
          </w:p>
        </w:tc>
        <w:tc>
          <w:tcPr>
            <w:tcW w:w="325"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未成林地</w:t>
            </w:r>
          </w:p>
        </w:tc>
        <w:tc>
          <w:tcPr>
            <w:tcW w:w="325"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无立木林地</w:t>
            </w:r>
          </w:p>
        </w:tc>
        <w:tc>
          <w:tcPr>
            <w:tcW w:w="288"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苗圃地</w:t>
            </w:r>
          </w:p>
        </w:tc>
        <w:tc>
          <w:tcPr>
            <w:tcW w:w="316" w:type="pct"/>
            <w:shd w:val="clear" w:color="800000" w:fill="FFFFFF"/>
            <w:tcMar>
              <w:top w:w="15" w:type="dxa"/>
              <w:left w:w="15" w:type="dxa"/>
              <w:right w:w="15" w:type="dxa"/>
            </w:tcMar>
            <w:vAlign w:val="center"/>
          </w:tcPr>
          <w:p>
            <w:pPr>
              <w:widowControl/>
              <w:jc w:val="center"/>
              <w:textAlignment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其他地类</w:t>
            </w:r>
          </w:p>
        </w:tc>
        <w:tc>
          <w:tcPr>
            <w:tcW w:w="333" w:type="pct"/>
            <w:vMerge w:val="continue"/>
            <w:shd w:val="clear" w:color="800000" w:fill="FFFFFF"/>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渝北区</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65341.1025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45859.8838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33986.9803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11872.9035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11200.2819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10806.7397</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393.5422</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8280.9368</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14.4802</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6261.8523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1275.3724</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215.9329</w:t>
            </w: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513.299</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56666.6235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1336.4566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1149.7751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1055.0575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94.7176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82.1047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81.7116</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0.3931</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104.5768</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0.7896</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0.9894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56.1566</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38.3462</w:t>
            </w: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8.295</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1231.4867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4034.9089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3977.0257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3145.9701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831.0556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10.451</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10.451</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47.4322</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0.109</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30.8971</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16.4261</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3977.0257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1399.1859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1306.4972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1044.8791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261.6181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29.8588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2.5397</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27.3191</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62.8299</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59.6308</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1.4623</w:t>
            </w: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1.7368</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1309.0369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5014.8737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3093.2807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2117.2178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976.0629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1519.9203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1507.7986</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12.1217</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401.6727</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0.5935</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337.4861</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63.5931</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4601.0793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龙兴镇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4270.9971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2738.8508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2021.1354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717.7154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1033.5465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996.4202</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37.1263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498.5998</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3.85</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203.0013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116.9928</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174.7557</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3735.271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悦来街道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114.5559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111.5157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111.5157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3.0402</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3.0402</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111.5157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4986.7097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4187.9891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3910.5447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277.4444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479.5215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422.2961</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57.2254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319.1991</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228.3299</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71.9415</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18.9277</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4610.2852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5004.6827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3260.0982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1761.6959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1498.4023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1261.3539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1232.8041</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28.5498</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483.2306</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5.5678</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432.3628</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26.417</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18.883</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4492.9023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5250.0287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3435.1952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2871.2941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563.9011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1186.9659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1157.3177</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29.6482</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627.8676</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2.2323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400.4959</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21.3322</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203.8072</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4592.5129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4565.1052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3304.3299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2103.7309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1200.599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151.3636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146.1912</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5.1724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1109.4117</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1010.6336</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70.761</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12.4096</w:t>
            </w: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15.6075</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3450.5211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两路街道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365.6652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194.4653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160.6967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33.7686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7.2668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7.2668</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163.9331</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140.4797</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8.9673</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14.4861</w:t>
            </w: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201.7321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双凤桥街道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456.0243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303.8228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279.6824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24.1404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21.686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1.1749</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20.5111</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130.5155</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111.8419</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2.219</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16.4546</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304.9977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7577.7101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4631.9899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3052.5404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1579.4495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2166.6895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2140.2542</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26.4353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779.0307</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535.8799</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241.9952</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1.1556</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6772.2441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5645.4734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3391.479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2195.4421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1196.0369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1584.1672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1475.5854</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108.5818</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669.8272</w:t>
            </w:r>
          </w:p>
        </w:tc>
        <w:tc>
          <w:tcPr>
            <w:tcW w:w="251"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1.447</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556.0982</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112.282</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4867.0644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4156.2717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3074.4811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2276.9798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797.5013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256.1492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253.219</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2.9302</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825.6414</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676.994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114.2695</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34.3779</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3327.7001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王家街道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1300.9589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504.1048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386.4943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117.6105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230.0587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228.7544</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1.3043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566.7954</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408.4164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9.1503</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149.2287</w:t>
            </w: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732.8592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大湾镇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5773.3034</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3738.3698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2483.3845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1254.9853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753.7613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732.4365</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21.3248</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1281.1723</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1072.9985</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208.1738</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4470.8063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双龙湖街道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190.6289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127.9762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83.4337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44.5425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31.9071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31.9071</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30.7456</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21.5384</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7.6232</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1.584</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159.8833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龙溪街道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67.9462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67.9462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67.9462</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67.9462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龙塔街道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48.2982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48.2982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48.2982</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48.2982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龙山街道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100.3897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100.3897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100.3897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100.3897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回兴街道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71.2977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60.4595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54.3685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6.091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3.2519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3.2519</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7.5863</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7.5863</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63.7114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2206.5138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1662.6026</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1396.7739</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265.8287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390.258</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385.8103</w:t>
            </w:r>
          </w:p>
        </w:tc>
        <w:tc>
          <w:tcPr>
            <w:tcW w:w="288"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4.4477</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153.6532</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124.1973</w:t>
            </w: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28.168</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1.2879</w:t>
            </w: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2048.4129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翠云街道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94.8841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93.8531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93.8531</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1.031</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1.031</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93.8531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大竹林街道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301.0055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297.5822</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297.5822</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3.4233</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3.4233</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297.5822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人和街道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158.8735</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157.987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157.987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0.8865</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0.8865</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157.987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天宫殿街道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186.5337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186.5337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186.5337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186.5337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鸳鸯街道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159.8021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159.8021</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159.8021</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159.8021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380"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礼嘉街道</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502.0177</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493.183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473.2663</w:t>
            </w:r>
          </w:p>
        </w:tc>
        <w:tc>
          <w:tcPr>
            <w:tcW w:w="362"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19.9167</w:t>
            </w: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62"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8.8347</w:t>
            </w:r>
          </w:p>
        </w:tc>
        <w:tc>
          <w:tcPr>
            <w:tcW w:w="251"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25"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8.8347</w:t>
            </w:r>
          </w:p>
        </w:tc>
        <w:tc>
          <w:tcPr>
            <w:tcW w:w="288"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16" w:type="pct"/>
            <w:shd w:val="clear" w:color="800000" w:fill="FFFFFF"/>
            <w:noWrap/>
            <w:tcMar>
              <w:top w:w="15" w:type="dxa"/>
              <w:left w:w="15" w:type="dxa"/>
              <w:right w:w="15" w:type="dxa"/>
            </w:tcMar>
            <w:vAlign w:val="center"/>
          </w:tcPr>
          <w:p>
            <w:pPr>
              <w:jc w:val="center"/>
              <w:rPr>
                <w:rFonts w:ascii="Times New Roman" w:hAnsi="Times New Roman" w:eastAsia="等线" w:cs="Times New Roman"/>
                <w:color w:val="000000"/>
                <w:kern w:val="0"/>
                <w:szCs w:val="21"/>
              </w:rPr>
            </w:pPr>
          </w:p>
        </w:tc>
        <w:tc>
          <w:tcPr>
            <w:tcW w:w="333" w:type="pct"/>
            <w:shd w:val="clear" w:color="800000" w:fill="FFFFFF"/>
            <w:noWrap/>
            <w:tcMar>
              <w:top w:w="15" w:type="dxa"/>
              <w:left w:w="15" w:type="dxa"/>
              <w:right w:w="15" w:type="dxa"/>
            </w:tcMar>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493.183</w:t>
            </w:r>
          </w:p>
        </w:tc>
      </w:tr>
    </w:tbl>
    <w:p>
      <w:pPr>
        <w:pStyle w:val="5"/>
        <w:spacing w:line="500" w:lineRule="exact"/>
        <w:ind w:firstLine="562" w:firstLineChars="200"/>
        <w:rPr>
          <w:rFonts w:ascii="Times New Roman" w:hAnsi="Times New Roman" w:cs="Times New Roman"/>
          <w:sz w:val="28"/>
          <w:szCs w:val="28"/>
        </w:rPr>
        <w:sectPr>
          <w:pgSz w:w="16838" w:h="11906" w:orient="landscape"/>
          <w:pgMar w:top="1800" w:right="1440" w:bottom="1800" w:left="1440" w:header="851" w:footer="992" w:gutter="0"/>
          <w:cols w:space="425" w:num="1"/>
          <w:docGrid w:type="lines" w:linePitch="312" w:charSpace="0"/>
        </w:sectPr>
      </w:pPr>
    </w:p>
    <w:p>
      <w:pPr>
        <w:pStyle w:val="5"/>
        <w:spacing w:line="500" w:lineRule="exact"/>
        <w:ind w:firstLine="562" w:firstLineChars="200"/>
        <w:rPr>
          <w:rFonts w:ascii="Times New Roman" w:hAnsi="Times New Roman" w:cs="Times New Roman"/>
          <w:sz w:val="28"/>
          <w:szCs w:val="28"/>
        </w:rPr>
      </w:pPr>
      <w:bookmarkStart w:id="56" w:name="_Toc122971928"/>
      <w:bookmarkStart w:id="57" w:name="_Toc124614709"/>
      <w:bookmarkStart w:id="58" w:name="_Toc123041829"/>
      <w:bookmarkStart w:id="59" w:name="_Toc126075370"/>
      <w:bookmarkStart w:id="60" w:name="_Toc122955594"/>
      <w:r>
        <w:rPr>
          <w:rFonts w:hint="eastAsia" w:ascii="Times New Roman" w:hAnsi="Times New Roman" w:cs="Times New Roman"/>
          <w:sz w:val="28"/>
          <w:szCs w:val="28"/>
        </w:rPr>
        <w:t>2</w:t>
      </w:r>
      <w:r>
        <w:rPr>
          <w:rFonts w:ascii="Times New Roman" w:hAnsi="Times New Roman" w:cs="Times New Roman"/>
          <w:sz w:val="28"/>
          <w:szCs w:val="28"/>
        </w:rPr>
        <w:t>.</w:t>
      </w:r>
      <w:r>
        <w:rPr>
          <w:rFonts w:hint="eastAsia" w:ascii="Times New Roman" w:hAnsi="Times New Roman" w:cs="Times New Roman"/>
          <w:sz w:val="28"/>
          <w:szCs w:val="28"/>
        </w:rPr>
        <w:t>3</w:t>
      </w:r>
      <w:r>
        <w:rPr>
          <w:rFonts w:ascii="Times New Roman" w:hAnsi="Times New Roman" w:cs="Times New Roman"/>
          <w:sz w:val="28"/>
          <w:szCs w:val="28"/>
        </w:rPr>
        <w:t>.</w:t>
      </w:r>
      <w:r>
        <w:rPr>
          <w:rFonts w:hint="eastAsia" w:ascii="Times New Roman" w:hAnsi="Times New Roman" w:cs="Times New Roman"/>
          <w:sz w:val="28"/>
          <w:szCs w:val="28"/>
        </w:rPr>
        <w:t>2 森林</w:t>
      </w:r>
      <w:r>
        <w:rPr>
          <w:rFonts w:ascii="Times New Roman" w:hAnsi="Times New Roman" w:cs="Times New Roman"/>
          <w:sz w:val="28"/>
          <w:szCs w:val="28"/>
        </w:rPr>
        <w:t>资源分布特点</w:t>
      </w:r>
      <w:bookmarkEnd w:id="56"/>
      <w:bookmarkEnd w:id="57"/>
      <w:bookmarkEnd w:id="58"/>
      <w:bookmarkEnd w:id="59"/>
      <w:bookmarkEnd w:id="60"/>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区森林主要集中分布想在华蓥山脉、铜锣山脉、明月山脉，呈绿色带状分布。其中乔木林地、特殊灌木林地与竹林地面积之比为6.0:1.9:2.1。乔木林中多常绿阔叶林和常绿针叶林，林分优势树种以马尾松和杉木为主，幼龄林、中龄林、近熟林、成熟林面积之比为38:17：28:17。</w:t>
      </w:r>
    </w:p>
    <w:p>
      <w:pPr>
        <w:pStyle w:val="4"/>
        <w:spacing w:line="500" w:lineRule="exact"/>
      </w:pPr>
      <w:bookmarkStart w:id="61" w:name="_Toc126075371"/>
      <w:r>
        <w:rPr>
          <w:rFonts w:hint="eastAsia" w:ascii="Times New Roman" w:hAnsi="Times New Roman" w:cs="Times New Roman"/>
          <w:sz w:val="30"/>
          <w:szCs w:val="30"/>
        </w:rPr>
        <w:t>2.4 森林防火概况</w:t>
      </w:r>
      <w:bookmarkEnd w:id="61"/>
    </w:p>
    <w:p>
      <w:pPr>
        <w:pStyle w:val="5"/>
        <w:spacing w:line="500" w:lineRule="exact"/>
        <w:ind w:firstLine="562" w:firstLineChars="200"/>
        <w:rPr>
          <w:rFonts w:ascii="Times New Roman" w:hAnsi="Times New Roman" w:cs="Times New Roman"/>
          <w:sz w:val="28"/>
          <w:szCs w:val="28"/>
        </w:rPr>
      </w:pPr>
      <w:bookmarkStart w:id="62" w:name="_Toc126075372"/>
      <w:bookmarkStart w:id="63" w:name="_Toc124614711"/>
      <w:r>
        <w:rPr>
          <w:rFonts w:hint="eastAsia" w:ascii="Times New Roman" w:hAnsi="Times New Roman" w:cs="Times New Roman"/>
          <w:sz w:val="28"/>
          <w:szCs w:val="28"/>
        </w:rPr>
        <w:t>2.4.1 近几年森林火灾发生情况</w:t>
      </w:r>
      <w:bookmarkEnd w:id="62"/>
      <w:bookmarkEnd w:id="6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近5年来，渝北区不断加强林区火险天气监测，发布森林火险等级预报，同时在重点火险区域布设卡点，严格执行扫码入山制度，严格野外火源管控，禁止一切野外用火，加大森林防火宣传教育和防火巡查力度，未发生较大森林火灾。</w:t>
      </w:r>
    </w:p>
    <w:p>
      <w:pPr>
        <w:pStyle w:val="5"/>
        <w:spacing w:line="500" w:lineRule="exact"/>
        <w:ind w:firstLine="562" w:firstLineChars="200"/>
        <w:rPr>
          <w:rFonts w:ascii="Times New Roman" w:hAnsi="Times New Roman" w:cs="Times New Roman"/>
          <w:sz w:val="28"/>
          <w:szCs w:val="28"/>
        </w:rPr>
      </w:pPr>
      <w:bookmarkStart w:id="64" w:name="_Toc124614712"/>
      <w:bookmarkStart w:id="65" w:name="_Toc126075373"/>
      <w:r>
        <w:rPr>
          <w:rFonts w:hint="eastAsia" w:ascii="Times New Roman" w:hAnsi="Times New Roman" w:cs="Times New Roman"/>
          <w:sz w:val="28"/>
          <w:szCs w:val="28"/>
        </w:rPr>
        <w:t>2.4.2 森林消防队伍建设情况</w:t>
      </w:r>
      <w:bookmarkEnd w:id="64"/>
      <w:bookmarkEnd w:id="65"/>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目前</w:t>
      </w:r>
      <w:r>
        <w:rPr>
          <w:rFonts w:hint="eastAsia" w:ascii="Times New Roman" w:hAnsi="Times New Roman" w:cs="Times New Roman"/>
          <w:sz w:val="28"/>
          <w:szCs w:val="28"/>
        </w:rPr>
        <w:t>，</w:t>
      </w:r>
      <w:r>
        <w:rPr>
          <w:rFonts w:ascii="Times New Roman" w:hAnsi="Times New Roman" w:cs="Times New Roman"/>
          <w:sz w:val="28"/>
          <w:szCs w:val="28"/>
        </w:rPr>
        <w:t>全区现有</w:t>
      </w:r>
      <w:r>
        <w:rPr>
          <w:rFonts w:hint="eastAsia" w:ascii="Times New Roman" w:hAnsi="Times New Roman" w:cs="Times New Roman"/>
          <w:sz w:val="28"/>
          <w:szCs w:val="28"/>
        </w:rPr>
        <w:t>森林草原消防专业队伍、森林草原消防半专业队伍、</w:t>
      </w:r>
      <w:r>
        <w:rPr>
          <w:rFonts w:ascii="Times New Roman" w:hAnsi="Times New Roman" w:cs="Times New Roman"/>
          <w:sz w:val="28"/>
          <w:szCs w:val="28"/>
        </w:rPr>
        <w:t>消防队伍</w:t>
      </w:r>
      <w:r>
        <w:rPr>
          <w:rFonts w:hint="eastAsia" w:ascii="Times New Roman" w:hAnsi="Times New Roman" w:cs="Times New Roman"/>
          <w:sz w:val="28"/>
          <w:szCs w:val="28"/>
        </w:rPr>
        <w:t>应急森林草原消防队21支，总人数597人，同时配备防火专用大型车辆11辆，防火专用小型车辆（辆）13辆，短波超短波微波通信设备253部，便携手持灭火机具944套，低值易耗灭火工具4424套，防护服数量456套。</w:t>
      </w:r>
    </w:p>
    <w:p>
      <w:pPr>
        <w:pStyle w:val="2"/>
        <w:jc w:val="center"/>
        <w:rPr>
          <w:rFonts w:ascii="Times New Roman" w:hAnsi="Times New Roman" w:cs="Times New Roman"/>
          <w:b/>
        </w:rPr>
      </w:pPr>
      <w:r>
        <w:rPr>
          <w:rFonts w:ascii="Times New Roman" w:hAnsi="Times New Roman" w:cs="Times New Roman"/>
          <w:b/>
        </w:rPr>
        <w:br w:type="page"/>
      </w:r>
    </w:p>
    <w:p>
      <w:pPr>
        <w:pStyle w:val="2"/>
        <w:jc w:val="center"/>
        <w:rPr>
          <w:rFonts w:ascii="Times New Roman" w:hAnsi="Times New Roman" w:cs="Times New Roman"/>
          <w:b/>
        </w:rPr>
      </w:pPr>
      <w:r>
        <w:rPr>
          <w:rFonts w:hint="eastAsia" w:ascii="Times New Roman" w:hAnsi="Times New Roman" w:cs="Times New Roman" w:eastAsiaTheme="majorEastAsia"/>
          <w:b/>
          <w:sz w:val="21"/>
          <w:szCs w:val="21"/>
        </w:rPr>
        <w:t xml:space="preserve">表2-2 渝北区森林消防队伍建设现状统计一览表  </w:t>
      </w:r>
      <w:r>
        <w:rPr>
          <w:rFonts w:hint="eastAsia" w:ascii="Times New Roman" w:hAnsi="Times New Roman" w:cs="Times New Roman"/>
          <w:b/>
        </w:rPr>
        <w:t xml:space="preserve"> </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单位：公顷</w:t>
      </w:r>
    </w:p>
    <w:tbl>
      <w:tblPr>
        <w:tblStyle w:val="14"/>
        <w:tblW w:w="530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1703"/>
        <w:gridCol w:w="1320"/>
        <w:gridCol w:w="1963"/>
        <w:gridCol w:w="1253"/>
        <w:gridCol w:w="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1079"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队伍名称</w:t>
            </w:r>
          </w:p>
        </w:tc>
        <w:tc>
          <w:tcPr>
            <w:tcW w:w="942"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队伍类型</w:t>
            </w:r>
          </w:p>
        </w:tc>
        <w:tc>
          <w:tcPr>
            <w:tcW w:w="730"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队伍组建或成立时间(年-月-日)</w:t>
            </w:r>
          </w:p>
        </w:tc>
        <w:tc>
          <w:tcPr>
            <w:tcW w:w="1086"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位置</w:t>
            </w:r>
          </w:p>
        </w:tc>
        <w:tc>
          <w:tcPr>
            <w:tcW w:w="693"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坐标</w:t>
            </w:r>
          </w:p>
        </w:tc>
        <w:tc>
          <w:tcPr>
            <w:tcW w:w="470"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队伍总人数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重庆市渝北区国有林场森林消防专业队（玉峰山林场森林消防分队）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2020-08-05</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重庆市渝北区玉峰山镇玉峰山林场旱土管护站站点</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106.710111,29.645797</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回兴街道森林防火应急队伍</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2013-03-01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重庆市渝北区回兴街道服装城大道93号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106.614212,29.671135</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大盛镇应急救援队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2020-07-01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重庆市渝北区大盛镇长胜路72号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106.901433,29.887391</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茨竹镇应急救援队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2014-03-01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重庆市渝北区茨竹镇竹松路66号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106.738827,29.985534</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统景镇应急救援队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2014-10-01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统景镇景兴路68号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106.840439,29.859449</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古路镇消防队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2013-05-01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重庆市渝北区古路镇草坪街118号附1-4号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106.766199, 29.850005</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木耳镇应急救援队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2018-12-28</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重庆市渝北区木耳镇学堂村老村委会</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106.634137,29.793426</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石船镇应急救援队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2020-01-01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重庆市渝北区石船镇</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106.821816,29.762739</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兴隆镇综合应急救援队伍</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2020-01-17</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兴隆镇渝兴路</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106.704079,29.889660</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玉峰山镇专职消防队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2019-08-10</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玉峰山镇石坪东路110号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106.661814,29.658233</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龙兴镇综合应急队伍</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2020-01-01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重庆市渝北区龙兴镇天龙路236号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106.791448,29.698876</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洛碛镇应急救援队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2015-06-05</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重庆市渝北区洛碛镇新渝路329号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106.929027,29.737278</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两路街道应急救援队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2014-03-01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重庆市渝北区两路街道沙坪社区</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106.679460,29.731362</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双龙湖街道应急救援队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2018-04-30</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重庆市渝北区龙祥街12号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106.622359,29.715107</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重庆市渝北区国有林场森林消防专业队（玉峰山林场森林消防分队）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2013-05-01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重庆市渝北区茨竹镇华蓥村大庵管护站</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106.676425 ,30.111746</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重庆市渝北区国有林场森林消防专业队（玉峰山林场森林消防分队）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2019-09-15</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重庆市渝北区古路镇兴盛村东泉管护站莫家山林点</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106.792414,29.850980</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双凤桥街道应急救援队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2011-01-01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重庆市渝北区港汇路1号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106.628502,29.737123</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宝圣湖应急救援队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2018-06-01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重庆市渝北区宝圣大道1号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106.586594,29.652367</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大湾镇综合应急救援队伍</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森林草原消防半专业队伍</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2020-01-17</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重庆市渝北区大湾镇重阳路11号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106.823969,30.016253</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仙桃街道应急救援队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2015-11-10</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重庆市渝北区兰桂大道</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106.602098,29.714476</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悦来应急救援队</w:t>
            </w:r>
          </w:p>
        </w:tc>
        <w:tc>
          <w:tcPr>
            <w:tcW w:w="942"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应急森林草原消防队</w:t>
            </w:r>
          </w:p>
        </w:tc>
        <w:tc>
          <w:tcPr>
            <w:tcW w:w="73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2018-06-01</w:t>
            </w:r>
          </w:p>
        </w:tc>
        <w:tc>
          <w:tcPr>
            <w:tcW w:w="1086"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重庆市渝北区欣悦路258号</w:t>
            </w:r>
          </w:p>
        </w:tc>
        <w:tc>
          <w:tcPr>
            <w:tcW w:w="693"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106.634137,29.793426</w:t>
            </w:r>
          </w:p>
        </w:tc>
        <w:tc>
          <w:tcPr>
            <w:tcW w:w="47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w:t>
            </w:r>
          </w:p>
        </w:tc>
      </w:tr>
    </w:tbl>
    <w:p>
      <w:r>
        <w:rPr>
          <w:rFonts w:hint="eastAsia"/>
        </w:rPr>
        <w:br w:type="textWrapping"/>
      </w:r>
    </w:p>
    <w:p>
      <w:pPr>
        <w:pStyle w:val="3"/>
        <w:spacing w:line="500" w:lineRule="exact"/>
        <w:jc w:val="center"/>
        <w:rPr>
          <w:sz w:val="32"/>
          <w:szCs w:val="32"/>
        </w:rPr>
      </w:pPr>
      <w:r>
        <w:rPr>
          <w:sz w:val="32"/>
          <w:szCs w:val="32"/>
        </w:rPr>
        <w:br w:type="page"/>
      </w:r>
    </w:p>
    <w:p>
      <w:pPr>
        <w:pStyle w:val="3"/>
        <w:spacing w:line="500" w:lineRule="exact"/>
        <w:jc w:val="center"/>
        <w:rPr>
          <w:sz w:val="32"/>
          <w:szCs w:val="32"/>
        </w:rPr>
      </w:pPr>
      <w:bookmarkStart w:id="66" w:name="_Toc126075374"/>
      <w:r>
        <w:rPr>
          <w:rFonts w:hint="eastAsia"/>
          <w:sz w:val="32"/>
          <w:szCs w:val="32"/>
        </w:rPr>
        <w:t>3 森林消防水箱建设现状分析</w:t>
      </w:r>
      <w:bookmarkEnd w:id="66"/>
    </w:p>
    <w:p>
      <w:pPr>
        <w:pStyle w:val="4"/>
        <w:spacing w:line="500" w:lineRule="exact"/>
        <w:rPr>
          <w:rFonts w:ascii="Times New Roman" w:hAnsi="Times New Roman" w:cs="Times New Roman"/>
          <w:sz w:val="30"/>
          <w:szCs w:val="30"/>
        </w:rPr>
      </w:pPr>
      <w:bookmarkStart w:id="67" w:name="_Toc126075375"/>
      <w:r>
        <w:rPr>
          <w:rFonts w:hint="eastAsia" w:ascii="Times New Roman" w:hAnsi="Times New Roman" w:cs="Times New Roman"/>
          <w:sz w:val="30"/>
          <w:szCs w:val="30"/>
        </w:rPr>
        <w:t>3</w:t>
      </w:r>
      <w:r>
        <w:rPr>
          <w:rFonts w:ascii="Times New Roman" w:hAnsi="Times New Roman" w:cs="Times New Roman"/>
          <w:sz w:val="30"/>
          <w:szCs w:val="30"/>
        </w:rPr>
        <w:t>.</w:t>
      </w:r>
      <w:r>
        <w:rPr>
          <w:rFonts w:hint="eastAsia" w:ascii="Times New Roman" w:hAnsi="Times New Roman" w:cs="Times New Roman"/>
          <w:sz w:val="30"/>
          <w:szCs w:val="30"/>
        </w:rPr>
        <w:t>1 森林消防水箱建设现状</w:t>
      </w:r>
      <w:bookmarkEnd w:id="67"/>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重庆市渝北区已建森林消防水箱130个，分布在全区茨竹镇、大盛镇、大湾镇等15个镇街和林场，每个水箱蓄水量均为90立方米，总蓄水量11700立方米，其中明月山山脉23个，覆盖面积1788.07公顷；铜锣山山脉71个，覆盖面积5049.64公顷；中梁山山脉（龙洞山）36个，覆盖面积2612.67公顷。详见表3-1、表3-2。</w:t>
      </w:r>
    </w:p>
    <w:p>
      <w:pPr>
        <w:pStyle w:val="2"/>
        <w:jc w:val="center"/>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表3-1 渝北区已建森林消防水箱分乡镇汇总统计表</w:t>
      </w:r>
    </w:p>
    <w:p>
      <w:pPr>
        <w:pStyle w:val="2"/>
        <w:jc w:val="right"/>
        <w:rPr>
          <w:rFonts w:ascii="Times New Roman" w:hAnsi="Times New Roman" w:cs="Times New Roman"/>
          <w:b/>
          <w:sz w:val="21"/>
          <w:szCs w:val="21"/>
        </w:rPr>
      </w:pPr>
      <w:r>
        <w:rPr>
          <w:rFonts w:hint="eastAsia" w:ascii="Times New Roman" w:hAnsi="Times New Roman" w:cs="Times New Roman" w:eastAsiaTheme="majorEastAsia"/>
          <w:b/>
          <w:sz w:val="21"/>
          <w:szCs w:val="21"/>
        </w:rPr>
        <w:t>单位：个</w:t>
      </w:r>
    </w:p>
    <w:tbl>
      <w:tblPr>
        <w:tblStyle w:val="14"/>
        <w:tblW w:w="499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190"/>
        <w:gridCol w:w="4686"/>
        <w:gridCol w:w="16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区县</w:t>
            </w:r>
          </w:p>
        </w:tc>
        <w:tc>
          <w:tcPr>
            <w:tcW w:w="2750"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镇街/林场</w:t>
            </w:r>
          </w:p>
        </w:tc>
        <w:tc>
          <w:tcPr>
            <w:tcW w:w="965" w:type="pct"/>
            <w:shd w:val="clear" w:color="auto" w:fill="auto"/>
            <w:noWrap/>
            <w:vAlign w:val="center"/>
          </w:tcPr>
          <w:p>
            <w:pPr>
              <w:widowControl/>
              <w:jc w:val="center"/>
              <w:rPr>
                <w:rFonts w:ascii="Times New Roman" w:hAnsi="Times New Roman" w:eastAsia="等线" w:cs="Times New Roman"/>
                <w:b/>
                <w:color w:val="000000"/>
                <w:kern w:val="0"/>
                <w:szCs w:val="21"/>
              </w:rPr>
            </w:pPr>
            <w:r>
              <w:rPr>
                <w:rFonts w:hint="eastAsia" w:ascii="Times New Roman" w:hAnsi="Times New Roman" w:eastAsia="等线" w:cs="Times New Roman"/>
                <w:b/>
                <w:color w:val="000000"/>
                <w:kern w:val="0"/>
                <w:szCs w:val="21"/>
              </w:rPr>
              <w:t>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035" w:type="pct"/>
            <w:gridSpan w:val="2"/>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合计</w:t>
            </w:r>
          </w:p>
        </w:tc>
        <w:tc>
          <w:tcPr>
            <w:tcW w:w="965"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restar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渝北区</w:t>
            </w:r>
          </w:p>
        </w:tc>
        <w:tc>
          <w:tcPr>
            <w:tcW w:w="2750"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茨竹镇</w:t>
            </w:r>
          </w:p>
        </w:tc>
        <w:tc>
          <w:tcPr>
            <w:tcW w:w="965"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大盛镇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大湾镇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古路镇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华蓥山林场</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龙兴镇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洛碛镇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木耳镇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石船镇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统景林场</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统景镇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王家街道</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兴隆镇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玉峰山林场</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285" w:type="pct"/>
            <w:vMerge w:val="continue"/>
            <w:shd w:val="clear" w:color="auto" w:fill="auto"/>
            <w:noWrap/>
            <w:vAlign w:val="center"/>
          </w:tcPr>
          <w:p>
            <w:pPr>
              <w:widowControl/>
              <w:jc w:val="center"/>
              <w:rPr>
                <w:rFonts w:ascii="Times New Roman" w:hAnsi="Times New Roman" w:eastAsia="等线" w:cs="Times New Roman"/>
                <w:color w:val="000000"/>
                <w:kern w:val="0"/>
                <w:szCs w:val="21"/>
              </w:rPr>
            </w:pPr>
          </w:p>
        </w:tc>
        <w:tc>
          <w:tcPr>
            <w:tcW w:w="275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玉峰山镇</w:t>
            </w:r>
          </w:p>
        </w:tc>
        <w:tc>
          <w:tcPr>
            <w:tcW w:w="96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r>
    </w:tbl>
    <w:p>
      <w:pPr>
        <w:pStyle w:val="2"/>
        <w:jc w:val="center"/>
        <w:rPr>
          <w:rFonts w:ascii="Times New Roman" w:hAnsi="Times New Roman" w:cs="Times New Roman"/>
          <w:b/>
        </w:rPr>
      </w:pPr>
      <w:r>
        <w:rPr>
          <w:rFonts w:ascii="Times New Roman" w:hAnsi="Times New Roman" w:cs="Times New Roman"/>
          <w:b/>
        </w:rPr>
        <w:br w:type="page"/>
      </w:r>
    </w:p>
    <w:p>
      <w:pPr>
        <w:pStyle w:val="2"/>
        <w:jc w:val="center"/>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表3-2 渝北区已建森林防火消防水箱现状统计表</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单位：立方米</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58"/>
        <w:gridCol w:w="709"/>
        <w:gridCol w:w="1277"/>
        <w:gridCol w:w="1275"/>
        <w:gridCol w:w="1277"/>
        <w:gridCol w:w="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979"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镇/街道/林场</w:t>
            </w:r>
          </w:p>
        </w:tc>
        <w:tc>
          <w:tcPr>
            <w:tcW w:w="914"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村</w:t>
            </w:r>
          </w:p>
        </w:tc>
        <w:tc>
          <w:tcPr>
            <w:tcW w:w="416"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编号</w:t>
            </w:r>
          </w:p>
        </w:tc>
        <w:tc>
          <w:tcPr>
            <w:tcW w:w="749"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小地名</w:t>
            </w:r>
          </w:p>
        </w:tc>
        <w:tc>
          <w:tcPr>
            <w:tcW w:w="748"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横坐标</w:t>
            </w:r>
          </w:p>
        </w:tc>
        <w:tc>
          <w:tcPr>
            <w:tcW w:w="749"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纵坐标</w:t>
            </w:r>
          </w:p>
        </w:tc>
        <w:tc>
          <w:tcPr>
            <w:tcW w:w="445" w:type="pct"/>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放牛村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大观光亭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106.684460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29.966369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花六村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新官坊</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106.694327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30.046566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小屋基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106.682204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30.083463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陈家岩</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106.683065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30.111600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双水井</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106.686064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30.115579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得胜垭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106.655309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30.092642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秦家村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烂泥沟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106.683375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30.043333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茨竹镇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三江村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砖房子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106.681850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29.990980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东山村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三口塘</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106.960258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29.952888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菊花坝村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城门洞</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106.943243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29.918640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天险洞村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大竹林</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106.944810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29.887678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东山村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男聋子沟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106.953999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29.948798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排花洞村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洞岭岗</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106.957456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29.940330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排花洞村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梁子坪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106.977012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29.934814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顺龙村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五根树</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106.929087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29.890320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顺龙村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叫花子沟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106.924996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29.855812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千盏村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沙坪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106.911178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29.964118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千盏村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岳家沟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106.911832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29.959680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人和村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疤子寺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106.881738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29.919233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顺龙村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大河堰</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106.916255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29.876562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大湾镇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杉树村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张家河坝</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106.835603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29.969183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大湾镇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杉树村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水井湾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106.824292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29.944105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大湾镇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杉树村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土桥院</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106.825562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29.950567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大湾镇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太和村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新厂</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106.809142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29.906845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菜子村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田塝子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106.755533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29.799923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菜子村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柑子岩</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106.760929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29.806591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希望村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黄洋屋基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106.780795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29.830496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希望村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周曹屋基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106.776378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29.800276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希望村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胡西庙</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106.777388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29.805412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希望村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沙坝沟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106.772719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29.816711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九座炉</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106.786391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29.838832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银花村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大门垭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106.725437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29.749913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银花村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水洞子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106.732555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29.759396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古路镇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银花村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铁厂</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106.733529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29.763400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朝阳寺管护站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老朝阳</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106.677817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30.031201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朝阳寺管护站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石佛寺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106.675700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30.019335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朝阳寺管护站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红瓦房</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106.678305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30.024110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朝阳寺管护站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小屋基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106.701335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30.051757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朝阳寺管护站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七屋房子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106.714559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30.065158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独大田</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106.669106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29.885847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会上山</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106.612408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29.826272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海椒坪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106.608418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29.830534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社岩圈</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106.653030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29.865555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南天门管护站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梨园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106.674020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29.953488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华蓥山林场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南天门管护站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潘家山</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106.670898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29.942624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龙兴镇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壁山村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坟咀</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106.742796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29.721182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龙兴镇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高笋村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粽子沟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106.729473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29.692217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宝华村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王家沟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106.888951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29.710978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大天池村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大坡顶</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106.921018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29.815879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箭沱村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梁家湾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106.862327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29.667382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老君山村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大岚垭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106.930982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29.795082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沙湾村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下家沟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106.923025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29.772715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水溶洞村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微波站</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106.893340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29.765772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洛碛镇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新石村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菜籽油</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106.901165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29.738515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白云山村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川主庙</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106.599125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29.807447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冲天窝</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106.645220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29.845947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瓦厂</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106.639227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29.846118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水井湾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106.657343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29.855958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茶田湾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106.646593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29.857717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田坝子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106.661187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29.865851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严家岩</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106.653612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29.870493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木耳镇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良桥村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柏树湾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106.660312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29.871931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关兴村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标水岩</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106.762234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29.749685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民主村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雷竹基地</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106.906737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29.820076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胜天村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张华四</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106.866823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29.742019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石壁村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小门丫</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106.741872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29.750303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石坪村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余家堡顶</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106.795434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29.811531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东泉管护站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朱家沟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106.835934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29.867992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金安管护站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大山坪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106.849074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29.990905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金安管护站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麻柳湾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106.821840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29.932949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金安管护站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深水沟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106.826250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29.939069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金安管护站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太和</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106.815720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29.921274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隆仁管护站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打席沟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106.918336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29.852571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金安管护站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水口</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106.834408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30.021909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滚珠村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滴水塘</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106.851389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29.922745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滚珠村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茶山</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106.854407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29.926263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滚珠村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烧水厂</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106.854209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29.931164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滚珠村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小面坡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106.857448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29.923711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合理村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大坟山</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106.840337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29.875914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河坝村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椅子湾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106.839733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29.841629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窝荡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106.872825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29.972490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龙安村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乱石谷</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106.852867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29.913129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骆塘村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四块田</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106.776922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29.878347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前锋村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水井湾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106.815225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29.856304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前锋村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堰家曹</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106.808686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29.845389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前锋村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松树垭口</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106.802715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29.837746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荣光村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大路堡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106.895885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29.974682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荣光村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柏树湾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106.876383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29.953580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胜利村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沙嘴果园社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106.854035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29.847217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西新村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三砸沟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106.862867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29.952237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西新村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徐家沟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106.864788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29.946900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西新村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天保寨</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106.855214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29.940022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西新村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西新老学校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106.850430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29.941524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兴发村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寨子堡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106.782504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29.871663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兴发村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梨子坪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106.796662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29.881129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印盒村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马儿岩</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106.823600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29.924632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御临村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半边街</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106.817315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29.853075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御临村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大坝子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106.821792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29.850487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统景镇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御临村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涵洞</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106.830763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29.872055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王家街道</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苟溪桥村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沙井沟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106.724020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29.743680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王家街道</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苟溪桥村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兴发湾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106.724108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29.740872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杜家村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山王庙</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106.676571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29.917982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杜家村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天福厂</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106.681963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29.931082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干堰塘</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106.681978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29.903504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独大田</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106.671820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29.881439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黄葛村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檬子园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106.679306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29.889140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龙平村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梨子湾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106.701195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29.931885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龙平村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瓦厂湾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106.705856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29.939322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南天门村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花房子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106.688914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29.935587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兴隆镇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南天门村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文家咀</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106.684378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29.942790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马掌坪</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106.707649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29.667582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汪家塘</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106.713482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29.671593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白鹭嘴</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106.711140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29.651579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果园</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106.808774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29.810985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六角湾</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106.774746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29.764062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石船管护站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一碗水</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106.774217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29.812969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张关管护站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小火眼</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106.917818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29.825881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张关管护站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黄旦沟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106.884621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29.764584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张关管护站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119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挖空山</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106.851464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29.700432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玉峰山林场</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张关管护站</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叶家沟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106.910347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29.752948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121</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大堡坡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106.721202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29.709950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122</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夹槽沟</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106.728215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29.710203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123</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周家坡</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106.725195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29.727820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旱土村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124</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火烧坡梁梁</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106.709600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29.700982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龙门村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125</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仲天窝</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106.695988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29.679550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龙门村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126</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仰天窝</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106.695455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29.665998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香溪村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127</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新房子</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106.682447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29.629740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香溪村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128</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四龙碑</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106.685827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29.638822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129</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干冲</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106.701732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29.651980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玉峰山镇</w:t>
            </w:r>
          </w:p>
        </w:tc>
        <w:tc>
          <w:tcPr>
            <w:tcW w:w="914"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玉峰村</w:t>
            </w:r>
          </w:p>
        </w:tc>
        <w:tc>
          <w:tcPr>
            <w:tcW w:w="416"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小屋基</w:t>
            </w:r>
          </w:p>
        </w:tc>
        <w:tc>
          <w:tcPr>
            <w:tcW w:w="748"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106.710910 </w:t>
            </w:r>
          </w:p>
        </w:tc>
        <w:tc>
          <w:tcPr>
            <w:tcW w:w="749" w:type="pct"/>
            <w:shd w:val="clear" w:color="auto" w:fill="auto"/>
            <w:noWrap/>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29.659085 </w:t>
            </w:r>
          </w:p>
        </w:tc>
        <w:tc>
          <w:tcPr>
            <w:tcW w:w="445"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r>
    </w:tbl>
    <w:p>
      <w:pPr>
        <w:pStyle w:val="2"/>
      </w:pPr>
      <w:r>
        <w:drawing>
          <wp:anchor distT="0" distB="0" distL="114300" distR="114300" simplePos="0" relativeHeight="251664384" behindDoc="0" locked="0" layoutInCell="1" allowOverlap="1">
            <wp:simplePos x="0" y="0"/>
            <wp:positionH relativeFrom="column">
              <wp:posOffset>866775</wp:posOffset>
            </wp:positionH>
            <wp:positionV relativeFrom="paragraph">
              <wp:posOffset>81915</wp:posOffset>
            </wp:positionV>
            <wp:extent cx="3837940" cy="5438775"/>
            <wp:effectExtent l="0" t="0" r="0" b="9525"/>
            <wp:wrapSquare wrapText="bothSides"/>
            <wp:docPr id="8" name="图片 8" descr="C:\Users\Administrator\Documents\Tencent Files\120478026\FileRecv\已建水箱总体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Tencent Files\120478026\FileRecv\已建水箱总体布局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37940" cy="5438775"/>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图3-1 渝北区已建森林防火消防水箱总体布局图</w:t>
      </w:r>
    </w:p>
    <w:p>
      <w:pPr>
        <w:pStyle w:val="2"/>
      </w:pPr>
      <w:r>
        <w:rPr>
          <w:rFonts w:hint="eastAsia"/>
        </w:rPr>
        <w:drawing>
          <wp:anchor distT="0" distB="0" distL="114300" distR="114300" simplePos="0" relativeHeight="251663360" behindDoc="0" locked="0" layoutInCell="1" allowOverlap="1">
            <wp:simplePos x="0" y="0"/>
            <wp:positionH relativeFrom="column">
              <wp:posOffset>23495</wp:posOffset>
            </wp:positionH>
            <wp:positionV relativeFrom="paragraph">
              <wp:posOffset>3220720</wp:posOffset>
            </wp:positionV>
            <wp:extent cx="2879725" cy="2879725"/>
            <wp:effectExtent l="0" t="0" r="0" b="0"/>
            <wp:wrapTopAndBottom/>
            <wp:docPr id="5" name="图片 5" descr="PH-2022-11-02-10-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H-2022-11-02-10-57-32"/>
                    <pic:cNvPicPr>
                      <a:picLocks noChangeAspect="1"/>
                    </pic:cNvPicPr>
                  </pic:nvPicPr>
                  <pic:blipFill>
                    <a:blip r:embed="rId7"/>
                    <a:stretch>
                      <a:fillRect/>
                    </a:stretch>
                  </pic:blipFill>
                  <pic:spPr>
                    <a:xfrm rot="16200000">
                      <a:off x="0" y="0"/>
                      <a:ext cx="2879725" cy="2879725"/>
                    </a:xfrm>
                    <a:prstGeom prst="rect">
                      <a:avLst/>
                    </a:prstGeom>
                  </pic:spPr>
                </pic:pic>
              </a:graphicData>
            </a:graphic>
          </wp:anchor>
        </w:drawing>
      </w:r>
      <w:r>
        <w:rPr>
          <w:rFonts w:hint="eastAsia"/>
        </w:rPr>
        <w:drawing>
          <wp:anchor distT="0" distB="0" distL="114300" distR="114300" simplePos="0" relativeHeight="251662336" behindDoc="0" locked="0" layoutInCell="1" allowOverlap="1">
            <wp:simplePos x="0" y="0"/>
            <wp:positionH relativeFrom="column">
              <wp:posOffset>3070225</wp:posOffset>
            </wp:positionH>
            <wp:positionV relativeFrom="paragraph">
              <wp:posOffset>3200400</wp:posOffset>
            </wp:positionV>
            <wp:extent cx="2879725" cy="2879725"/>
            <wp:effectExtent l="0" t="0" r="0" b="0"/>
            <wp:wrapTopAndBottom/>
            <wp:docPr id="4" name="图片 4" descr="PH-2022-10-31-13-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H-2022-10-31-13-22-38"/>
                    <pic:cNvPicPr>
                      <a:picLocks noChangeAspect="1"/>
                    </pic:cNvPicPr>
                  </pic:nvPicPr>
                  <pic:blipFill>
                    <a:blip r:embed="rId8"/>
                    <a:stretch>
                      <a:fillRect/>
                    </a:stretch>
                  </pic:blipFill>
                  <pic:spPr>
                    <a:xfrm rot="16200000">
                      <a:off x="0" y="0"/>
                      <a:ext cx="2879725" cy="2879725"/>
                    </a:xfrm>
                    <a:prstGeom prst="rect">
                      <a:avLst/>
                    </a:prstGeom>
                  </pic:spPr>
                </pic:pic>
              </a:graphicData>
            </a:graphic>
          </wp:anchor>
        </w:drawing>
      </w:r>
      <w:r>
        <w:rPr>
          <w:rFonts w:hint="eastAsia"/>
        </w:rPr>
        <w:drawing>
          <wp:anchor distT="0" distB="0" distL="114300" distR="114300" simplePos="0" relativeHeight="251661312" behindDoc="0" locked="0" layoutInCell="1" allowOverlap="1">
            <wp:simplePos x="0" y="0"/>
            <wp:positionH relativeFrom="column">
              <wp:posOffset>14605</wp:posOffset>
            </wp:positionH>
            <wp:positionV relativeFrom="paragraph">
              <wp:posOffset>54610</wp:posOffset>
            </wp:positionV>
            <wp:extent cx="2879725" cy="2879725"/>
            <wp:effectExtent l="0" t="0" r="0" b="0"/>
            <wp:wrapTopAndBottom/>
            <wp:docPr id="3" name="图片 3" descr="PH-2022-10-31-09-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H-2022-10-31-09-47-18"/>
                    <pic:cNvPicPr>
                      <a:picLocks noChangeAspect="1"/>
                    </pic:cNvPicPr>
                  </pic:nvPicPr>
                  <pic:blipFill>
                    <a:blip r:embed="rId9"/>
                    <a:stretch>
                      <a:fillRect/>
                    </a:stretch>
                  </pic:blipFill>
                  <pic:spPr>
                    <a:xfrm rot="16200000">
                      <a:off x="0" y="0"/>
                      <a:ext cx="2879725" cy="2879725"/>
                    </a:xfrm>
                    <a:prstGeom prst="rect">
                      <a:avLst/>
                    </a:prstGeom>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3037840</wp:posOffset>
            </wp:positionH>
            <wp:positionV relativeFrom="paragraph">
              <wp:posOffset>71120</wp:posOffset>
            </wp:positionV>
            <wp:extent cx="2879725" cy="2879725"/>
            <wp:effectExtent l="0" t="0" r="0" b="0"/>
            <wp:wrapTopAndBottom/>
            <wp:docPr id="2" name="图片 2" descr="PH-2022-10-28-10-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H-2022-10-28-10-15-28"/>
                    <pic:cNvPicPr>
                      <a:picLocks noChangeAspect="1"/>
                    </pic:cNvPicPr>
                  </pic:nvPicPr>
                  <pic:blipFill>
                    <a:blip r:embed="rId10"/>
                    <a:stretch>
                      <a:fillRect/>
                    </a:stretch>
                  </pic:blipFill>
                  <pic:spPr>
                    <a:xfrm rot="16200000">
                      <a:off x="0" y="0"/>
                      <a:ext cx="2879725" cy="2879725"/>
                    </a:xfrm>
                    <a:prstGeom prst="rect">
                      <a:avLst/>
                    </a:prstGeom>
                  </pic:spPr>
                </pic:pic>
              </a:graphicData>
            </a:graphic>
          </wp:anchor>
        </w:drawing>
      </w:r>
    </w:p>
    <w:p>
      <w:pPr>
        <w:pStyle w:val="2"/>
      </w:pPr>
    </w:p>
    <w:p>
      <w:pPr>
        <w:pStyle w:val="2"/>
        <w:jc w:val="center"/>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图3-2 渝北区已建森林防火消防水箱现场照片</w:t>
      </w:r>
    </w:p>
    <w:p>
      <w:pPr>
        <w:pStyle w:val="4"/>
        <w:spacing w:line="500" w:lineRule="exact"/>
        <w:rPr>
          <w:rFonts w:ascii="Times New Roman" w:hAnsi="Times New Roman" w:cs="Times New Roman"/>
          <w:sz w:val="30"/>
          <w:szCs w:val="30"/>
        </w:rPr>
      </w:pPr>
      <w:bookmarkStart w:id="68" w:name="_Toc126075376"/>
      <w:r>
        <w:rPr>
          <w:rFonts w:hint="eastAsia" w:ascii="Times New Roman" w:hAnsi="Times New Roman" w:cs="Times New Roman"/>
          <w:sz w:val="30"/>
          <w:szCs w:val="30"/>
        </w:rPr>
        <w:t>3.2 森林消防水箱与消防水池比较分析</w:t>
      </w:r>
      <w:bookmarkEnd w:id="6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森林消防不锈钢消防水箱采用不锈钢板精工模压而成，与消防水池相比较，具有经济实用、安装和维修方便、占地面积小、防渗漏和防蒸发、主体经久不坏、重量轻、强度高、耐腐蚀、耐高温、抗震、等优点，可以满足森林火灾发生初期的用水量基本要求，，为扑救森林火灾赢得的黄金时间。</w:t>
      </w:r>
    </w:p>
    <w:p>
      <w:pPr>
        <w:pStyle w:val="4"/>
        <w:spacing w:line="500" w:lineRule="exact"/>
        <w:rPr>
          <w:rFonts w:ascii="Times New Roman" w:hAnsi="Times New Roman" w:cs="Times New Roman"/>
          <w:sz w:val="30"/>
          <w:szCs w:val="30"/>
        </w:rPr>
      </w:pPr>
      <w:bookmarkStart w:id="69" w:name="_Toc126075377"/>
      <w:r>
        <w:rPr>
          <w:rFonts w:hint="eastAsia" w:ascii="Times New Roman" w:hAnsi="Times New Roman" w:cs="Times New Roman"/>
          <w:sz w:val="30"/>
          <w:szCs w:val="30"/>
        </w:rPr>
        <w:t>3</w:t>
      </w:r>
      <w:r>
        <w:rPr>
          <w:rFonts w:ascii="Times New Roman" w:hAnsi="Times New Roman" w:cs="Times New Roman"/>
          <w:sz w:val="30"/>
          <w:szCs w:val="30"/>
        </w:rPr>
        <w:t>.</w:t>
      </w:r>
      <w:r>
        <w:rPr>
          <w:rFonts w:hint="eastAsia" w:ascii="Times New Roman" w:hAnsi="Times New Roman" w:cs="Times New Roman"/>
          <w:sz w:val="30"/>
          <w:szCs w:val="30"/>
        </w:rPr>
        <w:t>3现有森林灭火水源覆盖区域空间分析</w:t>
      </w:r>
      <w:bookmarkEnd w:id="6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渝北区林区较为集中区域主要为明月山脉、铜锣山脉、龙洞山山脉，林地面积为38851.85公顷。渝北区现有森林消防水源967处，其中覆盖半径300米山坪塘514口，覆盖半径400米323口，森林消防水箱130口，均为90立方米，覆盖面积25298.17公顷；拟建森林消防水箱219口，覆盖面积13489.25公顷。详见表3-3。</w:t>
      </w:r>
    </w:p>
    <w:p>
      <w:pPr>
        <w:pStyle w:val="2"/>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表3-3 渝北区森林防火水源点覆盖面积统计表</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单位：公顷、个</w:t>
      </w:r>
    </w:p>
    <w:tbl>
      <w:tblPr>
        <w:tblStyle w:val="14"/>
        <w:tblW w:w="5153" w:type="pct"/>
        <w:tblInd w:w="0" w:type="dxa"/>
        <w:tblLayout w:type="fixed"/>
        <w:tblCellMar>
          <w:top w:w="0" w:type="dxa"/>
          <w:left w:w="108" w:type="dxa"/>
          <w:bottom w:w="0" w:type="dxa"/>
          <w:right w:w="108" w:type="dxa"/>
        </w:tblCellMar>
      </w:tblPr>
      <w:tblGrid>
        <w:gridCol w:w="1807"/>
        <w:gridCol w:w="1518"/>
        <w:gridCol w:w="1516"/>
        <w:gridCol w:w="1516"/>
        <w:gridCol w:w="1254"/>
        <w:gridCol w:w="1172"/>
      </w:tblGrid>
      <w:tr>
        <w:tblPrEx>
          <w:tblCellMar>
            <w:top w:w="0" w:type="dxa"/>
            <w:left w:w="108" w:type="dxa"/>
            <w:bottom w:w="0" w:type="dxa"/>
            <w:right w:w="108" w:type="dxa"/>
          </w:tblCellMar>
        </w:tblPrEx>
        <w:trPr>
          <w:trHeight w:val="270" w:hRule="atLeast"/>
        </w:trPr>
        <w:tc>
          <w:tcPr>
            <w:tcW w:w="1029" w:type="pct"/>
            <w:tcBorders>
              <w:top w:val="single" w:color="000000" w:sz="12" w:space="0"/>
              <w:left w:val="single" w:color="000000" w:sz="12"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水源类型</w:t>
            </w:r>
          </w:p>
        </w:tc>
        <w:tc>
          <w:tcPr>
            <w:tcW w:w="864" w:type="pct"/>
            <w:tcBorders>
              <w:top w:val="single" w:color="000000" w:sz="12"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单个覆盖面积</w:t>
            </w:r>
          </w:p>
        </w:tc>
        <w:tc>
          <w:tcPr>
            <w:tcW w:w="863" w:type="pct"/>
            <w:tcBorders>
              <w:top w:val="single" w:color="000000" w:sz="12"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现有森林消防水源数量</w:t>
            </w:r>
          </w:p>
        </w:tc>
        <w:tc>
          <w:tcPr>
            <w:tcW w:w="863" w:type="pct"/>
            <w:tcBorders>
              <w:top w:val="single" w:color="000000" w:sz="12"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理论推算需建森林消防水箱数量</w:t>
            </w:r>
          </w:p>
        </w:tc>
        <w:tc>
          <w:tcPr>
            <w:tcW w:w="714" w:type="pct"/>
            <w:tcBorders>
              <w:top w:val="single" w:color="000000" w:sz="12"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覆盖面积</w:t>
            </w:r>
          </w:p>
        </w:tc>
        <w:tc>
          <w:tcPr>
            <w:tcW w:w="667" w:type="pct"/>
            <w:tcBorders>
              <w:top w:val="single" w:color="000000" w:sz="12" w:space="0"/>
              <w:left w:val="single" w:color="000000" w:sz="6" w:space="0"/>
              <w:bottom w:val="single" w:color="000000" w:sz="6" w:space="0"/>
              <w:right w:val="single" w:color="000000" w:sz="12"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备注</w:t>
            </w:r>
          </w:p>
        </w:tc>
      </w:tr>
      <w:tr>
        <w:tblPrEx>
          <w:tblCellMar>
            <w:top w:w="0" w:type="dxa"/>
            <w:left w:w="108" w:type="dxa"/>
            <w:bottom w:w="0" w:type="dxa"/>
            <w:right w:w="108" w:type="dxa"/>
          </w:tblCellMar>
        </w:tblPrEx>
        <w:trPr>
          <w:trHeight w:val="821" w:hRule="atLeast"/>
        </w:trPr>
        <w:tc>
          <w:tcPr>
            <w:tcW w:w="1029" w:type="pct"/>
            <w:tcBorders>
              <w:top w:val="single" w:color="000000" w:sz="6" w:space="0"/>
              <w:left w:val="single" w:color="000000" w:sz="12"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山坪塘（半径300米）</w:t>
            </w:r>
          </w:p>
        </w:tc>
        <w:tc>
          <w:tcPr>
            <w:tcW w:w="86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28.26</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514</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jc w:val="center"/>
              <w:rPr>
                <w:rFonts w:ascii="Times New Roman" w:hAnsi="Times New Roman" w:eastAsia="等线" w:cs="Times New Roman"/>
                <w:color w:val="000000"/>
                <w:kern w:val="0"/>
                <w:szCs w:val="21"/>
              </w:rPr>
            </w:pPr>
          </w:p>
        </w:tc>
        <w:tc>
          <w:tcPr>
            <w:tcW w:w="71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8715.38</w:t>
            </w:r>
          </w:p>
        </w:tc>
        <w:tc>
          <w:tcPr>
            <w:tcW w:w="667"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重复覆盖区域最高40%</w:t>
            </w:r>
          </w:p>
        </w:tc>
      </w:tr>
      <w:tr>
        <w:tblPrEx>
          <w:tblCellMar>
            <w:top w:w="0" w:type="dxa"/>
            <w:left w:w="108" w:type="dxa"/>
            <w:bottom w:w="0" w:type="dxa"/>
            <w:right w:w="108" w:type="dxa"/>
          </w:tblCellMar>
        </w:tblPrEx>
        <w:trPr>
          <w:trHeight w:val="759" w:hRule="atLeast"/>
        </w:trPr>
        <w:tc>
          <w:tcPr>
            <w:tcW w:w="1029" w:type="pct"/>
            <w:tcBorders>
              <w:top w:val="single" w:color="000000" w:sz="6" w:space="0"/>
              <w:left w:val="single" w:color="000000" w:sz="12"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山坪塘（半径400米）</w:t>
            </w:r>
          </w:p>
        </w:tc>
        <w:tc>
          <w:tcPr>
            <w:tcW w:w="86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50.24</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323</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jc w:val="center"/>
              <w:rPr>
                <w:rFonts w:ascii="Times New Roman" w:hAnsi="Times New Roman" w:eastAsia="等线" w:cs="Times New Roman"/>
                <w:color w:val="000000"/>
                <w:kern w:val="0"/>
                <w:szCs w:val="21"/>
              </w:rPr>
            </w:pPr>
          </w:p>
        </w:tc>
        <w:tc>
          <w:tcPr>
            <w:tcW w:w="71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9736.51</w:t>
            </w:r>
          </w:p>
        </w:tc>
        <w:tc>
          <w:tcPr>
            <w:tcW w:w="667"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重复覆盖区域最高40%</w:t>
            </w:r>
          </w:p>
        </w:tc>
      </w:tr>
      <w:tr>
        <w:tblPrEx>
          <w:tblCellMar>
            <w:top w:w="0" w:type="dxa"/>
            <w:left w:w="108" w:type="dxa"/>
            <w:bottom w:w="0" w:type="dxa"/>
            <w:right w:w="108" w:type="dxa"/>
          </w:tblCellMar>
        </w:tblPrEx>
        <w:trPr>
          <w:trHeight w:val="270" w:hRule="atLeast"/>
        </w:trPr>
        <w:tc>
          <w:tcPr>
            <w:tcW w:w="1029" w:type="pct"/>
            <w:tcBorders>
              <w:top w:val="single" w:color="000000" w:sz="6" w:space="0"/>
              <w:left w:val="single" w:color="000000" w:sz="12"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森林消防水箱（半径500米）</w:t>
            </w:r>
          </w:p>
        </w:tc>
        <w:tc>
          <w:tcPr>
            <w:tcW w:w="86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78.54</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130</w:t>
            </w:r>
          </w:p>
        </w:tc>
        <w:tc>
          <w:tcPr>
            <w:tcW w:w="863"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219</w:t>
            </w:r>
          </w:p>
        </w:tc>
        <w:tc>
          <w:tcPr>
            <w:tcW w:w="714"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20557.85</w:t>
            </w:r>
          </w:p>
        </w:tc>
        <w:tc>
          <w:tcPr>
            <w:tcW w:w="667"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重复覆盖区域最高25%</w:t>
            </w:r>
          </w:p>
        </w:tc>
      </w:tr>
      <w:tr>
        <w:tblPrEx>
          <w:tblCellMar>
            <w:top w:w="0" w:type="dxa"/>
            <w:left w:w="108" w:type="dxa"/>
            <w:bottom w:w="0" w:type="dxa"/>
            <w:right w:w="108" w:type="dxa"/>
          </w:tblCellMar>
        </w:tblPrEx>
        <w:trPr>
          <w:trHeight w:val="677" w:hRule="atLeast"/>
        </w:trPr>
        <w:tc>
          <w:tcPr>
            <w:tcW w:w="1893" w:type="pct"/>
            <w:gridSpan w:val="2"/>
            <w:tcBorders>
              <w:top w:val="single" w:color="000000" w:sz="6" w:space="0"/>
              <w:left w:val="single" w:color="000000" w:sz="12" w:space="0"/>
              <w:bottom w:val="single" w:color="000000" w:sz="12"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合计</w:t>
            </w:r>
          </w:p>
        </w:tc>
        <w:tc>
          <w:tcPr>
            <w:tcW w:w="863"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967</w:t>
            </w:r>
          </w:p>
        </w:tc>
        <w:tc>
          <w:tcPr>
            <w:tcW w:w="863"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219</w:t>
            </w:r>
          </w:p>
        </w:tc>
        <w:tc>
          <w:tcPr>
            <w:tcW w:w="714"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39009.74</w:t>
            </w:r>
          </w:p>
        </w:tc>
        <w:tc>
          <w:tcPr>
            <w:tcW w:w="667" w:type="pct"/>
            <w:tcBorders>
              <w:top w:val="single" w:color="000000" w:sz="6" w:space="0"/>
              <w:left w:val="single" w:color="000000" w:sz="6" w:space="0"/>
              <w:bottom w:val="single" w:color="000000" w:sz="12" w:space="0"/>
              <w:right w:val="single" w:color="000000" w:sz="12" w:space="0"/>
            </w:tcBorders>
            <w:shd w:val="clear" w:color="auto" w:fill="auto"/>
            <w:noWrap/>
            <w:vAlign w:val="center"/>
          </w:tcPr>
          <w:p>
            <w:pPr>
              <w:jc w:val="center"/>
              <w:rPr>
                <w:rFonts w:ascii="Times New Roman" w:hAnsi="Times New Roman" w:eastAsia="等线" w:cs="Times New Roman"/>
                <w:color w:val="000000"/>
                <w:kern w:val="0"/>
                <w:szCs w:val="21"/>
              </w:rPr>
            </w:pPr>
          </w:p>
        </w:tc>
      </w:tr>
    </w:tbl>
    <w:p>
      <w:pPr>
        <w:pStyle w:val="4"/>
        <w:spacing w:line="500" w:lineRule="exact"/>
        <w:rPr>
          <w:rFonts w:ascii="Times New Roman" w:hAnsi="Times New Roman" w:cs="Times New Roman"/>
          <w:sz w:val="30"/>
          <w:szCs w:val="30"/>
        </w:rPr>
      </w:pPr>
      <w:bookmarkStart w:id="70" w:name="_Toc126075378"/>
      <w:r>
        <w:rPr>
          <w:rFonts w:hint="eastAsia" w:ascii="Times New Roman" w:hAnsi="Times New Roman" w:cs="Times New Roman"/>
          <w:sz w:val="30"/>
          <w:szCs w:val="30"/>
        </w:rPr>
        <w:t>3.4 主要存在问题</w:t>
      </w:r>
      <w:bookmarkEnd w:id="70"/>
    </w:p>
    <w:p>
      <w:pPr>
        <w:pStyle w:val="5"/>
        <w:spacing w:line="500" w:lineRule="exact"/>
        <w:ind w:firstLine="562" w:firstLineChars="200"/>
        <w:rPr>
          <w:rFonts w:ascii="Times New Roman" w:hAnsi="Times New Roman" w:cs="Times New Roman"/>
          <w:sz w:val="28"/>
          <w:szCs w:val="28"/>
        </w:rPr>
      </w:pPr>
      <w:bookmarkStart w:id="71" w:name="_Toc123041834"/>
      <w:bookmarkStart w:id="72" w:name="_Toc126075379"/>
      <w:bookmarkStart w:id="73" w:name="_Toc124614717"/>
      <w:r>
        <w:rPr>
          <w:rFonts w:hint="eastAsia" w:ascii="Times New Roman" w:hAnsi="Times New Roman" w:cs="Times New Roman"/>
          <w:sz w:val="28"/>
          <w:szCs w:val="28"/>
        </w:rPr>
        <w:t>3.3.1现有森林消防水箱分布不均匀</w:t>
      </w:r>
      <w:bookmarkEnd w:id="71"/>
      <w:r>
        <w:rPr>
          <w:rFonts w:hint="eastAsia" w:ascii="Times New Roman" w:hAnsi="Times New Roman" w:cs="Times New Roman"/>
          <w:sz w:val="28"/>
          <w:szCs w:val="28"/>
        </w:rPr>
        <w:t>，部分重要生态功能区未布设森林消防水箱</w:t>
      </w:r>
      <w:bookmarkEnd w:id="72"/>
      <w:bookmarkEnd w:id="7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目前，全区已建130个森林消防水箱，选取位置多为交通便利，水源保障较为充足的区域，但分布不均、部分重点区域布设不到位，在山坪塘分布较少、海拔较高、初期火情处理难度较大、灭火水源匮乏的区域，以及部分重要生态功能区未布设森林消防水池，特别是与北碚毗邻的林区，植被茂盛，防火压力大。</w:t>
      </w:r>
    </w:p>
    <w:p>
      <w:pPr>
        <w:pStyle w:val="5"/>
        <w:spacing w:line="500" w:lineRule="exact"/>
        <w:ind w:firstLine="562" w:firstLineChars="200"/>
        <w:rPr>
          <w:rFonts w:ascii="Times New Roman" w:hAnsi="Times New Roman" w:cs="Times New Roman"/>
          <w:sz w:val="28"/>
          <w:szCs w:val="28"/>
        </w:rPr>
      </w:pPr>
      <w:bookmarkStart w:id="74" w:name="_Toc124614718"/>
      <w:bookmarkStart w:id="75" w:name="_Toc126075380"/>
      <w:r>
        <w:rPr>
          <w:rFonts w:hint="eastAsia" w:ascii="Times New Roman" w:hAnsi="Times New Roman" w:cs="Times New Roman"/>
          <w:sz w:val="28"/>
          <w:szCs w:val="28"/>
        </w:rPr>
        <w:t>3.3.2 现有森林消防水箱布局密度较低，距离“打早、打小、打了”的总体目标仍有差距</w:t>
      </w:r>
      <w:bookmarkEnd w:id="74"/>
      <w:bookmarkEnd w:id="75"/>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以水灭火”是当前最为快速有效的森林火灾灭火手段，通过高差水压或结合远程灭火机具装备“以水灭火”，能大幅度提升初期火情处理效率，有效保护森林资源、减少人员伤亡事故发生。但渝北区现有森林消防水箱布局整体密度较低，部分区域无法满足就近和就快提供消防水源的要求，距离“打早、打小、打了”的总体目标仍有差距。</w:t>
      </w:r>
    </w:p>
    <w:p>
      <w:pPr>
        <w:pStyle w:val="3"/>
        <w:spacing w:line="500" w:lineRule="exact"/>
        <w:jc w:val="center"/>
        <w:rPr>
          <w:sz w:val="32"/>
          <w:szCs w:val="32"/>
        </w:rPr>
      </w:pPr>
      <w:r>
        <w:rPr>
          <w:sz w:val="32"/>
          <w:szCs w:val="32"/>
        </w:rPr>
        <w:br w:type="page"/>
      </w:r>
    </w:p>
    <w:p>
      <w:pPr>
        <w:pStyle w:val="3"/>
        <w:spacing w:line="500" w:lineRule="exact"/>
        <w:jc w:val="center"/>
        <w:rPr>
          <w:sz w:val="32"/>
          <w:szCs w:val="32"/>
        </w:rPr>
      </w:pPr>
      <w:bookmarkStart w:id="76" w:name="_Toc126075381"/>
      <w:r>
        <w:rPr>
          <w:rFonts w:hint="eastAsia"/>
          <w:sz w:val="32"/>
          <w:szCs w:val="32"/>
        </w:rPr>
        <w:t>4 总体思路</w:t>
      </w:r>
      <w:bookmarkEnd w:id="76"/>
    </w:p>
    <w:p>
      <w:pPr>
        <w:pStyle w:val="4"/>
        <w:spacing w:line="500" w:lineRule="exact"/>
        <w:rPr>
          <w:rFonts w:ascii="Times New Roman" w:hAnsi="Times New Roman" w:cs="Times New Roman"/>
          <w:sz w:val="30"/>
          <w:szCs w:val="30"/>
        </w:rPr>
      </w:pPr>
      <w:bookmarkStart w:id="77" w:name="_Toc126075382"/>
      <w:r>
        <w:rPr>
          <w:rFonts w:hint="eastAsia" w:ascii="Times New Roman" w:hAnsi="Times New Roman" w:cs="Times New Roman"/>
          <w:sz w:val="30"/>
          <w:szCs w:val="30"/>
        </w:rPr>
        <w:t>4.1 指导思想</w:t>
      </w:r>
      <w:bookmarkEnd w:id="77"/>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以习近平新时代中国特色社会主义思想为指导，深入贯彻党的二十大精神、习近平总书记关于森林草原防灭火工作系列重要指示批示精神、习近平总书记视察重庆时关于扎实做好各项安全工作的重要指示要求，坚持“两点”定位、“两地”“两高”目标，全面落实市委六届二次会议精神，紧紧围绕生态文明建设，以保护森林资源和人民生命财产安全为根本，坚持“预防为主、积极消灭、生命至少、安全第一”的工作方针，积极探索森林防火“以水灭火”新模式，实现“早预防、早发现和打早、打小、打了”，逐步建立“预防-扑救-保障”森林火灾综合防御体系，全面提升项目区森林火灾综合治理水平，确保森林资源安全，改善区域生态环境，促进经济社会可持续发展。</w:t>
      </w:r>
    </w:p>
    <w:p>
      <w:pPr>
        <w:pStyle w:val="4"/>
        <w:spacing w:line="500" w:lineRule="exact"/>
        <w:rPr>
          <w:rFonts w:ascii="Times New Roman" w:hAnsi="Times New Roman" w:cs="Times New Roman"/>
          <w:sz w:val="30"/>
          <w:szCs w:val="30"/>
        </w:rPr>
      </w:pPr>
      <w:bookmarkStart w:id="78" w:name="_Toc126075383"/>
      <w:r>
        <w:rPr>
          <w:rFonts w:hint="eastAsia" w:ascii="Times New Roman" w:hAnsi="Times New Roman" w:cs="Times New Roman"/>
          <w:sz w:val="30"/>
          <w:szCs w:val="30"/>
        </w:rPr>
        <w:t>4.2 基本原则</w:t>
      </w:r>
      <w:bookmarkEnd w:id="78"/>
    </w:p>
    <w:p>
      <w:pPr>
        <w:pStyle w:val="5"/>
        <w:spacing w:line="500" w:lineRule="exact"/>
        <w:ind w:firstLine="562" w:firstLineChars="200"/>
        <w:rPr>
          <w:rFonts w:ascii="Times New Roman" w:hAnsi="Times New Roman" w:cs="Times New Roman"/>
          <w:sz w:val="28"/>
          <w:szCs w:val="28"/>
        </w:rPr>
      </w:pPr>
      <w:bookmarkStart w:id="79" w:name="_Toc126075384"/>
      <w:bookmarkStart w:id="80" w:name="_Toc122971942"/>
      <w:bookmarkStart w:id="81" w:name="_Toc124614728"/>
      <w:bookmarkStart w:id="82" w:name="_Toc122955605"/>
      <w:bookmarkStart w:id="83" w:name="_Toc123041844"/>
      <w:r>
        <w:rPr>
          <w:rFonts w:hint="eastAsia" w:ascii="Times New Roman" w:hAnsi="Times New Roman" w:cs="Times New Roman"/>
          <w:sz w:val="28"/>
          <w:szCs w:val="28"/>
        </w:rPr>
        <w:t>4.2.1 坚持“先重点、后一般”的原则</w:t>
      </w:r>
      <w:bookmarkEnd w:id="79"/>
      <w:bookmarkEnd w:id="80"/>
      <w:bookmarkEnd w:id="81"/>
      <w:bookmarkEnd w:id="82"/>
      <w:bookmarkEnd w:id="8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根据全区的实际情况，在选取森林消防水箱具体点位布设的过程中，坚持“先重点、后一般”的原则，按照500米-1000米的覆盖半径，优先在森林资源最集中分布的区域，存在较高森林火险隐患的区域，自然保护区、森林公园等重要生态功能区域布设，逐步提升提高扑救应急反应速度和控制火灾的能力，做到“打早、打小、打了”。</w:t>
      </w:r>
    </w:p>
    <w:p>
      <w:pPr>
        <w:pStyle w:val="5"/>
        <w:spacing w:line="500" w:lineRule="exact"/>
        <w:ind w:firstLine="562" w:firstLineChars="200"/>
        <w:rPr>
          <w:rFonts w:ascii="Times New Roman" w:hAnsi="Times New Roman" w:cs="Times New Roman"/>
          <w:sz w:val="28"/>
          <w:szCs w:val="28"/>
        </w:rPr>
      </w:pPr>
      <w:bookmarkStart w:id="84" w:name="_Toc123041845"/>
      <w:bookmarkStart w:id="85" w:name="_Toc122971943"/>
      <w:bookmarkStart w:id="86" w:name="_Toc122955606"/>
      <w:bookmarkStart w:id="87" w:name="_Toc124614729"/>
      <w:bookmarkStart w:id="88" w:name="_Toc126075385"/>
      <w:r>
        <w:rPr>
          <w:rFonts w:hint="eastAsia" w:ascii="Times New Roman" w:hAnsi="Times New Roman" w:cs="Times New Roman"/>
          <w:sz w:val="28"/>
          <w:szCs w:val="28"/>
        </w:rPr>
        <w:t>4.2.2 坚持因地制宜、实用性的原则</w:t>
      </w:r>
      <w:bookmarkEnd w:id="84"/>
      <w:bookmarkEnd w:id="85"/>
      <w:bookmarkEnd w:id="86"/>
      <w:bookmarkEnd w:id="87"/>
      <w:bookmarkEnd w:id="8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森林消防水箱建设坚持因地制宜的原则，选择道路交通条件较为便利，能够保证正常取水和输水；地质结构稳定，没有滑坡、崩塌、泥石流等地质灾害的区域。同时坚持实用性的原则，森林消防水箱建设按照“引水上山，以水灭火”的思路，切实发挥水箱在森林火灾扑救早期的关键作用。</w:t>
      </w:r>
    </w:p>
    <w:p>
      <w:pPr>
        <w:pStyle w:val="5"/>
        <w:spacing w:line="500" w:lineRule="exact"/>
        <w:ind w:firstLine="562" w:firstLineChars="200"/>
        <w:rPr>
          <w:rFonts w:ascii="Times New Roman" w:hAnsi="Times New Roman" w:cs="Times New Roman"/>
          <w:sz w:val="28"/>
          <w:szCs w:val="28"/>
        </w:rPr>
      </w:pPr>
      <w:bookmarkStart w:id="89" w:name="_Toc123041847"/>
      <w:bookmarkStart w:id="90" w:name="_Toc124614730"/>
      <w:bookmarkStart w:id="91" w:name="_Toc122971945"/>
      <w:bookmarkStart w:id="92" w:name="_Toc126075386"/>
      <w:bookmarkStart w:id="93" w:name="_Toc122955608"/>
      <w:r>
        <w:rPr>
          <w:rFonts w:hint="eastAsia" w:ascii="Times New Roman" w:hAnsi="Times New Roman" w:cs="Times New Roman"/>
          <w:sz w:val="28"/>
          <w:szCs w:val="28"/>
        </w:rPr>
        <w:t>4.2.3 坚持整体设计、统筹规划的原则</w:t>
      </w:r>
      <w:bookmarkEnd w:id="89"/>
      <w:bookmarkEnd w:id="90"/>
      <w:bookmarkEnd w:id="91"/>
      <w:bookmarkEnd w:id="92"/>
      <w:bookmarkEnd w:id="9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森林消防水箱建设是全区重要的森林防火基础能力提升工程，在充分考虑现有资源的基础上，统一规划、整体设计，合理确定建设内容、建设规模，突出重点，优化布局，实现重点区域森林消防水箱不重不漏、分布合理，发挥项目资金最大效益。</w:t>
      </w:r>
    </w:p>
    <w:p>
      <w:pPr>
        <w:pStyle w:val="4"/>
        <w:spacing w:line="500" w:lineRule="exact"/>
        <w:rPr>
          <w:rFonts w:ascii="Times New Roman" w:hAnsi="Times New Roman" w:cs="Times New Roman"/>
          <w:sz w:val="30"/>
          <w:szCs w:val="30"/>
        </w:rPr>
      </w:pPr>
      <w:bookmarkStart w:id="94" w:name="_Toc124614731"/>
      <w:bookmarkStart w:id="95" w:name="_Toc126075387"/>
      <w:r>
        <w:rPr>
          <w:rFonts w:hint="eastAsia" w:ascii="Times New Roman" w:hAnsi="Times New Roman" w:cs="Times New Roman"/>
          <w:sz w:val="30"/>
          <w:szCs w:val="30"/>
        </w:rPr>
        <w:t>4.3 建设目标</w:t>
      </w:r>
      <w:bookmarkEnd w:id="94"/>
      <w:bookmarkEnd w:id="95"/>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通过与已建的森林消防水池相结合使用，充分覆盖全区境内的中梁山山脉（龙王洞山）、铜锣山山脉、明月山山脉森林资源集中分布区域和森林火险隐患较高的区域，覆盖率达95%以上，缩短水源补给距离，灭火供水保障半径达到500-1000米之间。</w:t>
      </w:r>
    </w:p>
    <w:p>
      <w:pPr>
        <w:pStyle w:val="4"/>
        <w:spacing w:line="500" w:lineRule="exact"/>
        <w:rPr>
          <w:rFonts w:ascii="Times New Roman" w:hAnsi="Times New Roman" w:cs="Times New Roman"/>
          <w:sz w:val="30"/>
          <w:szCs w:val="30"/>
        </w:rPr>
      </w:pPr>
      <w:bookmarkStart w:id="96" w:name="_Toc126075388"/>
      <w:r>
        <w:rPr>
          <w:rFonts w:hint="eastAsia" w:ascii="Times New Roman" w:hAnsi="Times New Roman" w:cs="Times New Roman"/>
          <w:sz w:val="30"/>
          <w:szCs w:val="30"/>
        </w:rPr>
        <w:t>4.4 建设进度安排</w:t>
      </w:r>
      <w:bookmarkEnd w:id="96"/>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准备阶段：2023年1月~2023年2月，完成设计和预算的编制、审批、开展招标、确定施工单位。</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建设阶段：2022年3月~2023年5月，完成森林消防水箱施工建设。</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验收阶段：2023年6月，项目竣工验收。</w:t>
      </w:r>
    </w:p>
    <w:p>
      <w:pPr>
        <w:pStyle w:val="2"/>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表</w:t>
      </w:r>
      <w:r>
        <w:rPr>
          <w:rFonts w:hint="eastAsia" w:ascii="Times New Roman" w:hAnsi="Times New Roman" w:cs="Times New Roman" w:eastAsiaTheme="majorEastAsia"/>
          <w:b/>
          <w:sz w:val="21"/>
          <w:szCs w:val="21"/>
        </w:rPr>
        <w:t>4</w:t>
      </w:r>
      <w:r>
        <w:rPr>
          <w:rFonts w:ascii="Times New Roman" w:hAnsi="Times New Roman" w:cs="Times New Roman" w:eastAsiaTheme="majorEastAsia"/>
          <w:b/>
          <w:sz w:val="21"/>
          <w:szCs w:val="21"/>
        </w:rPr>
        <w:t>-1 渝北区森林消防水箱建设项目进度安排表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90"/>
        <w:gridCol w:w="1057"/>
        <w:gridCol w:w="2719"/>
        <w:gridCol w:w="690"/>
        <w:gridCol w:w="690"/>
        <w:gridCol w:w="690"/>
        <w:gridCol w:w="690"/>
        <w:gridCol w:w="692"/>
        <w:gridCol w:w="60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405" w:type="pct"/>
            <w:vMerge w:val="restar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编号</w:t>
            </w:r>
          </w:p>
        </w:tc>
        <w:tc>
          <w:tcPr>
            <w:tcW w:w="620" w:type="pct"/>
            <w:vMerge w:val="restar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总体安排</w:t>
            </w:r>
          </w:p>
        </w:tc>
        <w:tc>
          <w:tcPr>
            <w:tcW w:w="1595" w:type="pct"/>
            <w:vMerge w:val="restar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完成工作</w:t>
            </w:r>
          </w:p>
        </w:tc>
        <w:tc>
          <w:tcPr>
            <w:tcW w:w="2379" w:type="pct"/>
            <w:gridSpan w:val="6"/>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2023</w:t>
            </w:r>
            <w:r>
              <w:rPr>
                <w:rFonts w:hint="eastAsia" w:ascii="Times New Roman" w:hAnsi="Times New Roman" w:eastAsia="等线" w:cs="Times New Roman"/>
                <w:color w:val="000000"/>
                <w:kern w:val="0"/>
                <w:szCs w:val="21"/>
              </w:rPr>
              <w:t>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405" w:type="pct"/>
            <w:vMerge w:val="continue"/>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620" w:type="pct"/>
            <w:vMerge w:val="continue"/>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1595" w:type="pct"/>
            <w:vMerge w:val="continue"/>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r>
              <w:rPr>
                <w:rFonts w:hint="eastAsia" w:ascii="Times New Roman" w:hAnsi="Times New Roman" w:eastAsia="等线" w:cs="Times New Roman"/>
                <w:color w:val="000000"/>
                <w:kern w:val="0"/>
                <w:szCs w:val="21"/>
              </w:rPr>
              <w:t>月</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r>
              <w:rPr>
                <w:rFonts w:hint="eastAsia" w:ascii="Times New Roman" w:hAnsi="Times New Roman" w:eastAsia="等线" w:cs="Times New Roman"/>
                <w:color w:val="000000"/>
                <w:kern w:val="0"/>
                <w:szCs w:val="21"/>
              </w:rPr>
              <w:t>月</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r>
              <w:rPr>
                <w:rFonts w:hint="eastAsia" w:ascii="Times New Roman" w:hAnsi="Times New Roman" w:eastAsia="等线" w:cs="Times New Roman"/>
                <w:color w:val="000000"/>
                <w:kern w:val="0"/>
                <w:szCs w:val="21"/>
              </w:rPr>
              <w:t>月</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r>
              <w:rPr>
                <w:rFonts w:hint="eastAsia" w:ascii="Times New Roman" w:hAnsi="Times New Roman" w:eastAsia="等线" w:cs="Times New Roman"/>
                <w:color w:val="000000"/>
                <w:kern w:val="0"/>
                <w:szCs w:val="21"/>
              </w:rPr>
              <w:t>月</w:t>
            </w:r>
          </w:p>
        </w:tc>
        <w:tc>
          <w:tcPr>
            <w:tcW w:w="4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w:t>
            </w:r>
            <w:r>
              <w:rPr>
                <w:rFonts w:hint="eastAsia" w:ascii="宋体" w:hAnsi="宋体" w:eastAsia="宋体" w:cs="Times New Roman"/>
                <w:color w:val="000000"/>
                <w:kern w:val="0"/>
                <w:sz w:val="22"/>
              </w:rPr>
              <w:t>月</w:t>
            </w:r>
          </w:p>
        </w:tc>
        <w:tc>
          <w:tcPr>
            <w:tcW w:w="354"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r>
              <w:rPr>
                <w:rFonts w:hint="eastAsia" w:ascii="宋体" w:hAnsi="宋体" w:eastAsia="宋体" w:cs="Times New Roman"/>
                <w:color w:val="000000"/>
                <w:kern w:val="0"/>
                <w:sz w:val="22"/>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620" w:type="pct"/>
            <w:vMerge w:val="restar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准备阶段</w:t>
            </w:r>
          </w:p>
        </w:tc>
        <w:tc>
          <w:tcPr>
            <w:tcW w:w="159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设计和预算编制、审批</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6" w:type="pct"/>
            <w:shd w:val="clear" w:color="auto" w:fill="auto"/>
            <w:noWrap/>
            <w:vAlign w:val="center"/>
          </w:tcPr>
          <w:p>
            <w:pPr>
              <w:widowControl/>
              <w:jc w:val="center"/>
              <w:rPr>
                <w:rFonts w:ascii="Times New Roman" w:hAnsi="Times New Roman" w:eastAsia="宋体" w:cs="Times New Roman"/>
                <w:color w:val="000000"/>
                <w:kern w:val="0"/>
                <w:sz w:val="22"/>
              </w:rPr>
            </w:pPr>
          </w:p>
        </w:tc>
        <w:tc>
          <w:tcPr>
            <w:tcW w:w="354" w:type="pct"/>
            <w:shd w:val="clear" w:color="auto" w:fill="auto"/>
            <w:noWrap/>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620" w:type="pct"/>
            <w:vMerge w:val="continue"/>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159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招标、施工单位选定</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6" w:type="pct"/>
            <w:shd w:val="clear" w:color="auto" w:fill="auto"/>
            <w:noWrap/>
            <w:vAlign w:val="center"/>
          </w:tcPr>
          <w:p>
            <w:pPr>
              <w:widowControl/>
              <w:jc w:val="center"/>
              <w:rPr>
                <w:rFonts w:ascii="Times New Roman" w:hAnsi="Times New Roman" w:eastAsia="宋体" w:cs="Times New Roman"/>
                <w:color w:val="000000"/>
                <w:kern w:val="0"/>
                <w:sz w:val="22"/>
              </w:rPr>
            </w:pPr>
          </w:p>
        </w:tc>
        <w:tc>
          <w:tcPr>
            <w:tcW w:w="354" w:type="pct"/>
            <w:shd w:val="clear" w:color="auto" w:fill="auto"/>
            <w:noWrap/>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62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建设阶段</w:t>
            </w:r>
          </w:p>
        </w:tc>
        <w:tc>
          <w:tcPr>
            <w:tcW w:w="159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森林消防水箱施工</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w:t>
            </w:r>
          </w:p>
        </w:tc>
        <w:tc>
          <w:tcPr>
            <w:tcW w:w="406" w:type="pct"/>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w:t>
            </w:r>
          </w:p>
        </w:tc>
        <w:tc>
          <w:tcPr>
            <w:tcW w:w="354" w:type="pct"/>
            <w:shd w:val="clear" w:color="auto" w:fill="auto"/>
            <w:noWrap/>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0" w:hRule="atLeast"/>
        </w:trPr>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620"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验收阶段</w:t>
            </w:r>
          </w:p>
        </w:tc>
        <w:tc>
          <w:tcPr>
            <w:tcW w:w="159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竣工验收</w:t>
            </w: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5" w:type="pct"/>
            <w:shd w:val="clear" w:color="auto" w:fill="auto"/>
            <w:noWrap/>
            <w:vAlign w:val="center"/>
          </w:tcPr>
          <w:p>
            <w:pPr>
              <w:widowControl/>
              <w:jc w:val="center"/>
              <w:textAlignment w:val="center"/>
              <w:rPr>
                <w:rFonts w:ascii="Times New Roman" w:hAnsi="Times New Roman" w:eastAsia="等线" w:cs="Times New Roman"/>
                <w:color w:val="000000"/>
                <w:kern w:val="0"/>
                <w:szCs w:val="21"/>
              </w:rPr>
            </w:pPr>
          </w:p>
        </w:tc>
        <w:tc>
          <w:tcPr>
            <w:tcW w:w="406" w:type="pct"/>
            <w:shd w:val="clear" w:color="auto" w:fill="auto"/>
            <w:noWrap/>
            <w:vAlign w:val="center"/>
          </w:tcPr>
          <w:p>
            <w:pPr>
              <w:widowControl/>
              <w:jc w:val="center"/>
              <w:rPr>
                <w:rFonts w:ascii="Times New Roman" w:hAnsi="Times New Roman" w:eastAsia="宋体" w:cs="Times New Roman"/>
                <w:color w:val="000000"/>
                <w:kern w:val="0"/>
                <w:sz w:val="22"/>
              </w:rPr>
            </w:pPr>
          </w:p>
        </w:tc>
        <w:tc>
          <w:tcPr>
            <w:tcW w:w="354" w:type="pct"/>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宋体" w:hAnsi="宋体" w:eastAsia="宋体" w:cs="Times New Roman"/>
                <w:color w:val="000000"/>
                <w:kern w:val="0"/>
                <w:sz w:val="22"/>
              </w:rPr>
              <w:t>√</w:t>
            </w:r>
          </w:p>
        </w:tc>
      </w:tr>
    </w:tbl>
    <w:p>
      <w:pPr>
        <w:pStyle w:val="2"/>
      </w:pPr>
    </w:p>
    <w:p>
      <w:pPr>
        <w:pStyle w:val="3"/>
        <w:spacing w:line="500" w:lineRule="exact"/>
        <w:jc w:val="center"/>
        <w:rPr>
          <w:sz w:val="32"/>
          <w:szCs w:val="32"/>
        </w:rPr>
      </w:pPr>
      <w:r>
        <w:rPr>
          <w:sz w:val="32"/>
          <w:szCs w:val="32"/>
        </w:rPr>
        <w:br w:type="page"/>
      </w:r>
    </w:p>
    <w:p>
      <w:pPr>
        <w:pStyle w:val="3"/>
        <w:spacing w:line="500" w:lineRule="exact"/>
        <w:jc w:val="center"/>
        <w:rPr>
          <w:sz w:val="32"/>
          <w:szCs w:val="32"/>
        </w:rPr>
      </w:pPr>
      <w:bookmarkStart w:id="97" w:name="_Toc126075389"/>
      <w:r>
        <w:rPr>
          <w:rFonts w:hint="eastAsia"/>
          <w:sz w:val="32"/>
          <w:szCs w:val="32"/>
        </w:rPr>
        <w:t>5 总体设计</w:t>
      </w:r>
      <w:bookmarkEnd w:id="97"/>
    </w:p>
    <w:p>
      <w:pPr>
        <w:pStyle w:val="4"/>
        <w:spacing w:line="500" w:lineRule="exact"/>
        <w:rPr>
          <w:rFonts w:ascii="Times New Roman" w:hAnsi="Times New Roman" w:cs="Times New Roman"/>
          <w:sz w:val="30"/>
          <w:szCs w:val="30"/>
        </w:rPr>
      </w:pPr>
      <w:bookmarkStart w:id="98" w:name="_Toc126075390"/>
      <w:r>
        <w:rPr>
          <w:rFonts w:hint="eastAsia" w:ascii="Times New Roman" w:hAnsi="Times New Roman" w:cs="Times New Roman"/>
          <w:sz w:val="30"/>
          <w:szCs w:val="30"/>
        </w:rPr>
        <w:t>5.1 森林消防水箱建设总体布局</w:t>
      </w:r>
      <w:bookmarkEnd w:id="98"/>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按照因地制宜和“先重点、后一般”的原则，本次渝北区森林消防水箱建设项目共设计森林消防水箱219个，布局在全区森林资源集中分布的中梁山山脉、铜锣山山脉和明月山脉。根据场地大小，覆盖面积大小，区域森林资源分布和实际补水情况，分别设计水箱容量为60立方米（长×宽×高=5×4×3）、90立方米（长×宽×高=6×5×3）、120立方米（长×宽×高=8×5×3）三种规格。</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60立方米森林消防水箱应用于人工补水较为方便，集中连片林区为小于1000亩的区域；90立方米森林消防水箱应用于人工补水较为方便，集中连片林区为1000至3000亩的区域；120立方米森林消防水箱应用于地势较为复杂，补水较为困难，林区集中连片面积大于3000亩的区域。详见表6-1和表6-2。</w:t>
      </w:r>
    </w:p>
    <w:p>
      <w:pPr>
        <w:pStyle w:val="2"/>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表</w:t>
      </w:r>
      <w:r>
        <w:rPr>
          <w:rFonts w:hint="eastAsia" w:ascii="Times New Roman" w:hAnsi="Times New Roman" w:cs="Times New Roman" w:eastAsiaTheme="majorEastAsia"/>
          <w:b/>
          <w:sz w:val="21"/>
          <w:szCs w:val="21"/>
        </w:rPr>
        <w:t>5</w:t>
      </w:r>
      <w:r>
        <w:rPr>
          <w:rFonts w:ascii="Times New Roman" w:hAnsi="Times New Roman" w:cs="Times New Roman" w:eastAsiaTheme="majorEastAsia"/>
          <w:b/>
          <w:sz w:val="21"/>
          <w:szCs w:val="21"/>
        </w:rPr>
        <w:t>-1</w:t>
      </w:r>
      <w:r>
        <w:rPr>
          <w:rFonts w:hint="eastAsia" w:ascii="Times New Roman" w:hAnsi="Times New Roman" w:cs="Times New Roman" w:eastAsiaTheme="majorEastAsia"/>
          <w:b/>
          <w:sz w:val="21"/>
          <w:szCs w:val="21"/>
        </w:rPr>
        <w:t xml:space="preserve"> 渝北区森林消防水箱建设分山脉、统计单位、水箱容量统计表</w:t>
      </w:r>
    </w:p>
    <w:p>
      <w:pPr>
        <w:pStyle w:val="2"/>
        <w:jc w:val="right"/>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单位</w:t>
      </w:r>
      <w:r>
        <w:rPr>
          <w:rFonts w:hint="eastAsia" w:ascii="Times New Roman" w:hAnsi="Times New Roman" w:cs="Times New Roman" w:eastAsiaTheme="majorEastAsia"/>
          <w:b/>
          <w:sz w:val="21"/>
          <w:szCs w:val="21"/>
        </w:rPr>
        <w:t>：</w:t>
      </w:r>
      <w:r>
        <w:rPr>
          <w:rFonts w:ascii="Times New Roman" w:hAnsi="Times New Roman" w:cs="Times New Roman" w:eastAsiaTheme="majorEastAsia"/>
          <w:b/>
          <w:sz w:val="21"/>
          <w:szCs w:val="21"/>
        </w:rPr>
        <w:t>立方米</w:t>
      </w:r>
    </w:p>
    <w:tbl>
      <w:tblPr>
        <w:tblStyle w:val="14"/>
        <w:tblW w:w="9215" w:type="dxa"/>
        <w:tblInd w:w="-31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93"/>
        <w:gridCol w:w="2552"/>
        <w:gridCol w:w="1417"/>
        <w:gridCol w:w="1701"/>
        <w:gridCol w:w="1418"/>
        <w:gridCol w:w="113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tblHeader/>
        </w:trPr>
        <w:tc>
          <w:tcPr>
            <w:tcW w:w="993" w:type="dxa"/>
            <w:vMerge w:val="restart"/>
            <w:vAlign w:val="center"/>
          </w:tcPr>
          <w:p>
            <w:pPr>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所属山脉</w:t>
            </w:r>
          </w:p>
        </w:tc>
        <w:tc>
          <w:tcPr>
            <w:tcW w:w="2552" w:type="dxa"/>
            <w:vMerge w:val="restart"/>
            <w:shd w:val="clear" w:color="auto" w:fill="auto"/>
            <w:noWrap/>
            <w:vAlign w:val="center"/>
          </w:tcPr>
          <w:p>
            <w:pPr>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镇</w:t>
            </w:r>
            <w:r>
              <w:rPr>
                <w:rFonts w:hint="eastAsia" w:ascii="Times New Roman" w:hAnsi="Times New Roman" w:eastAsia="宋体" w:cs="Times New Roman"/>
                <w:b/>
                <w:bCs/>
                <w:color w:val="000000"/>
                <w:kern w:val="0"/>
                <w:sz w:val="22"/>
              </w:rPr>
              <w:t>/街道/林场</w:t>
            </w:r>
          </w:p>
        </w:tc>
        <w:tc>
          <w:tcPr>
            <w:tcW w:w="1417" w:type="dxa"/>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合计</w:t>
            </w:r>
          </w:p>
        </w:tc>
        <w:tc>
          <w:tcPr>
            <w:tcW w:w="4253" w:type="dxa"/>
            <w:gridSpan w:val="3"/>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水箱容量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blHeader/>
        </w:trPr>
        <w:tc>
          <w:tcPr>
            <w:tcW w:w="993" w:type="dxa"/>
            <w:vMerge w:val="continue"/>
            <w:vAlign w:val="center"/>
          </w:tcPr>
          <w:p>
            <w:pPr>
              <w:widowControl/>
              <w:jc w:val="center"/>
              <w:rPr>
                <w:rFonts w:ascii="Times New Roman" w:hAnsi="Times New Roman" w:eastAsia="宋体" w:cs="Times New Roman"/>
                <w:b/>
                <w:bCs/>
                <w:color w:val="000000"/>
                <w:kern w:val="0"/>
                <w:sz w:val="22"/>
              </w:rPr>
            </w:pPr>
          </w:p>
        </w:tc>
        <w:tc>
          <w:tcPr>
            <w:tcW w:w="2552" w:type="dxa"/>
            <w:vMerge w:val="continue"/>
            <w:shd w:val="clear" w:color="auto" w:fill="auto"/>
            <w:noWrap/>
            <w:vAlign w:val="center"/>
          </w:tcPr>
          <w:p>
            <w:pPr>
              <w:widowControl/>
              <w:jc w:val="center"/>
              <w:rPr>
                <w:rFonts w:ascii="Times New Roman" w:hAnsi="Times New Roman" w:eastAsia="宋体" w:cs="Times New Roman"/>
                <w:b/>
                <w:bCs/>
                <w:color w:val="000000"/>
                <w:kern w:val="0"/>
                <w:sz w:val="22"/>
              </w:rPr>
            </w:pPr>
          </w:p>
        </w:tc>
        <w:tc>
          <w:tcPr>
            <w:tcW w:w="1417" w:type="dxa"/>
            <w:vMerge w:val="continue"/>
            <w:shd w:val="clear" w:color="auto" w:fill="auto"/>
            <w:noWrap/>
            <w:vAlign w:val="center"/>
          </w:tcPr>
          <w:p>
            <w:pPr>
              <w:widowControl/>
              <w:jc w:val="center"/>
              <w:rPr>
                <w:rFonts w:ascii="Times New Roman" w:hAnsi="Times New Roman" w:eastAsia="宋体" w:cs="Times New Roman"/>
                <w:b/>
                <w:bCs/>
                <w:color w:val="000000"/>
                <w:kern w:val="0"/>
                <w:sz w:val="22"/>
              </w:rPr>
            </w:pPr>
          </w:p>
        </w:tc>
        <w:tc>
          <w:tcPr>
            <w:tcW w:w="1701" w:type="dxa"/>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60</w:t>
            </w:r>
          </w:p>
        </w:tc>
        <w:tc>
          <w:tcPr>
            <w:tcW w:w="1418" w:type="dxa"/>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90</w:t>
            </w:r>
          </w:p>
        </w:tc>
        <w:tc>
          <w:tcPr>
            <w:tcW w:w="1134" w:type="dxa"/>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120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545" w:type="dxa"/>
            <w:gridSpan w:val="2"/>
            <w:vAlign w:val="center"/>
          </w:tcPr>
          <w:p>
            <w:pPr>
              <w:widowControl/>
              <w:jc w:val="center"/>
              <w:rPr>
                <w:rFonts w:ascii="Times New Roman" w:hAnsi="Times New Roman" w:eastAsia="宋体" w:cs="Times New Roman"/>
                <w:b/>
                <w:color w:val="000000"/>
                <w:kern w:val="0"/>
                <w:sz w:val="22"/>
              </w:rPr>
            </w:pPr>
            <w:r>
              <w:rPr>
                <w:rFonts w:ascii="Times New Roman" w:hAnsi="Times New Roman" w:eastAsia="宋体" w:cs="Times New Roman"/>
                <w:b/>
                <w:color w:val="000000"/>
                <w:kern w:val="0"/>
                <w:sz w:val="22"/>
              </w:rPr>
              <w:t>合计</w:t>
            </w:r>
          </w:p>
        </w:tc>
        <w:tc>
          <w:tcPr>
            <w:tcW w:w="1417" w:type="dxa"/>
            <w:shd w:val="clear" w:color="auto" w:fill="auto"/>
            <w:noWrap/>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219</w:t>
            </w:r>
          </w:p>
        </w:tc>
        <w:tc>
          <w:tcPr>
            <w:tcW w:w="1701"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26</w:t>
            </w:r>
          </w:p>
        </w:tc>
        <w:tc>
          <w:tcPr>
            <w:tcW w:w="1418"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181</w:t>
            </w:r>
          </w:p>
        </w:tc>
        <w:tc>
          <w:tcPr>
            <w:tcW w:w="1134"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restart"/>
            <w:vAlign w:val="center"/>
          </w:tcPr>
          <w:p>
            <w:pPr>
              <w:widowControl/>
              <w:jc w:val="center"/>
              <w:rPr>
                <w:rFonts w:ascii="Times New Roman" w:hAnsi="Times New Roman" w:eastAsia="宋体" w:cs="Times New Roman"/>
                <w:bCs/>
                <w:color w:val="000000"/>
                <w:kern w:val="0"/>
                <w:sz w:val="22"/>
              </w:rPr>
            </w:pPr>
            <w:r>
              <w:rPr>
                <w:rFonts w:hint="eastAsia" w:ascii="Times New Roman" w:hAnsi="Times New Roman" w:eastAsia="宋体" w:cs="Times New Roman"/>
                <w:bCs/>
                <w:color w:val="000000"/>
                <w:kern w:val="0"/>
                <w:sz w:val="22"/>
              </w:rPr>
              <w:t>明月山山脉</w:t>
            </w:r>
          </w:p>
        </w:tc>
        <w:tc>
          <w:tcPr>
            <w:tcW w:w="2552"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小计</w:t>
            </w:r>
          </w:p>
        </w:tc>
        <w:tc>
          <w:tcPr>
            <w:tcW w:w="1417"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42</w:t>
            </w:r>
          </w:p>
        </w:tc>
        <w:tc>
          <w:tcPr>
            <w:tcW w:w="1701"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2</w:t>
            </w:r>
          </w:p>
        </w:tc>
        <w:tc>
          <w:tcPr>
            <w:tcW w:w="1418" w:type="dxa"/>
            <w:vAlign w:val="center"/>
          </w:tcPr>
          <w:p>
            <w:pPr>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39</w:t>
            </w:r>
          </w:p>
        </w:tc>
        <w:tc>
          <w:tcPr>
            <w:tcW w:w="1134" w:type="dxa"/>
            <w:vAlign w:val="center"/>
          </w:tcPr>
          <w:p>
            <w:pPr>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大盛镇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10</w:t>
            </w:r>
          </w:p>
        </w:tc>
        <w:tc>
          <w:tcPr>
            <w:tcW w:w="1701" w:type="dxa"/>
            <w:vAlign w:val="center"/>
          </w:tcPr>
          <w:p>
            <w:pPr>
              <w:jc w:val="center"/>
            </w:pPr>
            <w:r>
              <w:rPr>
                <w:rFonts w:hint="eastAsia"/>
              </w:rPr>
              <w:t>2</w:t>
            </w:r>
          </w:p>
        </w:tc>
        <w:tc>
          <w:tcPr>
            <w:tcW w:w="1418" w:type="dxa"/>
            <w:vAlign w:val="center"/>
          </w:tcPr>
          <w:p>
            <w:pPr>
              <w:jc w:val="center"/>
            </w:pPr>
            <w:r>
              <w:rPr>
                <w:rFonts w:hint="eastAsia"/>
              </w:rPr>
              <w:t>7</w:t>
            </w:r>
          </w:p>
        </w:tc>
        <w:tc>
          <w:tcPr>
            <w:tcW w:w="1134" w:type="dxa"/>
            <w:vAlign w:val="center"/>
          </w:tcPr>
          <w:p>
            <w:pPr>
              <w:jc w:val="center"/>
            </w:pPr>
            <w: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洛碛镇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w:t>
            </w:r>
            <w:r>
              <w:rPr>
                <w:rFonts w:hint="eastAsia" w:ascii="Times New Roman" w:hAnsi="Times New Roman" w:eastAsia="宋体" w:cs="Times New Roman"/>
                <w:color w:val="000000"/>
                <w:kern w:val="0"/>
                <w:sz w:val="22"/>
              </w:rPr>
              <w:t>2</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32</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restart"/>
            <w:vAlign w:val="center"/>
          </w:tcPr>
          <w:p>
            <w:pPr>
              <w:widowControl/>
              <w:jc w:val="center"/>
              <w:rPr>
                <w:rFonts w:ascii="Times New Roman" w:hAnsi="Times New Roman" w:eastAsia="宋体" w:cs="Times New Roman"/>
                <w:bCs/>
                <w:color w:val="000000"/>
                <w:kern w:val="0"/>
                <w:sz w:val="22"/>
              </w:rPr>
            </w:pPr>
            <w:r>
              <w:rPr>
                <w:rFonts w:hint="eastAsia" w:ascii="Times New Roman" w:hAnsi="Times New Roman" w:eastAsia="宋体" w:cs="Times New Roman"/>
                <w:bCs/>
                <w:color w:val="000000"/>
                <w:kern w:val="0"/>
                <w:sz w:val="22"/>
              </w:rPr>
              <w:t>铜锣山山脉</w:t>
            </w:r>
          </w:p>
        </w:tc>
        <w:tc>
          <w:tcPr>
            <w:tcW w:w="2552"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小计</w:t>
            </w:r>
          </w:p>
        </w:tc>
        <w:tc>
          <w:tcPr>
            <w:tcW w:w="1417"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w:t>
            </w:r>
            <w:r>
              <w:rPr>
                <w:rFonts w:hint="eastAsia" w:ascii="Times New Roman" w:hAnsi="Times New Roman" w:eastAsia="宋体" w:cs="Times New Roman"/>
                <w:b/>
                <w:bCs/>
                <w:color w:val="000000"/>
                <w:kern w:val="0"/>
                <w:sz w:val="22"/>
              </w:rPr>
              <w:t>3</w:t>
            </w:r>
          </w:p>
        </w:tc>
        <w:tc>
          <w:tcPr>
            <w:tcW w:w="1701"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16</w:t>
            </w:r>
          </w:p>
        </w:tc>
        <w:tc>
          <w:tcPr>
            <w:tcW w:w="1418"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83</w:t>
            </w:r>
          </w:p>
        </w:tc>
        <w:tc>
          <w:tcPr>
            <w:tcW w:w="1134"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大湾镇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13</w:t>
            </w:r>
          </w:p>
        </w:tc>
        <w:tc>
          <w:tcPr>
            <w:tcW w:w="1701" w:type="dxa"/>
            <w:vAlign w:val="center"/>
          </w:tcPr>
          <w:p>
            <w:pPr>
              <w:jc w:val="center"/>
            </w:pPr>
            <w:r>
              <w:t>1</w:t>
            </w:r>
          </w:p>
        </w:tc>
        <w:tc>
          <w:tcPr>
            <w:tcW w:w="1418" w:type="dxa"/>
            <w:vAlign w:val="center"/>
          </w:tcPr>
          <w:p>
            <w:pPr>
              <w:jc w:val="center"/>
            </w:pPr>
            <w:r>
              <w:t>12</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古路镇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701" w:type="dxa"/>
            <w:vAlign w:val="center"/>
          </w:tcPr>
          <w:p>
            <w:pPr>
              <w:jc w:val="center"/>
            </w:pPr>
          </w:p>
        </w:tc>
        <w:tc>
          <w:tcPr>
            <w:tcW w:w="1418" w:type="dxa"/>
            <w:vAlign w:val="center"/>
          </w:tcPr>
          <w:p>
            <w:pPr>
              <w:jc w:val="center"/>
            </w:pPr>
            <w:r>
              <w:rPr>
                <w:rFonts w:hint="eastAsia"/>
              </w:rPr>
              <w:t>6</w:t>
            </w:r>
          </w:p>
        </w:tc>
        <w:tc>
          <w:tcPr>
            <w:tcW w:w="1134" w:type="dxa"/>
            <w:vAlign w:val="center"/>
          </w:tcPr>
          <w:p>
            <w:pPr>
              <w:jc w:val="center"/>
            </w:pPr>
            <w: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龙兴镇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4</w:t>
            </w:r>
          </w:p>
        </w:tc>
        <w:tc>
          <w:tcPr>
            <w:tcW w:w="1701"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石船镇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3</w:t>
            </w:r>
          </w:p>
        </w:tc>
        <w:tc>
          <w:tcPr>
            <w:tcW w:w="1701"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134"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统景林场</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7</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统景镇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5</w:t>
            </w:r>
          </w:p>
        </w:tc>
        <w:tc>
          <w:tcPr>
            <w:tcW w:w="1701"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11</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王家街道</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玉峰山林场</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19</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19</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玉峰山镇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10</w:t>
            </w:r>
          </w:p>
        </w:tc>
        <w:tc>
          <w:tcPr>
            <w:tcW w:w="1134"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restart"/>
            <w:vAlign w:val="center"/>
          </w:tcPr>
          <w:p>
            <w:pPr>
              <w:widowControl/>
              <w:jc w:val="center"/>
              <w:rPr>
                <w:rFonts w:ascii="Times New Roman" w:hAnsi="Times New Roman" w:eastAsia="宋体" w:cs="Times New Roman"/>
                <w:bCs/>
                <w:color w:val="000000"/>
                <w:kern w:val="0"/>
                <w:sz w:val="22"/>
              </w:rPr>
            </w:pPr>
            <w:r>
              <w:rPr>
                <w:rFonts w:hint="eastAsia" w:ascii="Times New Roman" w:hAnsi="Times New Roman" w:eastAsia="宋体" w:cs="Times New Roman"/>
                <w:bCs/>
                <w:color w:val="000000"/>
                <w:kern w:val="0"/>
                <w:sz w:val="22"/>
              </w:rPr>
              <w:t>中梁山山脉</w:t>
            </w:r>
          </w:p>
        </w:tc>
        <w:tc>
          <w:tcPr>
            <w:tcW w:w="2552"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小计</w:t>
            </w:r>
          </w:p>
        </w:tc>
        <w:tc>
          <w:tcPr>
            <w:tcW w:w="1417" w:type="dxa"/>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Times New Roman" w:hAnsi="Times New Roman" w:eastAsia="宋体" w:cs="Times New Roman"/>
                <w:b/>
                <w:bCs/>
                <w:color w:val="000000"/>
                <w:kern w:val="0"/>
                <w:sz w:val="22"/>
              </w:rPr>
              <w:t>74</w:t>
            </w:r>
          </w:p>
        </w:tc>
        <w:tc>
          <w:tcPr>
            <w:tcW w:w="1701"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8</w:t>
            </w:r>
          </w:p>
        </w:tc>
        <w:tc>
          <w:tcPr>
            <w:tcW w:w="1418"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59</w:t>
            </w:r>
          </w:p>
        </w:tc>
        <w:tc>
          <w:tcPr>
            <w:tcW w:w="1134" w:type="dxa"/>
            <w:vAlign w:val="center"/>
          </w:tcPr>
          <w:p>
            <w:pPr>
              <w:widowControl/>
              <w:jc w:val="center"/>
              <w:rPr>
                <w:rFonts w:ascii="Times New Roman" w:hAnsi="Times New Roman" w:eastAsia="宋体" w:cs="Times New Roman"/>
                <w:b/>
                <w:color w:val="000000"/>
                <w:kern w:val="0"/>
                <w:sz w:val="22"/>
              </w:rPr>
            </w:pPr>
            <w:r>
              <w:rPr>
                <w:rFonts w:hint="eastAsia" w:ascii="Times New Roman" w:hAnsi="Times New Roman" w:eastAsia="宋体" w:cs="Times New Roman"/>
                <w:b/>
                <w:color w:val="000000"/>
                <w:kern w:val="0"/>
                <w:sz w:val="22"/>
              </w:rPr>
              <w:t>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茨竹镇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24</w:t>
            </w:r>
          </w:p>
        </w:tc>
        <w:tc>
          <w:tcPr>
            <w:tcW w:w="1701" w:type="dxa"/>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p>
        </w:tc>
        <w:tc>
          <w:tcPr>
            <w:tcW w:w="1418" w:type="dxa"/>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6</w:t>
            </w:r>
          </w:p>
        </w:tc>
        <w:tc>
          <w:tcPr>
            <w:tcW w:w="1134" w:type="dxa"/>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华蓥山林场</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13</w:t>
            </w:r>
          </w:p>
        </w:tc>
        <w:tc>
          <w:tcPr>
            <w:tcW w:w="1134"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木耳镇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0</w:t>
            </w:r>
          </w:p>
        </w:tc>
        <w:tc>
          <w:tcPr>
            <w:tcW w:w="1701"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w:t>
            </w: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8</w:t>
            </w:r>
          </w:p>
        </w:tc>
        <w:tc>
          <w:tcPr>
            <w:tcW w:w="1134" w:type="dxa"/>
            <w:vAlign w:val="center"/>
          </w:tcPr>
          <w:p>
            <w:pPr>
              <w:widowControl/>
              <w:jc w:val="center"/>
              <w:rPr>
                <w:rFonts w:ascii="Times New Roman" w:hAnsi="Times New Roman" w:eastAsia="宋体" w:cs="Times New Roman"/>
                <w:color w:val="000000"/>
                <w:kern w:val="0"/>
                <w:sz w:val="2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993" w:type="dxa"/>
            <w:vMerge w:val="continue"/>
            <w:vAlign w:val="center"/>
          </w:tcPr>
          <w:p>
            <w:pPr>
              <w:widowControl/>
              <w:ind w:firstLine="220" w:firstLineChars="100"/>
              <w:jc w:val="center"/>
              <w:rPr>
                <w:rFonts w:ascii="Times New Roman" w:hAnsi="Times New Roman" w:eastAsia="宋体" w:cs="Times New Roman"/>
                <w:color w:val="000000"/>
                <w:kern w:val="0"/>
                <w:sz w:val="22"/>
              </w:rPr>
            </w:pPr>
          </w:p>
        </w:tc>
        <w:tc>
          <w:tcPr>
            <w:tcW w:w="2552" w:type="dxa"/>
            <w:shd w:val="clear" w:color="auto" w:fill="auto"/>
            <w:noWrap/>
            <w:vAlign w:val="center"/>
          </w:tcPr>
          <w:p>
            <w:pPr>
              <w:widowControl/>
              <w:ind w:firstLine="220" w:firstLineChars="100"/>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兴隆镇</w:t>
            </w:r>
          </w:p>
        </w:tc>
        <w:tc>
          <w:tcPr>
            <w:tcW w:w="1417" w:type="dxa"/>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26</w:t>
            </w:r>
          </w:p>
        </w:tc>
        <w:tc>
          <w:tcPr>
            <w:tcW w:w="1701" w:type="dxa"/>
            <w:vAlign w:val="center"/>
          </w:tcPr>
          <w:p>
            <w:pPr>
              <w:widowControl/>
              <w:jc w:val="center"/>
              <w:rPr>
                <w:rFonts w:ascii="Times New Roman" w:hAnsi="Times New Roman" w:eastAsia="宋体" w:cs="Times New Roman"/>
                <w:color w:val="000000"/>
                <w:kern w:val="0"/>
                <w:sz w:val="22"/>
              </w:rPr>
            </w:pPr>
          </w:p>
        </w:tc>
        <w:tc>
          <w:tcPr>
            <w:tcW w:w="1418"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22</w:t>
            </w:r>
          </w:p>
        </w:tc>
        <w:tc>
          <w:tcPr>
            <w:tcW w:w="1134" w:type="dxa"/>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r>
    </w:tbl>
    <w:p>
      <w:pPr>
        <w:pStyle w:val="2"/>
        <w:jc w:val="center"/>
        <w:rPr>
          <w:rFonts w:cs="Times New Roman" w:asciiTheme="majorEastAsia" w:hAnsiTheme="majorEastAsia" w:eastAsiaTheme="majorEastAsia"/>
          <w:b/>
          <w:sz w:val="21"/>
          <w:szCs w:val="21"/>
        </w:rPr>
      </w:pPr>
      <w:r>
        <w:rPr>
          <w:rFonts w:hint="eastAsia" w:ascii="Times New Roman" w:hAnsi="Times New Roman" w:cs="Times New Roman"/>
          <w:b/>
          <w:sz w:val="21"/>
          <w:szCs w:val="21"/>
        </w:rPr>
        <w:t xml:space="preserve">表5-2 </w:t>
      </w:r>
      <w:r>
        <w:rPr>
          <w:rFonts w:hint="eastAsia" w:cs="Times New Roman" w:asciiTheme="majorEastAsia" w:hAnsiTheme="majorEastAsia" w:eastAsiaTheme="majorEastAsia"/>
          <w:b/>
          <w:sz w:val="21"/>
          <w:szCs w:val="21"/>
        </w:rPr>
        <w:t>渝北区森林消防水箱建设分布点位设计表</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单位：立方米、平方米、米</w:t>
      </w:r>
    </w:p>
    <w:tbl>
      <w:tblPr>
        <w:tblStyle w:val="14"/>
        <w:tblW w:w="5407" w:type="pct"/>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921"/>
        <w:gridCol w:w="921"/>
        <w:gridCol w:w="921"/>
        <w:gridCol w:w="921"/>
        <w:gridCol w:w="922"/>
        <w:gridCol w:w="922"/>
        <w:gridCol w:w="922"/>
        <w:gridCol w:w="922"/>
        <w:gridCol w:w="922"/>
        <w:gridCol w:w="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751" w:hRule="exact"/>
          <w:tblHeader/>
        </w:trPr>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镇/街道/林场</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村</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编号</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小地名</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中心点横坐标</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中心点纵坐标</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蓄水量</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规格</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占地面积</w:t>
            </w:r>
          </w:p>
        </w:tc>
        <w:tc>
          <w:tcPr>
            <w:tcW w:w="460" w:type="pct"/>
            <w:shd w:val="clear" w:color="auto" w:fill="auto"/>
            <w:noWrap/>
            <w:vAlign w:val="center"/>
          </w:tcPr>
          <w:p>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距道路距离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花六村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雷公堡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106.693557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30.042366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花六村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土地坡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106.703878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30.056046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李家湾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106.655544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30.083760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万灵寺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106.661525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30.084666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上湾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106.661596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30.092271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莲花坝</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106.651764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30.086528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五里坡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106.671834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30.094977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曹家山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106.675003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30.101108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桥亭子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106.680135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30.100139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106.679880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30.079143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106.681654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30.107637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高粱坡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106.668817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30.087854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无底洞</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106.669028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30.110379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杉树屋基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106.686763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30.098796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瓮缸子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106.687114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30.090835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碓窝趟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106.688033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30.106570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麻柳树屋基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106.693312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30.088422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秦家村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寒坡岭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106.669375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30.036773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秦家村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陡梯子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106.673964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30.042248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秦家村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桐子堡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106.676589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30.056291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秦家村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106.683942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30.071537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秦家村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桥子湾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106.702883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30.061044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自力村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十字岚垭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106.678372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30.016693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茨竹镇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自力村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水钢屋脊</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106.683071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30.035034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菊花坝村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合家岭杠</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106.939248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29.912085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菊花坝村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磨坊嘴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106.951620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29.931680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菊花坝村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白腊厂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106.968964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29.921048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隆盛村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曾家湾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106.915686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29.833231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天险洞村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3社松柏居</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106.939832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29.868247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天险洞村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2社停车场坝</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106.941258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29.883077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天险洞村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磨盘咀</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106.935356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29.907163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天险洞村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狮子垭口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106.953923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29.906505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天险洞村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云龟山石林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106.954812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29.898575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鱼塘村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尖堡顶</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106.936153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29.899384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建兴村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鬼打湾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106.815475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29.930708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金安村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鱼塘湾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106.835100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29.978637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杉树村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深水沟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106.829410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29.938682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杉树村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分水池</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106.835620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29.974542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2社三元桥</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106.841582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30.038358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张家山水厂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106.847015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30.008301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胡家山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106.842314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30.003228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老龙堡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106.847274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30.024746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1社三元桥</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106.852267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30.037542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杀牛湾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106.856812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30.004417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院守起</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106.857020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29.982566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学校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106.858607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30.000097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陡梯子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106.851834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30.013737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菜子村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金竹林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106.740743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29.777174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菜子村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斑竹林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106.748020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29.785818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菜子村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瓦厂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106.749746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29.792303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希望村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白鹤嘴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106.760798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29.819729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希望村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砖房子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106.763636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29.810478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洞子沟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106.795642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29.855289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古路镇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银花村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106.735815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29.771130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朝阳寺管护站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干田</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106.680113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30.027423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朝阳寺管护站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陡梯子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106.688360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30.042194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朝阳寺管护站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白沙石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106.683828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30.040188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朝阳寺管护站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五台山顶</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106.694768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30.053484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朝阳寺管护站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三碗水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106.707105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30.063043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大庵管护站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大长沟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106.672612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30.119061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大庵管护站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小长沟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106.681136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30.118208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大庵管护站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广安界</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106.688507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30.126291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寨子山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106.587698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29.818037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石脚盆</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106.649328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29.869284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红岩洞</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106.661013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29.881927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三十井</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106.662672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29.890160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106.663921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29.895470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华蓥山林场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印盒屋基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106.670180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29.938355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璧山村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土石坝</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106.751699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29.728131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洞口村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血摊子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106.840936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29.685483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洞口村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雷家坡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106.834759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29.673768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高笋村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老龙岗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106.723078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29.678804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高笋村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油房湾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106.737881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29.707727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顺田湾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106.843938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29.673269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夏家趟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106.849145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29.685668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白家垭口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106.854212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29.681862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中长沟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106.857563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29.695755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106.851067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29.664621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墓叶档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106.862289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29.713161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哨鸡荡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106.870886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29.701492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排花洞村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石堰槽</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106.874111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29.720754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龙兴镇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下坝村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白杨湾对面</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106.845075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29.692654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宝华村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刺竹沟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106.879782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29.700761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宝华村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张家沟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106.883123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29.705458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宝华村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左家湾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106.893894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29.719965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蒙子岚垭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106.917821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29.809962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画马石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106.924684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29.844609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水口坡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106.930401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29.818773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麻果湾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106.930427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29.826631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空房子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106.933280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29.832595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杨家槽矿山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106.937953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29.824581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游尊州屋后</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106.937998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29.839363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大天池村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杨家槽上湾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106.938335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29.831248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箭沱村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白杨湾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106.864355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29.662082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箭沱村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窑罐厂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106.865885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29.672595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箭沱村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李家湾付开贵屋脚</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106.869693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29.678223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鸡场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106.906245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29.795769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枣夹湾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106.911368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29.779583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后槽</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106.914037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29.792324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坟湾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106.919497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29.780493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毛叉垭口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106.924949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29.786818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扁山碎石场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106.930373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29.800722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老君山村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游家沟垭口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106.918796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29.801814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沙湾村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沙湾小聚</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106.908965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29.747202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沙湾村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龙洞湾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106.924155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29.776623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水溶洞村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新槽功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106.912325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29.770998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太洪岗村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陈家沟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106.873973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29.687083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太洪岗村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大堰沟煤厂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106.878427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29.696850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茶叶消</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106.886924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29.730596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新石水厂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106.897583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29.728403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菜籽沟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106.900598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29.734446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新石村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赵家窑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106.905452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29.741366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砖房村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岩脚沟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106.930505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29.785469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洛碛镇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砖房村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金银坡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106.937240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29.798584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张定忠来垭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106.596853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29.815920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董延明</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106.605895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29.811417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黄家来垭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106.611760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29.819797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良桥村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眼子来垭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106.664789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29.857317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良桥村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119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凉风堡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106.671602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29.869577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醪糟坪</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106.608322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29.833898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盛家沟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106.626124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29.827011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小湾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106.629857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29.835719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青龙山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106.633047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29.841916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木耳镇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松树堡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106.634173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29.826047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碗厂沟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106.893066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29.779283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木草坪</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106.897971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29.797494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陡梯子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106.902722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29.802239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胆沟村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果园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106.878176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29.756932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关兴村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城堡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106.762412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29.780775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关兴村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1期经果林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106.772569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29.790697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河水村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黄金坪</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106.781782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29.771457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河水村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黄水坡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106.768468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29.757743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民主村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果园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106.906744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29.812622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民主村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紫薇基地</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106.908893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29.825925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胜天村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半坡湾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106.861945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29.731191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战旗村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窑灌厂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106.800592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29.798969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战旗村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果汁厂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106.819962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29.805520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东泉管护站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猫儿岚垭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106.793980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29.846035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金安管护站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139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谭土湾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106.813597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29.901730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金安管护站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张家山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106.848541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30.009347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东泉管护站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山合山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106.832127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29.857008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东泉管护站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二宝顶</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106.796422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29.858587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东泉管护站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洞子沟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106.797560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29.853768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隆仁管护站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火炉池</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106.923609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29.824846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合理村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106.841068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29.871410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河坝村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马家湾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106.829083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29.837645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龙湾村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乌龟石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106.835433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29.914516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前锋村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小丫口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106.797966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29.828908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前锋村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149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陶家湾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106.805851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29.851074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前锋村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官房子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106.807886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29.823788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前锋村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加担湾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106.809078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29.857669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李家山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106.797030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29.861799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中门洞</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106.802897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29.887993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兴发村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二岔河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106.805710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29.896925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御临村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大坝子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106.821422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29.846512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裕华村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中长湾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106.810508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29.874893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中和村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刘家湾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106.817574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29.823953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4*5*3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骆塘村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假堰塘</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106.788565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29.887888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统景镇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骆塘村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柏树岚垭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106.791340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29.889939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王家街道</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苟溪桥村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松树堡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106.709425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29.721051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王家街道</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苟溪桥村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双涵洞</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106.710592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29.724272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王家街道</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苟溪桥村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工农煤厂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106.719754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29.742704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王家街道</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苟溪桥村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麻山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106.718097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29.737608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杜家村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洞子沟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106.684497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29.909690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杜家村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付家栏垭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106.696901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29.918552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杜家村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尖山子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106.709053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29.911468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杜家村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大树湾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106.701698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29.913732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魔芋口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106.670700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29.889879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169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湾里头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106.671654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29.896518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伍家院子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106.674807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29.874718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庹云绿</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106.674697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29.900352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田家山临界</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106.675968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29.906536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黄茅沟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106.676594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29.895686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铁厂沟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106.678213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29.901248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106.678460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29.912956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黄葛村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李子园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106.680507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29.907096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湾里头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106.699051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29.934917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猴子岚垭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106.699993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29.950891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179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后河沟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106.700785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29.956523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大院子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106.705713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29.946427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电场坡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106.709996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29.939159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龙平村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皮家屋基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106.712822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29.953296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张家院子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106.674915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29.921133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黑河沟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106.681057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29.940229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垮湾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106.686384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29.948039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一颗田</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106.686609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29.929659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对喔石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106.683989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29.924031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杉树湾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106.691671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29.941703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兴隆镇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南天门村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189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何凤英屋后</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106.685598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29.937666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和尚山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106.693808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29.645642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龙门步道下口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106.697835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29.669141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老鹰岩</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106.699445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29.657523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千子坟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106.707398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29.652197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千草林</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106.715870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29.679102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黑石头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106.736555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29.716840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黄桷湾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106.756957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29.735975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磨盘山中嘴</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106.727430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29.755620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石灰垭口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106.754287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29.773469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199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华颈坡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106.791645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29.788598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上山王庙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106.796434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29.801292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石船管护站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下湾</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106.797120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29.791037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峰顶寺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106.878928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29.741702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干坝子</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106.900197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29.784395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大淌垭口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106.907050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29.788280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石灰厂</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106.914999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29.762156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刘家寺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106.898842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29.751005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凼凼石</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106.919673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29.769765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玉峰山林场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张关管护站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白家坡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106.920208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29.765010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209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花儿坪</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106.714207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29.705952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长岚垭</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106.717658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29.721526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旱土村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211</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天竺山</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106.733099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29.713108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柳家坡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106.691849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29.662528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大坡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106.695664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29.684134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龙门村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垭口</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106.697903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29.700972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香溪村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215</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搅拌站</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106.686202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29.642080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香溪村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216</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半坡</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106.688978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29.653750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217</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茶园坟包点</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106.696845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29.639503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120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5*8*3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54</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218</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永福寺</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106.709730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29.681810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40" w:hRule="exact"/>
          <w:tblHeader/>
        </w:trPr>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玉峰山镇</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玉峰村</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219</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徐家沟</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106.720433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 xml:space="preserve">29.663574 </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90</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5*6*3</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42</w:t>
            </w:r>
          </w:p>
        </w:tc>
        <w:tc>
          <w:tcPr>
            <w:tcW w:w="460" w:type="pct"/>
            <w:shd w:val="clear" w:color="auto" w:fill="auto"/>
            <w:noWrap/>
            <w:vAlign w:val="center"/>
          </w:tcPr>
          <w:p>
            <w:pPr>
              <w:widowControl/>
              <w:jc w:val="center"/>
              <w:rPr>
                <w:rFonts w:ascii="Times New Roman" w:hAnsi="Times New Roman" w:eastAsia="宋体" w:cs="Times New Roman"/>
                <w:bCs/>
                <w:color w:val="000000"/>
                <w:kern w:val="0"/>
                <w:sz w:val="20"/>
                <w:szCs w:val="20"/>
              </w:rPr>
            </w:pPr>
            <w:r>
              <w:rPr>
                <w:rFonts w:ascii="Times New Roman" w:hAnsi="Times New Roman" w:eastAsia="宋体" w:cs="Times New Roman"/>
                <w:bCs/>
                <w:color w:val="000000"/>
                <w:kern w:val="0"/>
                <w:sz w:val="20"/>
                <w:szCs w:val="20"/>
              </w:rPr>
              <w:t>5</w:t>
            </w:r>
          </w:p>
        </w:tc>
      </w:tr>
    </w:tbl>
    <w:p>
      <w:pPr>
        <w:pStyle w:val="2"/>
        <w:jc w:val="right"/>
        <w:rPr>
          <w:rFonts w:ascii="Times New Roman" w:hAnsi="Times New Roman" w:cs="Times New Roman" w:eastAsiaTheme="majorEastAsia"/>
          <w:b/>
          <w:sz w:val="21"/>
          <w:szCs w:val="21"/>
        </w:rPr>
      </w:pPr>
    </w:p>
    <w:p>
      <w:pPr>
        <w:pStyle w:val="4"/>
        <w:spacing w:line="500" w:lineRule="exact"/>
        <w:rPr>
          <w:rFonts w:ascii="Times New Roman" w:hAnsi="Times New Roman" w:cs="Times New Roman"/>
          <w:sz w:val="30"/>
          <w:szCs w:val="30"/>
        </w:rPr>
      </w:pPr>
      <w:bookmarkStart w:id="99" w:name="_Toc126075391"/>
      <w:r>
        <w:rPr>
          <w:rFonts w:hint="eastAsia" w:ascii="Times New Roman" w:hAnsi="Times New Roman" w:cs="Times New Roman"/>
          <w:sz w:val="30"/>
          <w:szCs w:val="30"/>
        </w:rPr>
        <w:t>5.2 森林消防水箱设计</w:t>
      </w:r>
      <w:bookmarkEnd w:id="9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森林消防水箱共设计219个，其中60立方米森林消防水箱26个，90立方米森林消防水箱181个，120立方米森林消防水箱12个，总蓄水量19290立方米。</w:t>
      </w:r>
    </w:p>
    <w:p>
      <w:pPr>
        <w:pStyle w:val="5"/>
        <w:spacing w:line="500" w:lineRule="exact"/>
        <w:ind w:firstLine="562" w:firstLineChars="200"/>
        <w:rPr>
          <w:rFonts w:ascii="Times New Roman" w:hAnsi="Times New Roman" w:cs="Times New Roman"/>
          <w:sz w:val="28"/>
          <w:szCs w:val="28"/>
        </w:rPr>
      </w:pPr>
      <w:bookmarkStart w:id="100" w:name="_Toc123041856"/>
      <w:bookmarkStart w:id="101" w:name="_Toc122955617"/>
      <w:bookmarkStart w:id="102" w:name="_Toc122971954"/>
      <w:bookmarkStart w:id="103" w:name="_Toc124614736"/>
      <w:bookmarkStart w:id="104" w:name="_Toc126075392"/>
      <w:r>
        <w:rPr>
          <w:rFonts w:hint="eastAsia" w:ascii="Times New Roman" w:hAnsi="Times New Roman" w:cs="Times New Roman"/>
          <w:sz w:val="28"/>
          <w:szCs w:val="28"/>
        </w:rPr>
        <w:t>5.2.1水箱基座设计</w:t>
      </w:r>
      <w:bookmarkEnd w:id="100"/>
      <w:bookmarkEnd w:id="101"/>
      <w:bookmarkEnd w:id="102"/>
      <w:bookmarkEnd w:id="103"/>
      <w:bookmarkEnd w:id="104"/>
    </w:p>
    <w:p>
      <w:pPr>
        <w:spacing w:line="600" w:lineRule="exact"/>
        <w:ind w:firstLine="420" w:firstLineChars="200"/>
        <w:rPr>
          <w:rFonts w:ascii="Times New Roman" w:hAnsi="Times New Roman" w:cs="Times New Roman"/>
          <w:sz w:val="28"/>
          <w:szCs w:val="28"/>
        </w:rPr>
      </w:pPr>
      <w:r>
        <w:rPr>
          <w:rFonts w:hint="eastAsia"/>
        </w:rPr>
        <w:t xml:space="preserve">  </w:t>
      </w:r>
      <w:r>
        <w:rPr>
          <w:rFonts w:hint="eastAsia" w:ascii="Times New Roman" w:hAnsi="Times New Roman" w:cs="Times New Roman"/>
          <w:sz w:val="28"/>
          <w:szCs w:val="28"/>
        </w:rPr>
        <w:t xml:space="preserve"> 森林消防水箱基座使用C30钢筋混凝土进行平板浇筑，水平误差不大于0.5%，基座基础布满钢筋，具体为8@200（钢筋直径为8mm，间距为200mm），水箱基座尺寸为6（米）×5（米）×15（厘米）、7（米）×6（米）×20（厘米）、9（米）×6（米）×25（厘米）。详见附图。</w:t>
      </w:r>
    </w:p>
    <w:p>
      <w:pPr>
        <w:pStyle w:val="5"/>
        <w:spacing w:line="500" w:lineRule="exact"/>
        <w:ind w:firstLine="562" w:firstLineChars="200"/>
        <w:rPr>
          <w:rFonts w:ascii="Times New Roman" w:hAnsi="Times New Roman" w:cs="Times New Roman"/>
          <w:sz w:val="28"/>
          <w:szCs w:val="28"/>
        </w:rPr>
      </w:pPr>
      <w:bookmarkStart w:id="105" w:name="_Toc123041857"/>
      <w:bookmarkStart w:id="106" w:name="_Toc124614737"/>
      <w:bookmarkStart w:id="107" w:name="_Toc122971955"/>
      <w:bookmarkStart w:id="108" w:name="_Toc126075393"/>
      <w:bookmarkStart w:id="109" w:name="_Toc122955618"/>
      <w:r>
        <w:rPr>
          <w:rFonts w:hint="eastAsia" w:ascii="Times New Roman" w:hAnsi="Times New Roman" w:cs="Times New Roman"/>
          <w:sz w:val="28"/>
          <w:szCs w:val="28"/>
        </w:rPr>
        <w:t>5.2.2水箱箱体设计</w:t>
      </w:r>
      <w:bookmarkEnd w:id="105"/>
      <w:bookmarkEnd w:id="106"/>
      <w:bookmarkEnd w:id="107"/>
      <w:bookmarkEnd w:id="108"/>
      <w:bookmarkEnd w:id="109"/>
    </w:p>
    <w:p>
      <w:pPr>
        <w:spacing w:line="600" w:lineRule="exact"/>
        <w:ind w:firstLine="562" w:firstLineChars="200"/>
        <w:rPr>
          <w:rFonts w:ascii="Times New Roman" w:hAnsi="Times New Roman" w:cs="Times New Roman"/>
          <w:sz w:val="28"/>
          <w:szCs w:val="28"/>
        </w:rPr>
      </w:pPr>
      <w:r>
        <w:rPr>
          <w:rFonts w:hint="eastAsia" w:ascii="Times New Roman" w:hAnsi="Times New Roman" w:cs="Times New Roman"/>
          <w:b/>
          <w:sz w:val="28"/>
          <w:szCs w:val="28"/>
        </w:rPr>
        <w:t>1.水箱材质：</w:t>
      </w:r>
      <w:r>
        <w:rPr>
          <w:rFonts w:hint="eastAsia" w:ascii="Times New Roman" w:hAnsi="Times New Roman" w:cs="Times New Roman"/>
          <w:sz w:val="28"/>
          <w:szCs w:val="28"/>
        </w:rPr>
        <w:t>水箱箱体板材采用食品级不锈钢板</w:t>
      </w:r>
      <w:r>
        <w:rPr>
          <w:rFonts w:ascii="Times New Roman" w:hAnsi="Times New Roman" w:cs="Times New Roman"/>
          <w:sz w:val="28"/>
          <w:szCs w:val="28"/>
        </w:rPr>
        <w:t>SUS304</w:t>
      </w:r>
      <w:r>
        <w:rPr>
          <w:rFonts w:hint="eastAsia" w:ascii="Times New Roman" w:hAnsi="Times New Roman" w:cs="Times New Roman"/>
          <w:sz w:val="28"/>
          <w:szCs w:val="28"/>
        </w:rPr>
        <w:t>，箱体包括底板、顶板、侧板1、侧板2和侧板3，底板和顶板为平板，侧板为凹凸板，板材规格为1（米）×1（米）。</w:t>
      </w:r>
    </w:p>
    <w:p>
      <w:pPr>
        <w:pStyle w:val="2"/>
      </w:pPr>
    </w:p>
    <w:p>
      <w:pPr>
        <w:pStyle w:val="2"/>
      </w:pPr>
    </w:p>
    <w:p>
      <w:pPr>
        <w:spacing w:line="600" w:lineRule="exact"/>
        <w:ind w:firstLine="562" w:firstLineChars="200"/>
        <w:rPr>
          <w:rFonts w:ascii="Times New Roman" w:hAnsi="Times New Roman" w:cs="Times New Roman"/>
          <w:sz w:val="28"/>
          <w:szCs w:val="28"/>
        </w:rPr>
      </w:pPr>
      <w:r>
        <w:rPr>
          <w:rFonts w:hint="eastAsia" w:ascii="Times New Roman" w:hAnsi="Times New Roman" w:cs="Times New Roman"/>
          <w:b/>
          <w:sz w:val="28"/>
          <w:szCs w:val="28"/>
        </w:rPr>
        <w:t>2.主要构成：</w:t>
      </w:r>
      <w:r>
        <w:rPr>
          <w:rFonts w:hint="eastAsia" w:ascii="Times New Roman" w:hAnsi="Times New Roman" w:cs="Times New Roman"/>
          <w:sz w:val="28"/>
          <w:szCs w:val="28"/>
        </w:rPr>
        <w:t>水箱应包括进出水口、排污口、溢流口、内外爬梯、检修人孔、不锈钢工具箱、物联网水位仪</w:t>
      </w:r>
      <w:r>
        <w:rPr>
          <w:rFonts w:ascii="Times New Roman" w:hAnsi="Times New Roman" w:cs="Times New Roman"/>
          <w:sz w:val="28"/>
          <w:szCs w:val="28"/>
        </w:rPr>
        <w:t>、</w:t>
      </w:r>
      <w:r>
        <w:rPr>
          <w:rFonts w:hint="eastAsia" w:ascii="Times New Roman" w:hAnsi="Times New Roman" w:cs="Times New Roman"/>
          <w:sz w:val="28"/>
          <w:szCs w:val="28"/>
        </w:rPr>
        <w:t>箱内拉筋、立柱、消防水箱铭牌。</w:t>
      </w:r>
      <w:r>
        <w:rPr>
          <w:rFonts w:ascii="Times New Roman" w:hAnsi="Times New Roman" w:cs="Times New Roman"/>
          <w:sz w:val="28"/>
          <w:szCs w:val="28"/>
        </w:rPr>
        <w:t>水箱要求无渗漏，有防止满水变形的加固措施，水箱人孔内盖板采用带锁防水防臭密封盖板，并经高强度冲压。符合生活水箱国家现行相关卫生检验标准，不生锈，不长青苔，不漏水、安全稳固。水箱箱体安装</w:t>
      </w:r>
      <w:r>
        <w:rPr>
          <w:rFonts w:hint="eastAsia" w:ascii="Times New Roman" w:hAnsi="Times New Roman" w:cs="Times New Roman"/>
          <w:sz w:val="28"/>
          <w:szCs w:val="28"/>
        </w:rPr>
        <w:t>、</w:t>
      </w:r>
      <w:r>
        <w:rPr>
          <w:rFonts w:ascii="Times New Roman" w:hAnsi="Times New Roman" w:cs="Times New Roman"/>
          <w:sz w:val="28"/>
          <w:szCs w:val="28"/>
        </w:rPr>
        <w:t>焊接均需现场完成</w:t>
      </w:r>
      <w:r>
        <w:rPr>
          <w:rFonts w:hint="eastAsia" w:ascii="Times New Roman" w:hAnsi="Times New Roman" w:cs="Times New Roman"/>
          <w:sz w:val="28"/>
          <w:szCs w:val="28"/>
        </w:rPr>
        <w:t>，相关</w:t>
      </w:r>
      <w:r>
        <w:rPr>
          <w:rFonts w:ascii="Times New Roman" w:hAnsi="Times New Roman" w:cs="Times New Roman"/>
          <w:sz w:val="28"/>
          <w:szCs w:val="28"/>
        </w:rPr>
        <w:t>工艺均需符合《12S101矩形给水箱》</w:t>
      </w:r>
      <w:r>
        <w:rPr>
          <w:rFonts w:hint="eastAsia" w:ascii="Times New Roman" w:hAnsi="Times New Roman" w:cs="Times New Roman"/>
          <w:sz w:val="28"/>
          <w:szCs w:val="28"/>
        </w:rPr>
        <w:t>、</w:t>
      </w:r>
      <w:r>
        <w:rPr>
          <w:rFonts w:ascii="Times New Roman" w:hAnsi="Times New Roman" w:cs="Times New Roman"/>
          <w:sz w:val="28"/>
          <w:szCs w:val="28"/>
        </w:rPr>
        <w:t>《GB/T3280-2015不锈钢冷轧钢板及钢带》</w:t>
      </w:r>
      <w:r>
        <w:rPr>
          <w:rFonts w:hint="eastAsia" w:ascii="Times New Roman" w:hAnsi="Times New Roman" w:cs="Times New Roman"/>
          <w:sz w:val="28"/>
          <w:szCs w:val="28"/>
        </w:rPr>
        <w:t>、</w:t>
      </w:r>
      <w:r>
        <w:rPr>
          <w:rFonts w:ascii="Times New Roman" w:hAnsi="Times New Roman" w:cs="Times New Roman"/>
          <w:sz w:val="28"/>
          <w:szCs w:val="28"/>
        </w:rPr>
        <w:t>《QB-CNCEC J221010-2006不锈钢焊接施工工艺标准》</w:t>
      </w:r>
      <w:r>
        <w:rPr>
          <w:rFonts w:hint="eastAsia" w:ascii="Times New Roman" w:hAnsi="Times New Roman" w:cs="Times New Roman"/>
          <w:sz w:val="28"/>
          <w:szCs w:val="28"/>
        </w:rPr>
        <w:t>等</w:t>
      </w:r>
      <w:r>
        <w:rPr>
          <w:rFonts w:ascii="Times New Roman" w:hAnsi="Times New Roman" w:cs="Times New Roman"/>
          <w:sz w:val="28"/>
          <w:szCs w:val="28"/>
        </w:rPr>
        <w:t>规定</w:t>
      </w:r>
      <w:r>
        <w:rPr>
          <w:rFonts w:hint="eastAsia" w:ascii="Times New Roman" w:hAnsi="Times New Roman" w:cs="Times New Roman"/>
          <w:sz w:val="28"/>
          <w:szCs w:val="28"/>
        </w:rPr>
        <w:t>。</w:t>
      </w:r>
    </w:p>
    <w:p>
      <w:pPr>
        <w:pStyle w:val="2"/>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 xml:space="preserve">     物联网水位仪主要采用4G网络传输实时监测水位信号，供电方式主要依靠太阳板供电，整套设备需防水、防潮，水位探头量程应大于米，整根探头长度应大于4米。</w:t>
      </w:r>
    </w:p>
    <w:p>
      <w:pPr>
        <w:spacing w:line="600" w:lineRule="exact"/>
        <w:ind w:firstLine="562" w:firstLineChars="200"/>
        <w:rPr>
          <w:rFonts w:ascii="Times New Roman" w:hAnsi="Times New Roman" w:cs="Times New Roman"/>
          <w:sz w:val="28"/>
          <w:szCs w:val="28"/>
        </w:rPr>
      </w:pPr>
      <w:r>
        <w:rPr>
          <w:rFonts w:hint="eastAsia" w:ascii="Times New Roman" w:hAnsi="Times New Roman" w:cs="Times New Roman"/>
          <w:b/>
          <w:sz w:val="28"/>
          <w:szCs w:val="28"/>
        </w:rPr>
        <w:t>3.水箱配件：</w:t>
      </w:r>
      <w:r>
        <w:rPr>
          <w:rFonts w:hint="eastAsia" w:ascii="Times New Roman" w:hAnsi="Times New Roman" w:cs="Times New Roman"/>
          <w:sz w:val="28"/>
          <w:szCs w:val="28"/>
        </w:rPr>
        <w:t>水箱取水口采用带锁DN50不锈钢二片式球阀，出水口配备森林消防水泵专用接扣（DN50转60快速接扣1个，DN50转40快速接扣一个），水箱侧面带有1（米）×1（米）×0.2（米）304不锈钢工具箱。出水口配备带锁阀门，确保不漏水，锁具口径应保持一致，与已建森林消防水箱锁具和型号保持一致。配森林消防高压双层水带：引水管长度为2米、工作压力≥3mpa、爆破压力≥9mpa、轴向延伸率≤3%、直径膨胀率≤2%；耐真空度：内径径向收缩率≤5%，轴向收缩率2%，单位长度质量(g/m)≤520，两端接口为快速接口，采用铝环压接技术连接，须提供国家消防质量监督检验中心检验报告。</w:t>
      </w:r>
    </w:p>
    <w:p>
      <w:pPr>
        <w:spacing w:line="600" w:lineRule="exact"/>
        <w:ind w:firstLine="562" w:firstLineChars="200"/>
        <w:rPr>
          <w:rFonts w:ascii="Times New Roman" w:hAnsi="Times New Roman" w:cs="Times New Roman"/>
          <w:sz w:val="28"/>
          <w:szCs w:val="28"/>
        </w:rPr>
      </w:pPr>
      <w:r>
        <w:rPr>
          <w:rFonts w:hint="eastAsia" w:ascii="Times New Roman" w:hAnsi="Times New Roman" w:cs="Times New Roman"/>
          <w:b/>
          <w:sz w:val="28"/>
          <w:szCs w:val="28"/>
        </w:rPr>
        <w:t>4.其他：</w:t>
      </w:r>
      <w:r>
        <w:rPr>
          <w:rFonts w:hint="eastAsia" w:ascii="Times New Roman" w:hAnsi="Times New Roman" w:cs="Times New Roman"/>
          <w:sz w:val="28"/>
          <w:szCs w:val="28"/>
        </w:rPr>
        <w:t>消防水箱铭牌尺寸2（米）×1米，采用彩色印刷，并标注“名称、建设单位、建设日期、主管单位、联系电话”等详细信息，水箱顶部采用迷彩伪装网进行覆盖，同时部分区域设计森林彩绘，主题主要体现“森林防火人人有责”，“</w:t>
      </w:r>
      <w:r>
        <w:rPr>
          <w:rFonts w:hint="eastAsia" w:ascii="Times New Roman" w:hAnsi="Times New Roman" w:cs="Times New Roman"/>
          <w:sz w:val="28"/>
          <w:szCs w:val="28"/>
          <w:lang w:eastAsia="zh-CN"/>
        </w:rPr>
        <w:t>绿水青山就是金山银山</w:t>
      </w:r>
      <w:r>
        <w:rPr>
          <w:rFonts w:hint="eastAsia" w:ascii="Times New Roman" w:hAnsi="Times New Roman" w:cs="Times New Roman"/>
          <w:sz w:val="28"/>
          <w:szCs w:val="28"/>
        </w:rPr>
        <w:t>”等。</w:t>
      </w:r>
    </w:p>
    <w:p>
      <w:pPr>
        <w:pStyle w:val="2"/>
        <w:jc w:val="center"/>
        <w:rPr>
          <w:rFonts w:ascii="Times New Roman" w:hAnsi="Times New Roman" w:cs="Times New Roman"/>
          <w:b/>
          <w:sz w:val="21"/>
          <w:szCs w:val="21"/>
        </w:rPr>
      </w:pPr>
      <w:r>
        <w:rPr>
          <w:rFonts w:hint="eastAsia" w:ascii="Times New Roman" w:hAnsi="Times New Roman" w:cs="Times New Roman"/>
          <w:b/>
          <w:sz w:val="21"/>
          <w:szCs w:val="21"/>
        </w:rPr>
        <w:t xml:space="preserve">表5-3 </w:t>
      </w:r>
      <w:r>
        <w:rPr>
          <w:rFonts w:ascii="Times New Roman" w:hAnsi="Times New Roman" w:cs="Times New Roman"/>
          <w:b/>
          <w:sz w:val="21"/>
          <w:szCs w:val="21"/>
        </w:rPr>
        <w:t xml:space="preserve"> </w:t>
      </w:r>
      <w:r>
        <w:rPr>
          <w:rFonts w:ascii="Times New Roman" w:hAnsi="Times New Roman" w:cs="Times New Roman" w:eastAsiaTheme="majorEastAsia"/>
          <w:b/>
          <w:sz w:val="21"/>
          <w:szCs w:val="21"/>
        </w:rPr>
        <w:t>60立方米森林消防水箱箱体设计清单表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935"/>
        <w:gridCol w:w="1677"/>
        <w:gridCol w:w="719"/>
        <w:gridCol w:w="719"/>
        <w:gridCol w:w="1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序号</w:t>
            </w:r>
          </w:p>
        </w:tc>
        <w:tc>
          <w:tcPr>
            <w:tcW w:w="17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名称</w:t>
            </w:r>
          </w:p>
        </w:tc>
        <w:tc>
          <w:tcPr>
            <w:tcW w:w="984"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规格（毫米）</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单位</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数量</w:t>
            </w:r>
          </w:p>
        </w:tc>
        <w:tc>
          <w:tcPr>
            <w:tcW w:w="1029"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w:t>
            </w:r>
            <w:r>
              <w:rPr>
                <w:rFonts w:hint="eastAsia" w:ascii="Times New Roman" w:hAnsi="Times New Roman" w:eastAsia="等线" w:cs="Times New Roman"/>
                <w:color w:val="000000"/>
                <w:kern w:val="0"/>
                <w:szCs w:val="21"/>
              </w:rPr>
              <w:t>3</w:t>
            </w:r>
            <w:r>
              <w:rPr>
                <w:rFonts w:ascii="Times New Roman" w:hAnsi="Times New Roman" w:eastAsia="等线" w:cs="Times New Roman"/>
                <w:color w:val="000000"/>
                <w:kern w:val="0"/>
                <w:szCs w:val="21"/>
              </w:rPr>
              <w:t>.0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底板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2000×1000×1.0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10</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顶板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侧一层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1000×1000×1.5</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18</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侧二层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1000×1000×1.2</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16</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侧三层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不锈钢角钢</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2100*30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批</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内部拉筋及立柱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内外不锈钢爬梯</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r>
              <w:rPr>
                <w:rFonts w:hint="eastAsia" w:ascii="Times New Roman" w:hAnsi="Times New Roman" w:eastAsia="等线" w:cs="Times New Roman"/>
                <w:color w:val="000000"/>
                <w:kern w:val="0"/>
                <w:szCs w:val="21"/>
              </w:rPr>
              <w:t>000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副</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检修人孔</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500×500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带锁检修人口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进水口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w:t>
            </w:r>
            <w:r>
              <w:rPr>
                <w:rFonts w:hint="eastAsia" w:ascii="Times New Roman" w:hAnsi="Times New Roman" w:eastAsia="等线" w:cs="Times New Roman"/>
                <w:color w:val="000000"/>
                <w:kern w:val="0"/>
                <w:szCs w:val="21"/>
              </w:rPr>
              <w:t>100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出水口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DN50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配置带锁阀门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溢流口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DN20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排污口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DN75</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不锈钢工具箱</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消防水箱铭牌</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1000×2000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物联网</w:t>
            </w:r>
            <w:r>
              <w:rPr>
                <w:rFonts w:hint="eastAsia" w:ascii="Times New Roman" w:hAnsi="Times New Roman" w:eastAsia="宋体" w:cs="Times New Roman"/>
                <w:color w:val="000000"/>
                <w:kern w:val="0"/>
                <w:szCs w:val="21"/>
              </w:rPr>
              <w:t>水位仪</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带锁DN50不锈钢二片式球阀</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森林消防水泵专用接扣</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森林消防水泵聚氨酯吸水管</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米</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消防水带</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卷</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bl>
    <w:p>
      <w:pPr>
        <w:pStyle w:val="2"/>
        <w:jc w:val="center"/>
        <w:rPr>
          <w:rFonts w:ascii="Times New Roman" w:hAnsi="Times New Roman" w:cs="Times New Roman"/>
          <w:b/>
          <w:sz w:val="21"/>
          <w:szCs w:val="21"/>
        </w:rPr>
      </w:pPr>
      <w:r>
        <w:rPr>
          <w:rFonts w:hint="eastAsia" w:ascii="Times New Roman" w:hAnsi="Times New Roman" w:cs="Times New Roman"/>
          <w:b/>
          <w:sz w:val="21"/>
          <w:szCs w:val="21"/>
        </w:rPr>
        <w:t xml:space="preserve">表5-4  </w:t>
      </w:r>
      <w:r>
        <w:rPr>
          <w:rFonts w:ascii="Times New Roman" w:hAnsi="Times New Roman" w:cs="Times New Roman" w:eastAsiaTheme="majorEastAsia"/>
          <w:b/>
          <w:sz w:val="21"/>
          <w:szCs w:val="21"/>
        </w:rPr>
        <w:t>90立方米森林消防水箱箱体设计清单表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935"/>
        <w:gridCol w:w="1677"/>
        <w:gridCol w:w="719"/>
        <w:gridCol w:w="719"/>
        <w:gridCol w:w="1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序号</w:t>
            </w:r>
          </w:p>
        </w:tc>
        <w:tc>
          <w:tcPr>
            <w:tcW w:w="17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名称</w:t>
            </w:r>
          </w:p>
        </w:tc>
        <w:tc>
          <w:tcPr>
            <w:tcW w:w="984"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规格（毫米）</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单位</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数量</w:t>
            </w:r>
          </w:p>
        </w:tc>
        <w:tc>
          <w:tcPr>
            <w:tcW w:w="1029"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2000×1000×2.0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底板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2000×1000×1.0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顶板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侧一层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1000×1000×1.5</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侧二层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1000×1000×1.2</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侧三层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不锈钢角钢</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2100*30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批</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内部拉筋及立柱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内外不锈钢爬梯</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r>
              <w:rPr>
                <w:rFonts w:hint="eastAsia" w:ascii="Times New Roman" w:hAnsi="Times New Roman" w:eastAsia="等线" w:cs="Times New Roman"/>
                <w:color w:val="000000"/>
                <w:kern w:val="0"/>
                <w:szCs w:val="21"/>
              </w:rPr>
              <w:t>000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副</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检修人孔</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500×500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带锁检修人口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进水口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DN50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出水口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DN50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配置带锁阀门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溢流口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DN20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排污口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DN75</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不锈钢工具箱</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消防水箱铭牌</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1000×2000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物联网水位仪</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带锁DN50不锈钢二片式球阀</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森林消防水泵专用接扣</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森林消防水泵聚氨酯吸水管</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米</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消防水带</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卷</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w:t>
            </w:r>
          </w:p>
        </w:tc>
        <w:tc>
          <w:tcPr>
            <w:tcW w:w="1029" w:type="pct"/>
            <w:shd w:val="clear" w:color="auto" w:fill="auto"/>
            <w:noWrap/>
            <w:vAlign w:val="bottom"/>
          </w:tcPr>
          <w:p>
            <w:pPr>
              <w:widowControl/>
              <w:jc w:val="left"/>
              <w:rPr>
                <w:rFonts w:ascii="Times New Roman" w:hAnsi="Times New Roman" w:eastAsia="等线" w:cs="Times New Roman"/>
                <w:color w:val="000000"/>
                <w:kern w:val="0"/>
                <w:szCs w:val="21"/>
              </w:rPr>
            </w:pPr>
          </w:p>
        </w:tc>
      </w:tr>
    </w:tbl>
    <w:p>
      <w:pPr>
        <w:pStyle w:val="2"/>
        <w:jc w:val="center"/>
        <w:rPr>
          <w:rFonts w:ascii="Times New Roman" w:hAnsi="Times New Roman" w:cs="Times New Roman"/>
          <w:b/>
          <w:sz w:val="21"/>
          <w:szCs w:val="21"/>
        </w:rPr>
      </w:pPr>
      <w:r>
        <w:rPr>
          <w:rFonts w:hint="eastAsia" w:ascii="Times New Roman" w:hAnsi="Times New Roman" w:cs="Times New Roman"/>
          <w:b/>
          <w:sz w:val="21"/>
          <w:szCs w:val="21"/>
        </w:rPr>
        <w:t xml:space="preserve">表5-5  </w:t>
      </w:r>
      <w:r>
        <w:rPr>
          <w:rFonts w:hint="eastAsia" w:ascii="Times New Roman" w:hAnsi="Times New Roman" w:cs="Times New Roman" w:eastAsiaTheme="majorEastAsia"/>
          <w:b/>
          <w:sz w:val="21"/>
          <w:szCs w:val="21"/>
        </w:rPr>
        <w:t>120</w:t>
      </w:r>
      <w:r>
        <w:rPr>
          <w:rFonts w:ascii="Times New Roman" w:hAnsi="Times New Roman" w:cs="Times New Roman" w:eastAsiaTheme="majorEastAsia"/>
          <w:b/>
          <w:sz w:val="21"/>
          <w:szCs w:val="21"/>
        </w:rPr>
        <w:t>立方米森林消防水箱箱体设计清单表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935"/>
        <w:gridCol w:w="1677"/>
        <w:gridCol w:w="719"/>
        <w:gridCol w:w="719"/>
        <w:gridCol w:w="1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序号</w:t>
            </w:r>
          </w:p>
        </w:tc>
        <w:tc>
          <w:tcPr>
            <w:tcW w:w="17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宋体" w:cs="Times New Roman"/>
                <w:b/>
                <w:color w:val="000000"/>
                <w:kern w:val="0"/>
                <w:szCs w:val="21"/>
              </w:rPr>
              <w:t>名称</w:t>
            </w:r>
          </w:p>
        </w:tc>
        <w:tc>
          <w:tcPr>
            <w:tcW w:w="984"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规格（毫米）</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单位</w:t>
            </w:r>
          </w:p>
        </w:tc>
        <w:tc>
          <w:tcPr>
            <w:tcW w:w="422"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数量</w:t>
            </w:r>
          </w:p>
        </w:tc>
        <w:tc>
          <w:tcPr>
            <w:tcW w:w="1028" w:type="pct"/>
            <w:shd w:val="clear" w:color="auto" w:fill="auto"/>
            <w:noWrap/>
            <w:vAlign w:val="bottom"/>
          </w:tcPr>
          <w:p>
            <w:pPr>
              <w:widowControl/>
              <w:jc w:val="center"/>
              <w:rPr>
                <w:rFonts w:ascii="Times New Roman" w:hAnsi="Times New Roman" w:eastAsia="等线" w:cs="Times New Roman"/>
                <w:b/>
                <w:color w:val="000000"/>
                <w:kern w:val="0"/>
                <w:szCs w:val="21"/>
              </w:rPr>
            </w:pPr>
            <w:r>
              <w:rPr>
                <w:rFonts w:ascii="Times New Roman" w:hAnsi="Times New Roman" w:eastAsia="等线" w:cs="Times New Roman"/>
                <w:b/>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2000×1000×2.0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底板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不锈钢平板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2000×1000×1.0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20</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顶板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侧一层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1000×1000×1.5</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26</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侧二层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不锈钢冲压板</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1000×1000×1.2</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块</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24</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侧三层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304</w:t>
            </w:r>
            <w:r>
              <w:rPr>
                <w:rFonts w:ascii="Times New Roman" w:hAnsi="Times New Roman" w:eastAsia="宋体" w:cs="Times New Roman"/>
                <w:color w:val="000000"/>
                <w:kern w:val="0"/>
                <w:szCs w:val="21"/>
              </w:rPr>
              <w:t>不锈钢角钢</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2100*30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批</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内部拉筋及立柱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内外不锈钢爬梯</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r>
              <w:rPr>
                <w:rFonts w:hint="eastAsia" w:ascii="Times New Roman" w:hAnsi="Times New Roman" w:eastAsia="等线" w:cs="Times New Roman"/>
                <w:color w:val="000000"/>
                <w:kern w:val="0"/>
                <w:szCs w:val="21"/>
              </w:rPr>
              <w:t>000</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副</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检修人孔</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500×500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带锁检修人口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进水口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DN50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出水口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DN50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配置带锁阀门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溢流口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DN20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排污口</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DN75</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不锈钢工具箱</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1000×1000×200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w:t>
            </w:r>
          </w:p>
        </w:tc>
        <w:tc>
          <w:tcPr>
            <w:tcW w:w="17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宋体" w:cs="Times New Roman"/>
                <w:color w:val="000000"/>
                <w:kern w:val="0"/>
                <w:szCs w:val="21"/>
              </w:rPr>
              <w:t>消防水箱铭牌</w:t>
            </w:r>
          </w:p>
        </w:tc>
        <w:tc>
          <w:tcPr>
            <w:tcW w:w="984"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1000×2000</w:t>
            </w:r>
          </w:p>
        </w:tc>
        <w:tc>
          <w:tcPr>
            <w:tcW w:w="4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物联网水位仪</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带锁DN50不锈钢二片式球阀</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28"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森林消防水泵专用接扣</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个</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8"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森林消防水泵聚氨酯吸水管</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米</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28" w:type="pct"/>
            <w:shd w:val="clear" w:color="auto" w:fill="auto"/>
            <w:noWrap/>
            <w:vAlign w:val="bottom"/>
          </w:tcPr>
          <w:p>
            <w:pPr>
              <w:widowControl/>
              <w:jc w:val="left"/>
              <w:rPr>
                <w:rFonts w:ascii="Times New Roman" w:hAnsi="Times New Roman" w:eastAsia="等线"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19</w:t>
            </w:r>
          </w:p>
        </w:tc>
        <w:tc>
          <w:tcPr>
            <w:tcW w:w="1722" w:type="pct"/>
            <w:shd w:val="clear" w:color="auto" w:fill="auto"/>
            <w:noWrap/>
            <w:vAlign w:val="bottom"/>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消防水带</w:t>
            </w:r>
          </w:p>
        </w:tc>
        <w:tc>
          <w:tcPr>
            <w:tcW w:w="984" w:type="pct"/>
            <w:shd w:val="clear" w:color="auto" w:fill="auto"/>
            <w:noWrap/>
            <w:vAlign w:val="bottom"/>
          </w:tcPr>
          <w:p>
            <w:pPr>
              <w:widowControl/>
              <w:jc w:val="left"/>
              <w:rPr>
                <w:rFonts w:ascii="Times New Roman" w:hAnsi="Times New Roman" w:eastAsia="等线" w:cs="Times New Roman"/>
                <w:color w:val="000000"/>
                <w:kern w:val="0"/>
                <w:szCs w:val="21"/>
              </w:rPr>
            </w:pP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卷</w:t>
            </w:r>
          </w:p>
        </w:tc>
        <w:tc>
          <w:tcPr>
            <w:tcW w:w="422" w:type="pct"/>
            <w:shd w:val="clear" w:color="auto" w:fill="auto"/>
            <w:noWrap/>
            <w:vAlign w:val="bottom"/>
          </w:tcPr>
          <w:p>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w:t>
            </w:r>
          </w:p>
        </w:tc>
        <w:tc>
          <w:tcPr>
            <w:tcW w:w="1028" w:type="pct"/>
            <w:shd w:val="clear" w:color="auto" w:fill="auto"/>
            <w:noWrap/>
            <w:vAlign w:val="bottom"/>
          </w:tcPr>
          <w:p>
            <w:pPr>
              <w:widowControl/>
              <w:jc w:val="left"/>
              <w:rPr>
                <w:rFonts w:ascii="Times New Roman" w:hAnsi="Times New Roman" w:eastAsia="等线" w:cs="Times New Roman"/>
                <w:color w:val="000000"/>
                <w:kern w:val="0"/>
                <w:szCs w:val="21"/>
              </w:rPr>
            </w:pPr>
          </w:p>
        </w:tc>
      </w:tr>
    </w:tbl>
    <w:p>
      <w:pPr>
        <w:pStyle w:val="4"/>
        <w:spacing w:line="500" w:lineRule="exact"/>
        <w:rPr>
          <w:rFonts w:ascii="Times New Roman" w:hAnsi="Times New Roman" w:cs="Times New Roman"/>
          <w:sz w:val="30"/>
          <w:szCs w:val="30"/>
        </w:rPr>
      </w:pPr>
      <w:bookmarkStart w:id="110" w:name="_Toc126075394"/>
      <w:r>
        <w:rPr>
          <w:rFonts w:hint="eastAsia" w:ascii="Times New Roman" w:hAnsi="Times New Roman" w:cs="Times New Roman"/>
          <w:sz w:val="30"/>
          <w:szCs w:val="30"/>
        </w:rPr>
        <w:t>5.3 运营期维护设计</w:t>
      </w:r>
      <w:bookmarkEnd w:id="110"/>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水箱在第一次安装完成后，关闭出水管和泄水管，打开进水管，边放水边检查至盛满水，24小时不漏水方为验收合格。各镇街、林场应对本辖区内的每个水箱落实专职管理人员，定期对其开展巡查，巡查内容主要包括是否遭到破坏，是否存在漏水，蓄水状态、进水口、出水口、排污口是否存在堵塞等。</w:t>
      </w:r>
      <w:r>
        <w:rPr>
          <w:rFonts w:ascii="Times New Roman" w:hAnsi="Times New Roman" w:cs="Times New Roman"/>
          <w:sz w:val="28"/>
          <w:szCs w:val="28"/>
        </w:rPr>
        <w:br w:type="page"/>
      </w:r>
    </w:p>
    <w:p>
      <w:pPr>
        <w:pStyle w:val="3"/>
        <w:spacing w:line="500" w:lineRule="exact"/>
        <w:jc w:val="center"/>
        <w:rPr>
          <w:b w:val="0"/>
          <w:sz w:val="30"/>
          <w:szCs w:val="30"/>
        </w:rPr>
      </w:pPr>
      <w:bookmarkStart w:id="111" w:name="_Toc126075395"/>
      <w:r>
        <w:rPr>
          <w:rFonts w:hint="eastAsia"/>
          <w:sz w:val="32"/>
          <w:szCs w:val="32"/>
        </w:rPr>
        <w:t>6 项目组织管理</w:t>
      </w:r>
      <w:bookmarkEnd w:id="111"/>
    </w:p>
    <w:p>
      <w:pPr>
        <w:pStyle w:val="4"/>
        <w:spacing w:line="500" w:lineRule="exact"/>
        <w:rPr>
          <w:rFonts w:ascii="Times New Roman" w:hAnsi="Times New Roman" w:cs="Times New Roman"/>
          <w:sz w:val="30"/>
          <w:szCs w:val="30"/>
        </w:rPr>
      </w:pPr>
      <w:bookmarkStart w:id="112" w:name="_Toc126075396"/>
      <w:r>
        <w:rPr>
          <w:rFonts w:hint="eastAsia" w:ascii="Times New Roman" w:hAnsi="Times New Roman" w:cs="Times New Roman"/>
          <w:sz w:val="30"/>
          <w:szCs w:val="30"/>
        </w:rPr>
        <w:t>6.1 组织管理</w:t>
      </w:r>
      <w:bookmarkEnd w:id="112"/>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为保证项目的顺利实施，应加强组织领导，统一职能，明确职责，落实责任，确保目标任务的完成。在区级层面，首先应成立渝北区森林消防水箱建设领导小组，负责项目的整体推进及监管和指导，由区林业局主要负责人任组长，区林业局分管负责人为副组长，领导小组成员包括区林业局森防安全科，办公室设在区林业局森防安全科。各镇街及林场作为项目法人，同时成立相应的工作领导小组，由主要领导牵头、分管领导具体负责，落实工作专班，负责项目选址落地、土地协调使用、施工单位选定、安全文明施工管理、落实防火制度、运营期管理等，并与施工单位签订本辖区内森林消防水箱建设安全生产及防火安全责任书，进一步明确本辖区内森林消防水箱建设项目的工作目标和任务，细化责任，将工作落到实处。各建设单位按照国家、重庆市及渝北区相关规定根据实际情况自行组织招投标，综合相关方面的各种条件，择优确定施工单位开展本辖区内的森林消防水箱施工建设，同时对已完成消防水箱开展自查验收工作。</w:t>
      </w:r>
    </w:p>
    <w:p>
      <w:pPr>
        <w:pStyle w:val="4"/>
        <w:spacing w:line="500" w:lineRule="exact"/>
        <w:rPr>
          <w:rFonts w:ascii="Times New Roman" w:hAnsi="Times New Roman" w:cs="Times New Roman"/>
          <w:sz w:val="30"/>
          <w:szCs w:val="30"/>
        </w:rPr>
      </w:pPr>
      <w:bookmarkStart w:id="113" w:name="_Toc126075397"/>
      <w:r>
        <w:rPr>
          <w:rFonts w:hint="eastAsia" w:ascii="Times New Roman" w:hAnsi="Times New Roman" w:cs="Times New Roman"/>
          <w:sz w:val="30"/>
          <w:szCs w:val="30"/>
        </w:rPr>
        <w:t>6.2 运营管理</w:t>
      </w:r>
      <w:bookmarkEnd w:id="113"/>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为保证森林消防水箱切实发挥其森林火灾发生初期“打早、打小、打了”的作用，应加强的后期的运营管理。水箱在第一次安装完成后，关闭出水管和泄水管，打开进水管，边放水边检查至盛满水，24小时不漏水方为验收合格。各镇街、林场应对本辖区内的每个水箱落实专职管理人员，定期对其开展巡查，巡查内容主要包括是否遭到破坏，是否存在漏水，蓄水状态、进水口、出水口、排污口是否存在堵塞等，同时对存在质量隐患的森林消防水箱，应及时督促施工单位加强维护，确实用时可以充分发挥其作用。</w:t>
      </w:r>
    </w:p>
    <w:p>
      <w:pPr>
        <w:pStyle w:val="4"/>
        <w:spacing w:line="500" w:lineRule="exact"/>
        <w:rPr>
          <w:rFonts w:ascii="Times New Roman" w:hAnsi="Times New Roman" w:cs="Times New Roman"/>
          <w:sz w:val="30"/>
          <w:szCs w:val="30"/>
        </w:rPr>
      </w:pPr>
      <w:bookmarkStart w:id="114" w:name="_Toc126075398"/>
      <w:r>
        <w:rPr>
          <w:rFonts w:hint="eastAsia" w:ascii="Times New Roman" w:hAnsi="Times New Roman" w:cs="Times New Roman"/>
          <w:sz w:val="30"/>
          <w:szCs w:val="30"/>
        </w:rPr>
        <w:t>6.3 防火制度管理</w:t>
      </w:r>
      <w:bookmarkEnd w:id="114"/>
    </w:p>
    <w:p>
      <w:pPr>
        <w:ind w:firstLine="560" w:firstLineChars="200"/>
        <w:rPr>
          <w:rFonts w:ascii="Times New Roman" w:hAnsi="Times New Roman" w:cs="Times New Roman"/>
          <w:sz w:val="28"/>
          <w:szCs w:val="28"/>
        </w:rPr>
      </w:pPr>
      <w:r>
        <w:rPr>
          <w:rFonts w:hint="eastAsia" w:ascii="Times New Roman" w:hAnsi="Times New Roman" w:cs="Times New Roman"/>
          <w:sz w:val="28"/>
          <w:szCs w:val="28"/>
        </w:rPr>
        <w:t>为达到野外施工和森林防火“两不误、两促进”目的，加强野外施工人员安全管理，防范野外施工防火安全事故的发生，应严格野外施工森林防火管理。一是强化责任落实。林业、镇街和施工单位签订责任书，认真履行管理和监督职责，确保各项森林防火责任落实到位；二是加强宣传教育。加大对野外作业人员宣传教育力度，提高森林防火和安全生产意识；三是落实野外火源管理各项措施。针对不同的火源采取有针对性的防范措施，严格禁止作业人员携带火种进入林区作业；四是严格野外作业火源管理。防火期内，对确需在施工区域内生产生活性用火的，必须经有关部门批准，在三级风以下天气使用，严防失火；五是严格遵守防火禁令。应避免在防火期进行野外施工作业，高火险天气，野外作业点要停止一切生产生活用火，做好预警响应工作。</w:t>
      </w:r>
    </w:p>
    <w:p>
      <w:pPr>
        <w:pStyle w:val="4"/>
        <w:spacing w:line="500" w:lineRule="exact"/>
        <w:rPr>
          <w:rFonts w:ascii="Times New Roman" w:hAnsi="Times New Roman" w:cs="Times New Roman"/>
          <w:sz w:val="30"/>
          <w:szCs w:val="30"/>
        </w:rPr>
      </w:pPr>
      <w:bookmarkStart w:id="115" w:name="_Toc126075399"/>
      <w:r>
        <w:rPr>
          <w:rFonts w:hint="eastAsia" w:ascii="Times New Roman" w:hAnsi="Times New Roman" w:cs="Times New Roman"/>
          <w:sz w:val="30"/>
          <w:szCs w:val="30"/>
        </w:rPr>
        <w:t>6.4 安全施工管理</w:t>
      </w:r>
      <w:bookmarkEnd w:id="115"/>
    </w:p>
    <w:p>
      <w:pPr>
        <w:pStyle w:val="2"/>
        <w:ind w:firstLine="560" w:firstLineChars="200"/>
        <w:rPr>
          <w:rFonts w:ascii="Times New Roman" w:hAnsi="Times New Roman" w:cs="Times New Roman" w:eastAsiaTheme="minorEastAsia"/>
          <w:color w:val="auto"/>
          <w:kern w:val="2"/>
          <w:sz w:val="28"/>
          <w:szCs w:val="28"/>
        </w:rPr>
      </w:pPr>
      <w:r>
        <w:rPr>
          <w:rFonts w:hint="eastAsia" w:ascii="Times New Roman" w:hAnsi="Times New Roman" w:cs="Times New Roman" w:eastAsiaTheme="minorEastAsia"/>
          <w:color w:val="auto"/>
          <w:kern w:val="2"/>
          <w:sz w:val="28"/>
          <w:szCs w:val="28"/>
        </w:rPr>
        <w:t>坚持“安全生产，预防为主”的方针，各镇街及林场并与施工单位签订本辖区内森林消防水箱建设安全生产责任书，同时要求施工单位编制并提供专项施工方案，并成立相关项目建设经理部，建立以项目经理为第一责任人，专职安全员负责安全生产的安全领导小组，落实安全生产责任，夯实安全生产基础。同时严格遵守国家有关安全生产技术规程，针对本项目制定安全措施。开工前应组织相关人员认真学习安全防护手册，项目经理作为安全生产第一责任人，应与专职安全员定期开展项目施工区域检查，发现问题，及时处理，杜绝不安全因素。进场施工人员一律穿戴相应的劳动用品，特殊工种需持证上岗，不准无证操作，同时按照相关规范操作，对施工用电、施工设施设备等定期开展检查，对存在不安全因素制定具体整改措施和整改期限，落实到人。在主要道路交通路口设置警示标志，提示过往车辆及行人注意安全。</w:t>
      </w:r>
    </w:p>
    <w:p>
      <w:pPr>
        <w:pStyle w:val="3"/>
        <w:spacing w:line="500" w:lineRule="exact"/>
        <w:jc w:val="center"/>
        <w:rPr>
          <w:sz w:val="32"/>
          <w:szCs w:val="32"/>
        </w:rPr>
      </w:pPr>
      <w:r>
        <w:rPr>
          <w:sz w:val="32"/>
          <w:szCs w:val="32"/>
        </w:rPr>
        <w:br w:type="page"/>
      </w:r>
    </w:p>
    <w:p>
      <w:pPr>
        <w:pStyle w:val="3"/>
        <w:spacing w:line="500" w:lineRule="exact"/>
        <w:jc w:val="center"/>
        <w:rPr>
          <w:sz w:val="32"/>
          <w:szCs w:val="32"/>
        </w:rPr>
      </w:pPr>
      <w:bookmarkStart w:id="116" w:name="_Toc126075400"/>
      <w:r>
        <w:rPr>
          <w:rFonts w:hint="eastAsia"/>
          <w:sz w:val="32"/>
          <w:szCs w:val="32"/>
        </w:rPr>
        <w:t>7 投资估算与资金来源</w:t>
      </w:r>
      <w:bookmarkEnd w:id="116"/>
    </w:p>
    <w:p>
      <w:pPr>
        <w:pStyle w:val="4"/>
        <w:spacing w:line="500" w:lineRule="exact"/>
        <w:ind w:firstLine="301" w:firstLineChars="100"/>
        <w:rPr>
          <w:rFonts w:ascii="Times New Roman" w:hAnsi="Times New Roman" w:cs="Times New Roman"/>
          <w:sz w:val="30"/>
          <w:szCs w:val="30"/>
        </w:rPr>
      </w:pPr>
      <w:bookmarkStart w:id="117" w:name="_Toc126075401"/>
      <w:r>
        <w:rPr>
          <w:rFonts w:hint="eastAsia" w:ascii="Times New Roman" w:hAnsi="Times New Roman" w:cs="Times New Roman"/>
          <w:sz w:val="30"/>
          <w:szCs w:val="30"/>
        </w:rPr>
        <w:t>7.1 估算依据</w:t>
      </w:r>
      <w:bookmarkEnd w:id="117"/>
    </w:p>
    <w:p>
      <w:pPr>
        <w:pStyle w:val="5"/>
        <w:spacing w:line="500" w:lineRule="exact"/>
        <w:ind w:firstLine="562" w:firstLineChars="200"/>
        <w:rPr>
          <w:rFonts w:ascii="Times New Roman" w:hAnsi="Times New Roman" w:cs="Times New Roman"/>
          <w:sz w:val="28"/>
          <w:szCs w:val="28"/>
        </w:rPr>
      </w:pPr>
      <w:bookmarkStart w:id="118" w:name="_Toc123041870"/>
      <w:bookmarkStart w:id="119" w:name="_Toc124614750"/>
      <w:bookmarkStart w:id="120" w:name="_Toc126075402"/>
      <w:bookmarkStart w:id="121" w:name="_Toc122971965"/>
      <w:r>
        <w:rPr>
          <w:rFonts w:hint="eastAsia" w:ascii="Times New Roman" w:hAnsi="Times New Roman" w:cs="Times New Roman"/>
          <w:sz w:val="28"/>
          <w:szCs w:val="28"/>
        </w:rPr>
        <w:t>7.1.1估算依据</w:t>
      </w:r>
      <w:bookmarkEnd w:id="118"/>
      <w:bookmarkEnd w:id="119"/>
      <w:bookmarkEnd w:id="120"/>
      <w:bookmarkEnd w:id="121"/>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1．《林业建设项目管理文件资料汇编》（2006.10）；</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2．《建设项目经济评价方法与参数》（第三版）；</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3．按渝北区当地近几年来同类工程费用标进行估算；</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4．人工费和材料、物资设备采购价格按当地市场现行价格，二次运输费用单独计取；</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5．建设单位管理费计算按照财政部《基本建设财务管理规定》（财建[2002]394号）执行；</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6．勘察设计费计算参照国家计委、建设部《工程勘察设计收费管理规定》（计价格[2002]10号）执行；</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7．招投标费计算按照国家计委《招标代理服务收费管理暂行办法》（计价格[2002]1980号）执行；</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8．工程监理费参照国家发改委、建设部关于印发《建设工程监理与相关服务收费管理规定》的通知（发改价格[2007]670号）执行；</w:t>
      </w:r>
    </w:p>
    <w:p>
      <w:pPr>
        <w:pStyle w:val="5"/>
        <w:spacing w:line="500" w:lineRule="exact"/>
        <w:ind w:firstLine="562" w:firstLineChars="200"/>
        <w:rPr>
          <w:rFonts w:ascii="Times New Roman" w:hAnsi="Times New Roman" w:cs="Times New Roman"/>
          <w:sz w:val="28"/>
          <w:szCs w:val="28"/>
        </w:rPr>
      </w:pPr>
      <w:bookmarkStart w:id="122" w:name="_Toc122971966"/>
      <w:bookmarkStart w:id="123" w:name="_Toc123041871"/>
      <w:bookmarkStart w:id="124" w:name="_Toc126075403"/>
      <w:bookmarkStart w:id="125" w:name="_Toc124614751"/>
      <w:r>
        <w:rPr>
          <w:rFonts w:hint="eastAsia" w:ascii="Times New Roman" w:hAnsi="Times New Roman" w:cs="Times New Roman"/>
          <w:sz w:val="28"/>
          <w:szCs w:val="28"/>
        </w:rPr>
        <w:t>7.1.2</w:t>
      </w:r>
      <w:r>
        <w:rPr>
          <w:rFonts w:ascii="Times New Roman" w:hAnsi="Times New Roman" w:cs="Times New Roman"/>
          <w:sz w:val="28"/>
          <w:szCs w:val="28"/>
        </w:rPr>
        <w:t>工程建设</w:t>
      </w:r>
      <w:r>
        <w:rPr>
          <w:rFonts w:hint="eastAsia" w:ascii="Times New Roman" w:hAnsi="Times New Roman" w:cs="Times New Roman"/>
          <w:sz w:val="28"/>
          <w:szCs w:val="28"/>
        </w:rPr>
        <w:t>间接</w:t>
      </w:r>
      <w:r>
        <w:rPr>
          <w:rFonts w:ascii="Times New Roman" w:hAnsi="Times New Roman" w:cs="Times New Roman"/>
          <w:sz w:val="28"/>
          <w:szCs w:val="28"/>
        </w:rPr>
        <w:t>费</w:t>
      </w:r>
      <w:r>
        <w:rPr>
          <w:rFonts w:hint="eastAsia" w:ascii="Times New Roman" w:hAnsi="Times New Roman" w:cs="Times New Roman"/>
          <w:sz w:val="28"/>
          <w:szCs w:val="28"/>
        </w:rPr>
        <w:t>用计费</w:t>
      </w:r>
      <w:bookmarkEnd w:id="122"/>
      <w:bookmarkEnd w:id="123"/>
      <w:bookmarkEnd w:id="124"/>
      <w:bookmarkEnd w:id="125"/>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建设单位管理费：按工程建设直接费用×0.</w:t>
      </w:r>
      <w:r>
        <w:rPr>
          <w:rFonts w:hint="eastAsia" w:ascii="Times New Roman" w:hAnsi="Times New Roman" w:cs="Times New Roman"/>
          <w:sz w:val="28"/>
          <w:szCs w:val="28"/>
        </w:rPr>
        <w:t>6</w:t>
      </w:r>
      <w:r>
        <w:rPr>
          <w:rFonts w:ascii="Times New Roman" w:hAnsi="Times New Roman" w:cs="Times New Roman"/>
          <w:sz w:val="28"/>
          <w:szCs w:val="28"/>
        </w:rPr>
        <w:t>%计算，勘察设计费按工程建设直接费用×</w:t>
      </w:r>
      <w:r>
        <w:rPr>
          <w:rFonts w:hint="eastAsia" w:ascii="Times New Roman" w:hAnsi="Times New Roman" w:cs="Times New Roman"/>
          <w:sz w:val="28"/>
          <w:szCs w:val="28"/>
        </w:rPr>
        <w:t>1.5</w:t>
      </w:r>
      <w:r>
        <w:rPr>
          <w:rFonts w:ascii="Times New Roman" w:hAnsi="Times New Roman" w:cs="Times New Roman"/>
          <w:sz w:val="28"/>
          <w:szCs w:val="28"/>
        </w:rPr>
        <w:t>%计算，检查验收费按工程建设直接费用×0.8%计算，招标代理费按工程建设直接费用×0.</w:t>
      </w:r>
      <w:r>
        <w:rPr>
          <w:rFonts w:hint="eastAsia" w:ascii="Times New Roman" w:hAnsi="Times New Roman" w:cs="Times New Roman"/>
          <w:sz w:val="28"/>
          <w:szCs w:val="28"/>
        </w:rPr>
        <w:t>5</w:t>
      </w:r>
      <w:r>
        <w:rPr>
          <w:rFonts w:ascii="Times New Roman" w:hAnsi="Times New Roman" w:cs="Times New Roman"/>
          <w:sz w:val="28"/>
          <w:szCs w:val="28"/>
        </w:rPr>
        <w:t>%计算。</w:t>
      </w:r>
    </w:p>
    <w:p>
      <w:pPr>
        <w:pStyle w:val="4"/>
        <w:spacing w:line="500" w:lineRule="exact"/>
        <w:rPr>
          <w:rFonts w:ascii="Times New Roman" w:hAnsi="Times New Roman" w:cs="Times New Roman"/>
          <w:sz w:val="30"/>
          <w:szCs w:val="30"/>
        </w:rPr>
      </w:pPr>
      <w:bookmarkStart w:id="126" w:name="_Toc126075404"/>
      <w:r>
        <w:rPr>
          <w:rFonts w:hint="eastAsia" w:ascii="Times New Roman" w:hAnsi="Times New Roman" w:cs="Times New Roman"/>
          <w:sz w:val="30"/>
          <w:szCs w:val="30"/>
        </w:rPr>
        <w:t>7.2 投资估算</w:t>
      </w:r>
      <w:bookmarkEnd w:id="126"/>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经估算，</w:t>
      </w:r>
      <w:r>
        <w:rPr>
          <w:rFonts w:hint="eastAsia" w:ascii="Times New Roman" w:hAnsi="Times New Roman" w:cs="Times New Roman"/>
          <w:sz w:val="28"/>
          <w:szCs w:val="28"/>
        </w:rPr>
        <w:t>项目总投资</w:t>
      </w:r>
      <w:r>
        <w:rPr>
          <w:rFonts w:ascii="Times New Roman" w:hAnsi="Times New Roman" w:cs="Times New Roman"/>
          <w:sz w:val="28"/>
          <w:szCs w:val="28"/>
        </w:rPr>
        <w:t>2032.08</w:t>
      </w:r>
      <w:r>
        <w:rPr>
          <w:rFonts w:hint="eastAsia" w:ascii="Times New Roman" w:hAnsi="Times New Roman" w:cs="Times New Roman"/>
          <w:sz w:val="28"/>
          <w:szCs w:val="28"/>
        </w:rPr>
        <w:t>万元，其中：工程建设直接费用</w:t>
      </w:r>
      <w:r>
        <w:rPr>
          <w:rFonts w:ascii="Times New Roman" w:hAnsi="Times New Roman" w:cs="Times New Roman"/>
          <w:sz w:val="28"/>
          <w:szCs w:val="28"/>
        </w:rPr>
        <w:t>1970.98</w:t>
      </w:r>
      <w:r>
        <w:rPr>
          <w:rFonts w:hint="eastAsia" w:ascii="Times New Roman" w:hAnsi="Times New Roman" w:cs="Times New Roman"/>
          <w:sz w:val="28"/>
          <w:szCs w:val="28"/>
        </w:rPr>
        <w:t>万元，占总投资的96.99%，工程建设间接费用</w:t>
      </w:r>
      <w:r>
        <w:rPr>
          <w:rFonts w:ascii="Times New Roman" w:hAnsi="Times New Roman" w:cs="Times New Roman"/>
          <w:sz w:val="28"/>
          <w:szCs w:val="28"/>
        </w:rPr>
        <w:t>61.1</w:t>
      </w:r>
      <w:r>
        <w:rPr>
          <w:rFonts w:hint="eastAsia" w:ascii="Times New Roman" w:hAnsi="Times New Roman" w:cs="Times New Roman"/>
          <w:sz w:val="28"/>
          <w:szCs w:val="28"/>
        </w:rPr>
        <w:t>0万元，占总投资的3.01%。</w:t>
      </w:r>
    </w:p>
    <w:p>
      <w:pPr>
        <w:spacing w:line="600" w:lineRule="exact"/>
        <w:ind w:firstLine="560" w:firstLineChars="200"/>
        <w:rPr>
          <w:rFonts w:ascii="Times New Roman" w:hAnsi="Times New Roman" w:cs="Times New Roman"/>
          <w:sz w:val="28"/>
          <w:szCs w:val="28"/>
        </w:rPr>
      </w:pPr>
      <w:r>
        <w:rPr>
          <w:rFonts w:ascii="Times New Roman" w:hAnsi="Times New Roman" w:cs="Times New Roman"/>
          <w:sz w:val="28"/>
          <w:szCs w:val="28"/>
        </w:rPr>
        <w:t>工程建设直接费用中，按类型分</w:t>
      </w:r>
      <w:r>
        <w:rPr>
          <w:rFonts w:hint="eastAsia" w:ascii="Times New Roman" w:hAnsi="Times New Roman" w:cs="Times New Roman"/>
          <w:sz w:val="28"/>
          <w:szCs w:val="28"/>
        </w:rPr>
        <w:t>，</w:t>
      </w:r>
      <w:r>
        <w:rPr>
          <w:rFonts w:ascii="Times New Roman" w:hAnsi="Times New Roman" w:cs="Times New Roman"/>
          <w:sz w:val="28"/>
          <w:szCs w:val="28"/>
        </w:rPr>
        <w:t>建安工程费用335.61</w:t>
      </w:r>
      <w:r>
        <w:rPr>
          <w:rFonts w:hint="eastAsia" w:ascii="Times New Roman" w:hAnsi="Times New Roman" w:cs="Times New Roman"/>
          <w:sz w:val="28"/>
          <w:szCs w:val="28"/>
        </w:rPr>
        <w:t>万元，占直接投资的17.03%；设备购置万元</w:t>
      </w:r>
      <w:r>
        <w:rPr>
          <w:rFonts w:ascii="Times New Roman" w:hAnsi="Times New Roman" w:cs="Times New Roman"/>
          <w:sz w:val="28"/>
          <w:szCs w:val="28"/>
        </w:rPr>
        <w:t>1635.37</w:t>
      </w:r>
      <w:r>
        <w:rPr>
          <w:rFonts w:hint="eastAsia" w:ascii="Times New Roman" w:hAnsi="Times New Roman" w:cs="Times New Roman"/>
          <w:sz w:val="28"/>
          <w:szCs w:val="28"/>
        </w:rPr>
        <w:t>万元，占直接投资的82.97%。</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工程建设间接费用中，建设单位管理费</w:t>
      </w:r>
      <w:r>
        <w:rPr>
          <w:rFonts w:ascii="Times New Roman" w:hAnsi="Times New Roman" w:cs="Times New Roman"/>
          <w:sz w:val="28"/>
          <w:szCs w:val="28"/>
        </w:rPr>
        <w:t>11.83万元</w:t>
      </w:r>
      <w:r>
        <w:rPr>
          <w:rFonts w:hint="eastAsia" w:ascii="Times New Roman" w:hAnsi="Times New Roman" w:cs="Times New Roman"/>
          <w:sz w:val="28"/>
          <w:szCs w:val="28"/>
        </w:rPr>
        <w:t>，</w:t>
      </w:r>
      <w:r>
        <w:rPr>
          <w:rFonts w:ascii="Times New Roman" w:hAnsi="Times New Roman" w:cs="Times New Roman"/>
          <w:sz w:val="28"/>
          <w:szCs w:val="28"/>
        </w:rPr>
        <w:t>占总投资的</w:t>
      </w:r>
      <w:r>
        <w:rPr>
          <w:rFonts w:hint="eastAsia" w:ascii="Times New Roman" w:hAnsi="Times New Roman" w:cs="Times New Roman"/>
          <w:sz w:val="28"/>
          <w:szCs w:val="28"/>
        </w:rPr>
        <w:t>0.58%；勘察设计费27.60</w:t>
      </w:r>
      <w:r>
        <w:rPr>
          <w:rFonts w:ascii="Times New Roman" w:hAnsi="Times New Roman" w:cs="Times New Roman"/>
          <w:sz w:val="28"/>
          <w:szCs w:val="28"/>
        </w:rPr>
        <w:t>万元</w:t>
      </w:r>
      <w:r>
        <w:rPr>
          <w:rFonts w:hint="eastAsia" w:ascii="Times New Roman" w:hAnsi="Times New Roman" w:cs="Times New Roman"/>
          <w:sz w:val="28"/>
          <w:szCs w:val="28"/>
        </w:rPr>
        <w:t>，</w:t>
      </w:r>
      <w:r>
        <w:rPr>
          <w:rFonts w:ascii="Times New Roman" w:hAnsi="Times New Roman" w:cs="Times New Roman"/>
          <w:sz w:val="28"/>
          <w:szCs w:val="28"/>
        </w:rPr>
        <w:t>占总投资的1.</w:t>
      </w:r>
      <w:r>
        <w:rPr>
          <w:rFonts w:hint="eastAsia" w:ascii="Times New Roman" w:hAnsi="Times New Roman" w:cs="Times New Roman"/>
          <w:sz w:val="28"/>
          <w:szCs w:val="28"/>
        </w:rPr>
        <w:t>36%；检查验收费</w:t>
      </w:r>
      <w:r>
        <w:rPr>
          <w:rFonts w:ascii="Times New Roman" w:hAnsi="Times New Roman" w:cs="Times New Roman"/>
          <w:sz w:val="28"/>
          <w:szCs w:val="28"/>
        </w:rPr>
        <w:t>15.74万元</w:t>
      </w:r>
      <w:r>
        <w:rPr>
          <w:rFonts w:hint="eastAsia" w:ascii="Times New Roman" w:hAnsi="Times New Roman" w:cs="Times New Roman"/>
          <w:sz w:val="28"/>
          <w:szCs w:val="28"/>
        </w:rPr>
        <w:t>，</w:t>
      </w:r>
      <w:r>
        <w:rPr>
          <w:rFonts w:ascii="Times New Roman" w:hAnsi="Times New Roman" w:cs="Times New Roman"/>
          <w:sz w:val="28"/>
          <w:szCs w:val="28"/>
        </w:rPr>
        <w:t>占总投资的</w:t>
      </w:r>
      <w:r>
        <w:rPr>
          <w:rFonts w:hint="eastAsia" w:ascii="Times New Roman" w:hAnsi="Times New Roman" w:cs="Times New Roman"/>
          <w:sz w:val="28"/>
          <w:szCs w:val="28"/>
        </w:rPr>
        <w:t>0.77%；招标代理费5.93</w:t>
      </w:r>
      <w:r>
        <w:rPr>
          <w:rFonts w:ascii="Times New Roman" w:hAnsi="Times New Roman" w:cs="Times New Roman"/>
          <w:sz w:val="28"/>
          <w:szCs w:val="28"/>
        </w:rPr>
        <w:t>万元</w:t>
      </w:r>
      <w:r>
        <w:rPr>
          <w:rFonts w:hint="eastAsia" w:ascii="Times New Roman" w:hAnsi="Times New Roman" w:cs="Times New Roman"/>
          <w:sz w:val="28"/>
          <w:szCs w:val="28"/>
        </w:rPr>
        <w:t>，</w:t>
      </w:r>
      <w:r>
        <w:rPr>
          <w:rFonts w:ascii="Times New Roman" w:hAnsi="Times New Roman" w:cs="Times New Roman"/>
          <w:sz w:val="28"/>
          <w:szCs w:val="28"/>
        </w:rPr>
        <w:t>占总投资的0.</w:t>
      </w:r>
      <w:r>
        <w:rPr>
          <w:rFonts w:hint="eastAsia" w:ascii="Times New Roman" w:hAnsi="Times New Roman" w:cs="Times New Roman"/>
          <w:sz w:val="28"/>
          <w:szCs w:val="28"/>
        </w:rPr>
        <w:t>29%；</w:t>
      </w:r>
      <w:r>
        <w:rPr>
          <w:rFonts w:ascii="Times New Roman" w:hAnsi="Times New Roman" w:cs="Times New Roman"/>
          <w:sz w:val="28"/>
          <w:szCs w:val="28"/>
        </w:rPr>
        <w:t>投资估算构成指标详见表</w:t>
      </w:r>
      <w:r>
        <w:rPr>
          <w:rFonts w:hint="eastAsia" w:ascii="Times New Roman" w:hAnsi="Times New Roman" w:cs="Times New Roman"/>
          <w:sz w:val="28"/>
          <w:szCs w:val="28"/>
        </w:rPr>
        <w:t>7</w:t>
      </w:r>
      <w:r>
        <w:rPr>
          <w:rFonts w:ascii="Times New Roman" w:hAnsi="Times New Roman" w:cs="Times New Roman"/>
          <w:sz w:val="28"/>
          <w:szCs w:val="28"/>
        </w:rPr>
        <w:t>-1、</w:t>
      </w:r>
      <w:r>
        <w:rPr>
          <w:rFonts w:hint="eastAsia" w:ascii="Times New Roman" w:hAnsi="Times New Roman" w:cs="Times New Roman"/>
          <w:sz w:val="28"/>
          <w:szCs w:val="28"/>
        </w:rPr>
        <w:t>7</w:t>
      </w:r>
      <w:r>
        <w:rPr>
          <w:rFonts w:ascii="Times New Roman" w:hAnsi="Times New Roman" w:cs="Times New Roman"/>
          <w:sz w:val="28"/>
          <w:szCs w:val="28"/>
        </w:rPr>
        <w:t>-2。</w:t>
      </w:r>
    </w:p>
    <w:p>
      <w:pPr>
        <w:pStyle w:val="2"/>
        <w:jc w:val="center"/>
        <w:rPr>
          <w:rFonts w:hint="eastAsia"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 xml:space="preserve">       </w:t>
      </w:r>
      <w:r>
        <w:rPr>
          <w:rFonts w:ascii="Times New Roman" w:hAnsi="Times New Roman" w:cs="Times New Roman" w:eastAsiaTheme="majorEastAsia"/>
          <w:b/>
          <w:sz w:val="21"/>
          <w:szCs w:val="21"/>
        </w:rPr>
        <w:t>表</w:t>
      </w:r>
      <w:r>
        <w:rPr>
          <w:rFonts w:hint="eastAsia" w:ascii="Times New Roman" w:hAnsi="Times New Roman" w:cs="Times New Roman" w:eastAsiaTheme="majorEastAsia"/>
          <w:b/>
          <w:sz w:val="21"/>
          <w:szCs w:val="21"/>
        </w:rPr>
        <w:t>7</w:t>
      </w:r>
      <w:r>
        <w:rPr>
          <w:rFonts w:ascii="Times New Roman" w:hAnsi="Times New Roman" w:cs="Times New Roman" w:eastAsiaTheme="majorEastAsia"/>
          <w:b/>
          <w:sz w:val="21"/>
          <w:szCs w:val="21"/>
        </w:rPr>
        <w:t>-1 渝北区森林消防水箱建设项目直接投资汇总统计表</w:t>
      </w:r>
    </w:p>
    <w:p>
      <w:pPr>
        <w:pStyle w:val="2"/>
        <w:jc w:val="right"/>
        <w:rPr>
          <w:rFonts w:hint="eastAsia"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单位：立方米、万元</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85"/>
        <w:gridCol w:w="1329"/>
        <w:gridCol w:w="888"/>
        <w:gridCol w:w="1459"/>
        <w:gridCol w:w="1374"/>
        <w:gridCol w:w="1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047" w:type="pct"/>
            <w:shd w:val="clear" w:color="auto" w:fill="auto"/>
            <w:noWrap/>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建设单位</w:t>
            </w:r>
          </w:p>
        </w:tc>
        <w:tc>
          <w:tcPr>
            <w:tcW w:w="780" w:type="pct"/>
            <w:shd w:val="clear" w:color="auto" w:fill="auto"/>
            <w:noWrap/>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规格</w:t>
            </w:r>
          </w:p>
        </w:tc>
        <w:tc>
          <w:tcPr>
            <w:tcW w:w="521" w:type="pct"/>
            <w:shd w:val="clear" w:color="auto" w:fill="auto"/>
            <w:noWrap/>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数量</w:t>
            </w:r>
          </w:p>
        </w:tc>
        <w:tc>
          <w:tcPr>
            <w:tcW w:w="856" w:type="pct"/>
            <w:shd w:val="clear" w:color="auto" w:fill="auto"/>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建安工程投资</w:t>
            </w:r>
          </w:p>
        </w:tc>
        <w:tc>
          <w:tcPr>
            <w:tcW w:w="806" w:type="pct"/>
            <w:shd w:val="clear" w:color="auto" w:fill="auto"/>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设备购置投资</w:t>
            </w:r>
          </w:p>
        </w:tc>
        <w:tc>
          <w:tcPr>
            <w:tcW w:w="991" w:type="pct"/>
            <w:shd w:val="clear" w:color="auto" w:fill="auto"/>
            <w:vAlign w:val="center"/>
          </w:tcPr>
          <w:p>
            <w:pPr>
              <w:widowControl/>
              <w:jc w:val="center"/>
              <w:rPr>
                <w:rFonts w:ascii="宋体" w:hAnsi="宋体" w:eastAsia="宋体" w:cs="Times New Roman"/>
                <w:b/>
                <w:bCs/>
                <w:color w:val="000000"/>
                <w:kern w:val="0"/>
                <w:sz w:val="22"/>
              </w:rPr>
            </w:pPr>
            <w:r>
              <w:rPr>
                <w:rFonts w:hint="eastAsia" w:ascii="宋体" w:hAnsi="宋体" w:eastAsia="宋体" w:cs="Times New Roman"/>
                <w:b/>
                <w:bCs/>
                <w:color w:val="000000"/>
                <w:kern w:val="0"/>
                <w:sz w:val="22"/>
              </w:rPr>
              <w:t>直接投资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1047"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渝北区</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　</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　</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335.61</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1635.37</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1970.98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茨竹镇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24</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35.66</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176.02</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211.68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7.08</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37.5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16</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25.12</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120.8</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145.92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3.46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17.72</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大盛镇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15.08</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74.21</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89.29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2.36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10.99</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52.85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1.73</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8.86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大湾镇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13</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20.02</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96.85</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116.87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1.18</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6.25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18.84</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古路镇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11.15</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54.16</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65.31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9.42</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45.3</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54.72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1.73</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8.86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华蓥山林场</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14</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22.14</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107.01</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129.15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13</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20.41</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98.15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118.56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1.73</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8.86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龙兴镇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14</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19.25</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96.6</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115.85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8.26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43.75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10.99</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52.85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洛碛镇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32</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50.24</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241.6</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291.84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50.24</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241.6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291.84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木耳镇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14.92</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72.9</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87.82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2.36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12.56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60.4</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72.96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石船镇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13</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19.17</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95.57</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114.74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4.72</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29.72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10.99</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52.85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3.46</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17.72</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统景林场</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10.99</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52.85</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63.84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10.99</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52.85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统景镇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15</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21.99</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108.05</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130.04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4.72</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29.72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17.27</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83.05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王家街道</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4</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6.28</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30.2</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36.48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6.28</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30.2</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兴隆镇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26</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41.46</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201.54</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22</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34.54</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166.1</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200.64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6.92</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35.44</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42.36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玉峰山林场</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19</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29.83</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143.45</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173.28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19</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29.83</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143.45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173.28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restar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玉峰山镇</w:t>
            </w:r>
          </w:p>
        </w:tc>
        <w:tc>
          <w:tcPr>
            <w:tcW w:w="780"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hint="eastAsia" w:ascii="宋体" w:hAnsi="宋体" w:eastAsia="宋体" w:cs="Times New Roman"/>
                <w:b/>
                <w:bCs/>
                <w:color w:val="000000"/>
                <w:kern w:val="0"/>
                <w:sz w:val="22"/>
              </w:rPr>
              <w:t>小计</w:t>
            </w:r>
          </w:p>
        </w:tc>
        <w:tc>
          <w:tcPr>
            <w:tcW w:w="52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11</w:t>
            </w:r>
          </w:p>
        </w:tc>
        <w:tc>
          <w:tcPr>
            <w:tcW w:w="85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17.43</w:t>
            </w:r>
          </w:p>
        </w:tc>
        <w:tc>
          <w:tcPr>
            <w:tcW w:w="806"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84.36</w:t>
            </w:r>
          </w:p>
        </w:tc>
        <w:tc>
          <w:tcPr>
            <w:tcW w:w="991" w:type="pct"/>
            <w:shd w:val="clear" w:color="auto" w:fill="auto"/>
            <w:noWrap/>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101.79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15.7</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75.5</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7" w:type="pct"/>
            <w:vMerge w:val="continue"/>
            <w:vAlign w:val="center"/>
          </w:tcPr>
          <w:p>
            <w:pPr>
              <w:widowControl/>
              <w:jc w:val="left"/>
              <w:rPr>
                <w:rFonts w:ascii="Times New Roman" w:hAnsi="Times New Roman" w:eastAsia="宋体" w:cs="Times New Roman"/>
                <w:b/>
                <w:bCs/>
                <w:color w:val="000000"/>
                <w:kern w:val="0"/>
                <w:sz w:val="22"/>
              </w:rPr>
            </w:pPr>
          </w:p>
        </w:tc>
        <w:tc>
          <w:tcPr>
            <w:tcW w:w="780"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120</w:t>
            </w:r>
          </w:p>
        </w:tc>
        <w:tc>
          <w:tcPr>
            <w:tcW w:w="52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85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1.73</w:t>
            </w:r>
          </w:p>
        </w:tc>
        <w:tc>
          <w:tcPr>
            <w:tcW w:w="806"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8.86</w:t>
            </w:r>
          </w:p>
        </w:tc>
        <w:tc>
          <w:tcPr>
            <w:tcW w:w="991" w:type="pct"/>
            <w:shd w:val="clear" w:color="auto" w:fill="auto"/>
            <w:noWrap/>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10.59</w:t>
            </w:r>
          </w:p>
        </w:tc>
      </w:tr>
    </w:tbl>
    <w:p>
      <w:pPr>
        <w:pStyle w:val="2"/>
        <w:jc w:val="right"/>
        <w:rPr>
          <w:rFonts w:ascii="Times New Roman" w:hAnsi="Times New Roman" w:cs="Times New Roman" w:eastAsiaTheme="majorEastAsia"/>
          <w:b/>
          <w:sz w:val="21"/>
          <w:szCs w:val="21"/>
        </w:rPr>
      </w:pPr>
    </w:p>
    <w:p>
      <w:pPr>
        <w:ind w:firstLine="422" w:firstLineChars="200"/>
        <w:jc w:val="center"/>
        <w:rPr>
          <w:rFonts w:ascii="Times New Roman" w:hAnsi="Times New Roman" w:cs="Times New Roman" w:eastAsiaTheme="majorEastAsia"/>
          <w:b/>
          <w:color w:val="000000"/>
          <w:kern w:val="0"/>
          <w:szCs w:val="21"/>
        </w:rPr>
      </w:pPr>
      <w:r>
        <w:rPr>
          <w:rFonts w:hint="eastAsia" w:ascii="Times New Roman" w:hAnsi="Times New Roman" w:cs="Times New Roman" w:eastAsiaTheme="majorEastAsia"/>
          <w:b/>
          <w:color w:val="000000"/>
          <w:kern w:val="0"/>
          <w:szCs w:val="21"/>
        </w:rPr>
        <w:t>表7-2 渝北区森林消防水箱建设项目总投资估算表</w:t>
      </w:r>
    </w:p>
    <w:p>
      <w:pPr>
        <w:pStyle w:val="2"/>
        <w:jc w:val="right"/>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单位：万元、%</w:t>
      </w:r>
    </w:p>
    <w:tbl>
      <w:tblPr>
        <w:tblStyle w:val="14"/>
        <w:tblW w:w="4971"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40"/>
        <w:gridCol w:w="2555"/>
        <w:gridCol w:w="2125"/>
        <w:gridCol w:w="255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32"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序号</w:t>
            </w:r>
          </w:p>
        </w:tc>
        <w:tc>
          <w:tcPr>
            <w:tcW w:w="1508"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项目</w:t>
            </w:r>
          </w:p>
        </w:tc>
        <w:tc>
          <w:tcPr>
            <w:tcW w:w="1254"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投资</w:t>
            </w:r>
          </w:p>
        </w:tc>
        <w:tc>
          <w:tcPr>
            <w:tcW w:w="1506" w:type="pct"/>
          </w:tcPr>
          <w:p>
            <w:pPr>
              <w:widowControl/>
              <w:jc w:val="center"/>
              <w:textAlignment w:val="center"/>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占比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2240" w:type="pct"/>
            <w:gridSpan w:val="2"/>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总计</w:t>
            </w:r>
          </w:p>
        </w:tc>
        <w:tc>
          <w:tcPr>
            <w:tcW w:w="1254"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2032.08</w:t>
            </w:r>
          </w:p>
        </w:tc>
        <w:tc>
          <w:tcPr>
            <w:tcW w:w="1506" w:type="pct"/>
          </w:tcPr>
          <w:p>
            <w:pPr>
              <w:widowControl/>
              <w:jc w:val="center"/>
              <w:textAlignment w:val="center"/>
              <w:rPr>
                <w:rFonts w:ascii="Times New Roman" w:hAnsi="Times New Roman" w:eastAsia="宋体" w:cs="Times New Roman"/>
                <w:b/>
                <w:color w:val="000000"/>
                <w:kern w:val="0"/>
                <w:sz w:val="22"/>
                <w:lang w:bidi="ar"/>
              </w:rPr>
            </w:pPr>
            <w:r>
              <w:rPr>
                <w:rFonts w:hint="eastAsia" w:ascii="Times New Roman" w:hAnsi="Times New Roman" w:eastAsia="宋体" w:cs="Times New Roman"/>
                <w:b/>
                <w:color w:val="000000"/>
                <w:kern w:val="0"/>
                <w:sz w:val="22"/>
                <w:lang w:bidi="ar"/>
              </w:rP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1</w:t>
            </w:r>
          </w:p>
        </w:tc>
        <w:tc>
          <w:tcPr>
            <w:tcW w:w="1508"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工程建设直接费用</w:t>
            </w:r>
          </w:p>
        </w:tc>
        <w:tc>
          <w:tcPr>
            <w:tcW w:w="1254"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1970.98</w:t>
            </w:r>
          </w:p>
        </w:tc>
        <w:tc>
          <w:tcPr>
            <w:tcW w:w="1506" w:type="pct"/>
          </w:tcPr>
          <w:p>
            <w:pPr>
              <w:widowControl/>
              <w:jc w:val="center"/>
              <w:textAlignment w:val="center"/>
              <w:rPr>
                <w:rFonts w:ascii="Times New Roman" w:hAnsi="Times New Roman" w:eastAsia="宋体" w:cs="Times New Roman"/>
                <w:b/>
                <w:color w:val="000000"/>
                <w:kern w:val="0"/>
                <w:sz w:val="22"/>
                <w:lang w:bidi="ar"/>
              </w:rPr>
            </w:pPr>
            <w:r>
              <w:rPr>
                <w:rFonts w:hint="eastAsia" w:ascii="Times New Roman" w:hAnsi="Times New Roman" w:eastAsia="宋体" w:cs="Times New Roman"/>
                <w:b/>
                <w:color w:val="000000"/>
                <w:kern w:val="0"/>
                <w:sz w:val="22"/>
                <w:lang w:bidi="ar"/>
              </w:rPr>
              <w:t>96.99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2</w:t>
            </w:r>
          </w:p>
        </w:tc>
        <w:tc>
          <w:tcPr>
            <w:tcW w:w="1508"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工程建设间接费用</w:t>
            </w:r>
          </w:p>
        </w:tc>
        <w:tc>
          <w:tcPr>
            <w:tcW w:w="1254" w:type="pct"/>
            <w:shd w:val="clear" w:color="auto" w:fill="auto"/>
            <w:noWrap/>
            <w:vAlign w:val="center"/>
          </w:tcPr>
          <w:p>
            <w:pPr>
              <w:widowControl/>
              <w:jc w:val="center"/>
              <w:textAlignment w:val="center"/>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61.10</w:t>
            </w:r>
          </w:p>
        </w:tc>
        <w:tc>
          <w:tcPr>
            <w:tcW w:w="1506" w:type="pct"/>
          </w:tcPr>
          <w:p>
            <w:pPr>
              <w:widowControl/>
              <w:jc w:val="center"/>
              <w:textAlignment w:val="center"/>
              <w:rPr>
                <w:rFonts w:ascii="Times New Roman" w:hAnsi="Times New Roman" w:eastAsia="宋体" w:cs="Times New Roman"/>
                <w:b/>
                <w:color w:val="000000"/>
                <w:kern w:val="0"/>
                <w:sz w:val="22"/>
                <w:lang w:bidi="ar"/>
              </w:rPr>
            </w:pPr>
            <w:r>
              <w:rPr>
                <w:rFonts w:hint="eastAsia" w:ascii="Times New Roman" w:hAnsi="Times New Roman" w:eastAsia="宋体" w:cs="Times New Roman"/>
                <w:b/>
                <w:color w:val="000000"/>
                <w:kern w:val="0"/>
                <w:sz w:val="22"/>
                <w:lang w:bidi="ar"/>
              </w:rPr>
              <w:t>3.01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2.1</w:t>
            </w:r>
          </w:p>
        </w:tc>
        <w:tc>
          <w:tcPr>
            <w:tcW w:w="1508"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建设单位管理费</w:t>
            </w:r>
          </w:p>
        </w:tc>
        <w:tc>
          <w:tcPr>
            <w:tcW w:w="1254"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11.83</w:t>
            </w:r>
          </w:p>
        </w:tc>
        <w:tc>
          <w:tcPr>
            <w:tcW w:w="1506" w:type="pct"/>
          </w:tcPr>
          <w:p>
            <w:pPr>
              <w:widowControl/>
              <w:jc w:val="center"/>
              <w:textAlignment w:val="center"/>
              <w:rPr>
                <w:rFonts w:ascii="Times New Roman" w:hAnsi="Times New Roman" w:eastAsia="宋体" w:cs="Times New Roman"/>
                <w:color w:val="000000"/>
                <w:kern w:val="0"/>
                <w:sz w:val="22"/>
                <w:lang w:bidi="ar"/>
              </w:rPr>
            </w:pPr>
            <w:r>
              <w:rPr>
                <w:rFonts w:hint="eastAsia" w:ascii="Times New Roman" w:hAnsi="Times New Roman" w:eastAsia="宋体" w:cs="Times New Roman"/>
                <w:color w:val="000000"/>
                <w:kern w:val="0"/>
                <w:sz w:val="22"/>
                <w:lang w:bidi="ar"/>
              </w:rPr>
              <w:t>0.58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w:t>
            </w:r>
          </w:p>
        </w:tc>
        <w:tc>
          <w:tcPr>
            <w:tcW w:w="1508"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勘察设计费</w:t>
            </w:r>
          </w:p>
        </w:tc>
        <w:tc>
          <w:tcPr>
            <w:tcW w:w="1254"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w:t>
            </w:r>
            <w:r>
              <w:rPr>
                <w:rFonts w:hint="eastAsia" w:ascii="Times New Roman" w:hAnsi="Times New Roman" w:eastAsia="宋体" w:cs="Times New Roman"/>
                <w:color w:val="000000"/>
                <w:kern w:val="0"/>
                <w:sz w:val="22"/>
                <w:lang w:bidi="ar"/>
              </w:rPr>
              <w:t>7</w:t>
            </w:r>
            <w:r>
              <w:rPr>
                <w:rFonts w:ascii="Times New Roman" w:hAnsi="Times New Roman" w:eastAsia="宋体" w:cs="Times New Roman"/>
                <w:color w:val="000000"/>
                <w:kern w:val="0"/>
                <w:sz w:val="22"/>
                <w:lang w:bidi="ar"/>
              </w:rPr>
              <w:t>.</w:t>
            </w:r>
            <w:r>
              <w:rPr>
                <w:rFonts w:hint="eastAsia" w:ascii="Times New Roman" w:hAnsi="Times New Roman" w:eastAsia="宋体" w:cs="Times New Roman"/>
                <w:color w:val="000000"/>
                <w:kern w:val="0"/>
                <w:sz w:val="22"/>
                <w:lang w:bidi="ar"/>
              </w:rPr>
              <w:t>60</w:t>
            </w:r>
          </w:p>
        </w:tc>
        <w:tc>
          <w:tcPr>
            <w:tcW w:w="1506" w:type="pct"/>
          </w:tcPr>
          <w:p>
            <w:pPr>
              <w:widowControl/>
              <w:jc w:val="center"/>
              <w:textAlignment w:val="center"/>
              <w:rPr>
                <w:rFonts w:ascii="Times New Roman" w:hAnsi="Times New Roman" w:eastAsia="宋体" w:cs="Times New Roman"/>
                <w:color w:val="000000"/>
                <w:kern w:val="0"/>
                <w:sz w:val="22"/>
                <w:lang w:bidi="ar"/>
              </w:rPr>
            </w:pPr>
            <w:r>
              <w:rPr>
                <w:rFonts w:hint="eastAsia" w:ascii="Times New Roman" w:hAnsi="Times New Roman" w:eastAsia="宋体" w:cs="Times New Roman"/>
                <w:color w:val="000000"/>
                <w:kern w:val="0"/>
                <w:sz w:val="22"/>
                <w:lang w:bidi="ar"/>
              </w:rPr>
              <w:t>1.36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2.3</w:t>
            </w:r>
          </w:p>
        </w:tc>
        <w:tc>
          <w:tcPr>
            <w:tcW w:w="1508"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检查验收费</w:t>
            </w:r>
          </w:p>
        </w:tc>
        <w:tc>
          <w:tcPr>
            <w:tcW w:w="1254"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15.74</w:t>
            </w:r>
          </w:p>
        </w:tc>
        <w:tc>
          <w:tcPr>
            <w:tcW w:w="1506" w:type="pct"/>
          </w:tcPr>
          <w:p>
            <w:pPr>
              <w:widowControl/>
              <w:jc w:val="center"/>
              <w:textAlignment w:val="center"/>
              <w:rPr>
                <w:rFonts w:ascii="Times New Roman" w:hAnsi="Times New Roman" w:eastAsia="宋体" w:cs="Times New Roman"/>
                <w:color w:val="000000"/>
                <w:kern w:val="0"/>
                <w:sz w:val="22"/>
                <w:lang w:bidi="ar"/>
              </w:rPr>
            </w:pPr>
            <w:r>
              <w:rPr>
                <w:rFonts w:hint="eastAsia" w:ascii="Times New Roman" w:hAnsi="Times New Roman" w:eastAsia="宋体" w:cs="Times New Roman"/>
                <w:color w:val="000000"/>
                <w:kern w:val="0"/>
                <w:sz w:val="22"/>
                <w:lang w:bidi="ar"/>
              </w:rPr>
              <w:t>0.77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32"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w:t>
            </w:r>
            <w:r>
              <w:rPr>
                <w:rFonts w:hint="eastAsia" w:ascii="Times New Roman" w:hAnsi="Times New Roman" w:eastAsia="宋体" w:cs="Times New Roman"/>
                <w:color w:val="000000"/>
                <w:kern w:val="0"/>
                <w:sz w:val="22"/>
                <w:lang w:bidi="ar"/>
              </w:rPr>
              <w:t>4</w:t>
            </w:r>
          </w:p>
        </w:tc>
        <w:tc>
          <w:tcPr>
            <w:tcW w:w="1508"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招标代理费</w:t>
            </w:r>
          </w:p>
        </w:tc>
        <w:tc>
          <w:tcPr>
            <w:tcW w:w="1254" w:type="pct"/>
            <w:shd w:val="clear" w:color="auto" w:fill="auto"/>
            <w:noWrap/>
            <w:vAlign w:val="center"/>
          </w:tcPr>
          <w:p>
            <w:pPr>
              <w:widowControl/>
              <w:jc w:val="center"/>
              <w:textAlignment w:val="center"/>
              <w:rPr>
                <w:rFonts w:ascii="Times New Roman" w:hAnsi="Times New Roman" w:eastAsia="宋体" w:cs="Times New Roman"/>
                <w:color w:val="000000"/>
                <w:sz w:val="22"/>
              </w:rPr>
            </w:pPr>
            <w:r>
              <w:rPr>
                <w:rFonts w:hint="eastAsia" w:ascii="Times New Roman" w:hAnsi="Times New Roman" w:eastAsia="宋体" w:cs="Times New Roman"/>
                <w:color w:val="000000"/>
                <w:kern w:val="0"/>
                <w:sz w:val="22"/>
                <w:lang w:bidi="ar"/>
              </w:rPr>
              <w:t>5.93</w:t>
            </w:r>
          </w:p>
        </w:tc>
        <w:tc>
          <w:tcPr>
            <w:tcW w:w="1506" w:type="pct"/>
          </w:tcPr>
          <w:p>
            <w:pPr>
              <w:widowControl/>
              <w:jc w:val="center"/>
              <w:textAlignment w:val="center"/>
              <w:rPr>
                <w:rFonts w:ascii="Times New Roman" w:hAnsi="Times New Roman" w:eastAsia="宋体" w:cs="Times New Roman"/>
                <w:color w:val="000000"/>
                <w:kern w:val="0"/>
                <w:sz w:val="22"/>
                <w:lang w:bidi="ar"/>
              </w:rPr>
            </w:pPr>
            <w:r>
              <w:rPr>
                <w:rFonts w:hint="eastAsia" w:ascii="Times New Roman" w:hAnsi="Times New Roman" w:eastAsia="宋体" w:cs="Times New Roman"/>
                <w:color w:val="000000"/>
                <w:kern w:val="0"/>
                <w:sz w:val="22"/>
                <w:lang w:bidi="ar"/>
              </w:rPr>
              <w:t>0.29</w:t>
            </w:r>
          </w:p>
        </w:tc>
      </w:tr>
    </w:tbl>
    <w:p>
      <w:pPr>
        <w:pStyle w:val="4"/>
        <w:spacing w:line="500" w:lineRule="exact"/>
        <w:rPr>
          <w:rFonts w:ascii="Times New Roman" w:hAnsi="Times New Roman" w:cs="Times New Roman"/>
          <w:sz w:val="30"/>
          <w:szCs w:val="30"/>
        </w:rPr>
      </w:pPr>
      <w:bookmarkStart w:id="127" w:name="_Toc126075405"/>
      <w:r>
        <w:rPr>
          <w:rFonts w:hint="eastAsia" w:ascii="Times New Roman" w:hAnsi="Times New Roman" w:cs="Times New Roman"/>
          <w:sz w:val="30"/>
          <w:szCs w:val="30"/>
        </w:rPr>
        <w:t>7.3 资金来源</w:t>
      </w:r>
      <w:bookmarkEnd w:id="127"/>
    </w:p>
    <w:p>
      <w:pPr>
        <w:spacing w:line="600" w:lineRule="exact"/>
        <w:ind w:firstLine="560" w:firstLineChars="200"/>
        <w:rPr>
          <w:sz w:val="32"/>
          <w:szCs w:val="32"/>
        </w:rPr>
      </w:pPr>
      <w:r>
        <w:rPr>
          <w:rFonts w:hint="eastAsia" w:ascii="Times New Roman" w:hAnsi="Times New Roman" w:cs="Times New Roman"/>
          <w:sz w:val="28"/>
          <w:szCs w:val="28"/>
        </w:rPr>
        <w:t>项目总投资</w:t>
      </w:r>
      <w:r>
        <w:rPr>
          <w:rFonts w:ascii="Times New Roman" w:hAnsi="Times New Roman" w:cs="Times New Roman"/>
          <w:sz w:val="28"/>
          <w:szCs w:val="28"/>
        </w:rPr>
        <w:t>2032.08</w:t>
      </w:r>
      <w:r>
        <w:rPr>
          <w:rFonts w:hint="eastAsia" w:ascii="Times New Roman" w:hAnsi="Times New Roman" w:cs="Times New Roman"/>
          <w:sz w:val="28"/>
          <w:szCs w:val="28"/>
        </w:rPr>
        <w:t>万元，主要来源于区财政资金。</w:t>
      </w:r>
      <w:r>
        <w:rPr>
          <w:sz w:val="32"/>
          <w:szCs w:val="32"/>
        </w:rPr>
        <w:br w:type="page"/>
      </w:r>
    </w:p>
    <w:p>
      <w:pPr>
        <w:pStyle w:val="3"/>
        <w:spacing w:line="500" w:lineRule="exact"/>
        <w:jc w:val="center"/>
        <w:rPr>
          <w:sz w:val="32"/>
          <w:szCs w:val="32"/>
        </w:rPr>
      </w:pPr>
      <w:bookmarkStart w:id="128" w:name="_Toc126075406"/>
      <w:r>
        <w:rPr>
          <w:rFonts w:hint="eastAsia"/>
          <w:sz w:val="32"/>
          <w:szCs w:val="32"/>
        </w:rPr>
        <w:t>8 综合效益分析</w:t>
      </w:r>
      <w:bookmarkEnd w:id="128"/>
    </w:p>
    <w:p>
      <w:pPr>
        <w:pStyle w:val="4"/>
        <w:spacing w:line="500" w:lineRule="exact"/>
        <w:rPr>
          <w:rFonts w:ascii="Times New Roman" w:hAnsi="Times New Roman" w:cs="Times New Roman"/>
          <w:sz w:val="30"/>
          <w:szCs w:val="30"/>
        </w:rPr>
      </w:pPr>
      <w:bookmarkStart w:id="129" w:name="_Toc126075407"/>
      <w:r>
        <w:rPr>
          <w:rFonts w:hint="eastAsia" w:ascii="Times New Roman" w:hAnsi="Times New Roman" w:cs="Times New Roman"/>
          <w:sz w:val="30"/>
          <w:szCs w:val="30"/>
        </w:rPr>
        <w:t>8.1 生态效益分析</w:t>
      </w:r>
      <w:bookmarkEnd w:id="129"/>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森林是陆地生态系统的主体，是人类赖以生存的自然环境，与物种多样性、生态系统多样性、遗传多样性息息相关，森林能有效保护生物多样性，减缓温室效应，释放氧气，净化空气，涵养水源和防止水土流失，调节温度，消除噪声污染，在维护生态平衡和维护国土安全中发挥着不可替代的作用。项目建设虽然将造成局部区域森林面积小规模的减少，施工过程也会短暂减弱森林生态效益的发挥。从整体上看，建设项目可以不断补充和完善全区的“以水灭火”系统，构建以水库、河流、山坪塘、森林消防水箱、消防水池为主体的“以水灭火”系统，初步建立较为科学的森林防火预防扑救体系，在森林火灾和火情发生初期对其进行扑救，将森林火灾所造成的损失降至最低限度，更好的保护了森林资源，可以保障其更充分发挥森林生态系统的生态效益，筑牢长江上游生态屏障、推动绿色发展、构建主城生态屏障提供基础性保障，也为维护全区生物多样性、保护珍稀野生动植物资源做出更大的贡献。</w:t>
      </w:r>
    </w:p>
    <w:p>
      <w:pPr>
        <w:pStyle w:val="4"/>
        <w:spacing w:line="500" w:lineRule="exact"/>
        <w:rPr>
          <w:rFonts w:ascii="Times New Roman" w:hAnsi="Times New Roman" w:cs="Times New Roman"/>
          <w:sz w:val="30"/>
          <w:szCs w:val="30"/>
        </w:rPr>
      </w:pPr>
      <w:bookmarkStart w:id="130" w:name="_Toc126075408"/>
      <w:r>
        <w:rPr>
          <w:rFonts w:hint="eastAsia" w:ascii="Times New Roman" w:hAnsi="Times New Roman" w:cs="Times New Roman"/>
          <w:sz w:val="30"/>
          <w:szCs w:val="30"/>
        </w:rPr>
        <w:t>8.2 社会效益分析</w:t>
      </w:r>
      <w:bookmarkEnd w:id="130"/>
    </w:p>
    <w:p>
      <w:pPr>
        <w:spacing w:line="600" w:lineRule="exact"/>
        <w:ind w:firstLine="560" w:firstLineChars="200"/>
        <w:rPr>
          <w:rFonts w:ascii="Times New Roman" w:hAnsi="Times New Roman" w:cs="Times New Roman"/>
          <w:sz w:val="28"/>
          <w:szCs w:val="28"/>
        </w:rPr>
      </w:pPr>
      <w:r>
        <w:rPr>
          <w:rFonts w:hint="eastAsia" w:ascii="仿宋" w:hAnsi="仿宋" w:eastAsia="仿宋" w:cs="仿宋"/>
          <w:sz w:val="28"/>
          <w:szCs w:val="28"/>
        </w:rPr>
        <w:t>森</w:t>
      </w:r>
      <w:r>
        <w:rPr>
          <w:rFonts w:hint="eastAsia" w:ascii="Times New Roman" w:hAnsi="Times New Roman" w:cs="Times New Roman"/>
          <w:sz w:val="28"/>
          <w:szCs w:val="28"/>
        </w:rPr>
        <w:t>林防火重于泰山，事关生态、经济和社会发展，更是事关社会的稳定。2</w:t>
      </w:r>
      <w:r>
        <w:rPr>
          <w:rFonts w:ascii="Times New Roman" w:hAnsi="Times New Roman" w:cs="Times New Roman"/>
          <w:sz w:val="28"/>
          <w:szCs w:val="28"/>
        </w:rPr>
        <w:t>022年夏秋</w:t>
      </w:r>
      <w:r>
        <w:rPr>
          <w:rFonts w:hint="eastAsia" w:ascii="Times New Roman" w:hAnsi="Times New Roman" w:cs="Times New Roman"/>
          <w:sz w:val="28"/>
          <w:szCs w:val="28"/>
        </w:rPr>
        <w:t>，全市持续极端高温，森林草原火险气象等级高，森林防火面临巨大考验，全市多地相继发生森林山火，灭火过程中体现出灭火水源稀缺的问题。</w:t>
      </w:r>
    </w:p>
    <w:p>
      <w:pPr>
        <w:spacing w:line="600" w:lineRule="exact"/>
        <w:ind w:firstLine="560" w:firstLineChars="200"/>
        <w:rPr>
          <w:rFonts w:ascii="Times New Roman" w:hAnsi="Times New Roman" w:cs="Times New Roman"/>
          <w:sz w:val="28"/>
          <w:szCs w:val="28"/>
        </w:rPr>
      </w:pPr>
      <w:r>
        <w:rPr>
          <w:rFonts w:hint="eastAsia" w:ascii="Times New Roman" w:hAnsi="Times New Roman" w:cs="Times New Roman"/>
          <w:sz w:val="28"/>
          <w:szCs w:val="28"/>
        </w:rPr>
        <w:t>项目的实施，可以增大森林防火水源覆盖面、增加消防水源储备量。在项目的实施过程中，结合乡村振兴战略和美丽乡村建设，构建消防水箱和农业灌溉有机结合的农林防火灌溉体系，在推动林业发展的同时助力当地农业发展，促进林区森林旅游业和特色林业林的发展。</w:t>
      </w:r>
    </w:p>
    <w:p>
      <w:pPr>
        <w:spacing w:line="600" w:lineRule="exact"/>
        <w:ind w:firstLine="560" w:firstLineChars="200"/>
        <w:rPr>
          <w:rFonts w:ascii="Times New Roman" w:hAnsi="Times New Roman" w:cs="Times New Roman"/>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769554"/>
      <w:docPartObj>
        <w:docPartGallery w:val="autotext"/>
      </w:docPartObj>
    </w:sdtPr>
    <w:sdtContent>
      <w:p>
        <w:pPr>
          <w:pStyle w:val="9"/>
          <w:jc w:val="center"/>
        </w:pPr>
      </w:p>
      <w:p>
        <w:pPr>
          <w:pStyle w:val="9"/>
          <w:jc w:val="center"/>
        </w:pPr>
      </w:p>
      <w:p>
        <w:pPr>
          <w:pStyle w:val="9"/>
          <w:jc w:val="center"/>
        </w:pP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474351"/>
    </w:sdtPr>
    <w:sdtContent>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fldChar w:fldCharType="begin"/>
                              </w:r>
                              <w:r>
                                <w:instrText xml:space="preserve">PAGE   \* MERGEFORMAT</w:instrText>
                              </w:r>
                              <w:r>
                                <w:fldChar w:fldCharType="separate"/>
                              </w:r>
                              <w:r>
                                <w:rPr>
                                  <w:lang w:val="zh-CN"/>
                                </w:rP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9"/>
                          <w:jc w:val="center"/>
                        </w:pPr>
                        <w:r>
                          <w:fldChar w:fldCharType="begin"/>
                        </w:r>
                        <w:r>
                          <w:instrText xml:space="preserve">PAGE   \* MERGEFORMAT</w:instrText>
                        </w:r>
                        <w:r>
                          <w:fldChar w:fldCharType="separate"/>
                        </w:r>
                        <w:r>
                          <w:rPr>
                            <w:lang w:val="zh-CN"/>
                          </w:rPr>
                          <w:t>44</w:t>
                        </w:r>
                        <w:r>
                          <w:fldChar w:fldCharType="end"/>
                        </w:r>
                      </w:p>
                    </w:txbxContent>
                  </v:textbox>
                </v:shape>
              </w:pict>
            </mc:Fallback>
          </mc:AlternateContent>
        </w:r>
      </w:p>
    </w:sdtContent>
  </w:sdt>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NzQxNmY3MjJmN2EyZmI1OTNhYWNmOGFkMWIwNTAifQ=="/>
  </w:docVars>
  <w:rsids>
    <w:rsidRoot w:val="00A86E46"/>
    <w:rsid w:val="0000413A"/>
    <w:rsid w:val="00011A2A"/>
    <w:rsid w:val="0002515C"/>
    <w:rsid w:val="0003323E"/>
    <w:rsid w:val="000419A5"/>
    <w:rsid w:val="00041A45"/>
    <w:rsid w:val="00044389"/>
    <w:rsid w:val="00072687"/>
    <w:rsid w:val="000833E9"/>
    <w:rsid w:val="00093F86"/>
    <w:rsid w:val="0009760D"/>
    <w:rsid w:val="000B0F0A"/>
    <w:rsid w:val="000B7F25"/>
    <w:rsid w:val="000E3A90"/>
    <w:rsid w:val="000F744D"/>
    <w:rsid w:val="001054A8"/>
    <w:rsid w:val="00143E6B"/>
    <w:rsid w:val="00153F0C"/>
    <w:rsid w:val="001654C1"/>
    <w:rsid w:val="00174EAF"/>
    <w:rsid w:val="001813F9"/>
    <w:rsid w:val="00186B6B"/>
    <w:rsid w:val="001B4BB0"/>
    <w:rsid w:val="001C3F72"/>
    <w:rsid w:val="001E100B"/>
    <w:rsid w:val="001F7F9F"/>
    <w:rsid w:val="00201CEC"/>
    <w:rsid w:val="00221289"/>
    <w:rsid w:val="002300FF"/>
    <w:rsid w:val="00231602"/>
    <w:rsid w:val="0028557A"/>
    <w:rsid w:val="00286AEB"/>
    <w:rsid w:val="002B7D5F"/>
    <w:rsid w:val="002D5E18"/>
    <w:rsid w:val="002F53D3"/>
    <w:rsid w:val="0031421B"/>
    <w:rsid w:val="00321EEC"/>
    <w:rsid w:val="003304DD"/>
    <w:rsid w:val="003366E4"/>
    <w:rsid w:val="00372219"/>
    <w:rsid w:val="0037327F"/>
    <w:rsid w:val="0038369B"/>
    <w:rsid w:val="003B023A"/>
    <w:rsid w:val="003B3028"/>
    <w:rsid w:val="003C00E6"/>
    <w:rsid w:val="003C4AE6"/>
    <w:rsid w:val="003D1220"/>
    <w:rsid w:val="003E62C0"/>
    <w:rsid w:val="004102E3"/>
    <w:rsid w:val="00422341"/>
    <w:rsid w:val="00422A40"/>
    <w:rsid w:val="0042588A"/>
    <w:rsid w:val="0043356E"/>
    <w:rsid w:val="00434504"/>
    <w:rsid w:val="00437DA0"/>
    <w:rsid w:val="0044688F"/>
    <w:rsid w:val="00453729"/>
    <w:rsid w:val="004643BE"/>
    <w:rsid w:val="004752C1"/>
    <w:rsid w:val="004936B4"/>
    <w:rsid w:val="00494CF5"/>
    <w:rsid w:val="004A330B"/>
    <w:rsid w:val="004A61A0"/>
    <w:rsid w:val="004E2721"/>
    <w:rsid w:val="004E67ED"/>
    <w:rsid w:val="004E7002"/>
    <w:rsid w:val="004E76A8"/>
    <w:rsid w:val="0051529E"/>
    <w:rsid w:val="00520016"/>
    <w:rsid w:val="00521285"/>
    <w:rsid w:val="005321E6"/>
    <w:rsid w:val="00533603"/>
    <w:rsid w:val="005343A7"/>
    <w:rsid w:val="00534A1D"/>
    <w:rsid w:val="00547F15"/>
    <w:rsid w:val="0056171B"/>
    <w:rsid w:val="005735A0"/>
    <w:rsid w:val="005778F5"/>
    <w:rsid w:val="005C3AA1"/>
    <w:rsid w:val="005C6D94"/>
    <w:rsid w:val="005F1FB4"/>
    <w:rsid w:val="00600EE8"/>
    <w:rsid w:val="006011CA"/>
    <w:rsid w:val="006106AD"/>
    <w:rsid w:val="0061114C"/>
    <w:rsid w:val="00616C13"/>
    <w:rsid w:val="00621572"/>
    <w:rsid w:val="006226D5"/>
    <w:rsid w:val="00622823"/>
    <w:rsid w:val="00636005"/>
    <w:rsid w:val="00654C48"/>
    <w:rsid w:val="006670C9"/>
    <w:rsid w:val="006758C9"/>
    <w:rsid w:val="00685588"/>
    <w:rsid w:val="006B01E9"/>
    <w:rsid w:val="006B51A6"/>
    <w:rsid w:val="006B7B2D"/>
    <w:rsid w:val="006D134D"/>
    <w:rsid w:val="006E4AC0"/>
    <w:rsid w:val="006E5498"/>
    <w:rsid w:val="006F181B"/>
    <w:rsid w:val="006F3119"/>
    <w:rsid w:val="0070174B"/>
    <w:rsid w:val="0070790D"/>
    <w:rsid w:val="007118F6"/>
    <w:rsid w:val="007123F8"/>
    <w:rsid w:val="00713DFE"/>
    <w:rsid w:val="00724CE0"/>
    <w:rsid w:val="00783F6B"/>
    <w:rsid w:val="00792A43"/>
    <w:rsid w:val="00792E28"/>
    <w:rsid w:val="007B0D24"/>
    <w:rsid w:val="007B4D86"/>
    <w:rsid w:val="007D0CE6"/>
    <w:rsid w:val="00800EC1"/>
    <w:rsid w:val="008121D6"/>
    <w:rsid w:val="00812493"/>
    <w:rsid w:val="00813019"/>
    <w:rsid w:val="008571C4"/>
    <w:rsid w:val="008763CF"/>
    <w:rsid w:val="00884D6D"/>
    <w:rsid w:val="00885936"/>
    <w:rsid w:val="008B5824"/>
    <w:rsid w:val="008C30DB"/>
    <w:rsid w:val="008E140D"/>
    <w:rsid w:val="008E6F44"/>
    <w:rsid w:val="008F5F58"/>
    <w:rsid w:val="00923FC2"/>
    <w:rsid w:val="00952F8D"/>
    <w:rsid w:val="009557CB"/>
    <w:rsid w:val="0096039A"/>
    <w:rsid w:val="009627EC"/>
    <w:rsid w:val="00997C65"/>
    <w:rsid w:val="009A39A0"/>
    <w:rsid w:val="009A3D3F"/>
    <w:rsid w:val="009B0A0E"/>
    <w:rsid w:val="009B1141"/>
    <w:rsid w:val="009D516D"/>
    <w:rsid w:val="009E0804"/>
    <w:rsid w:val="009E3BB5"/>
    <w:rsid w:val="009E6E2B"/>
    <w:rsid w:val="00A175AB"/>
    <w:rsid w:val="00A268CD"/>
    <w:rsid w:val="00A32C76"/>
    <w:rsid w:val="00A44494"/>
    <w:rsid w:val="00A4561F"/>
    <w:rsid w:val="00A575C2"/>
    <w:rsid w:val="00A61413"/>
    <w:rsid w:val="00A7363D"/>
    <w:rsid w:val="00A80B6C"/>
    <w:rsid w:val="00A81D8D"/>
    <w:rsid w:val="00A86E46"/>
    <w:rsid w:val="00A90F9D"/>
    <w:rsid w:val="00AB198B"/>
    <w:rsid w:val="00AB7BAC"/>
    <w:rsid w:val="00AC62E5"/>
    <w:rsid w:val="00AC6E97"/>
    <w:rsid w:val="00AE1376"/>
    <w:rsid w:val="00AE38F6"/>
    <w:rsid w:val="00AE604C"/>
    <w:rsid w:val="00AF379E"/>
    <w:rsid w:val="00AF7FDD"/>
    <w:rsid w:val="00B02C9A"/>
    <w:rsid w:val="00B0478D"/>
    <w:rsid w:val="00B156CF"/>
    <w:rsid w:val="00B33795"/>
    <w:rsid w:val="00B426E6"/>
    <w:rsid w:val="00B45021"/>
    <w:rsid w:val="00B45B08"/>
    <w:rsid w:val="00B63A93"/>
    <w:rsid w:val="00B67417"/>
    <w:rsid w:val="00B748C2"/>
    <w:rsid w:val="00B84255"/>
    <w:rsid w:val="00B84FEF"/>
    <w:rsid w:val="00B9132E"/>
    <w:rsid w:val="00BB3B61"/>
    <w:rsid w:val="00BF3A7D"/>
    <w:rsid w:val="00BF4114"/>
    <w:rsid w:val="00BF5491"/>
    <w:rsid w:val="00BF6AC7"/>
    <w:rsid w:val="00C166EA"/>
    <w:rsid w:val="00C23004"/>
    <w:rsid w:val="00C36906"/>
    <w:rsid w:val="00C37F15"/>
    <w:rsid w:val="00C510EA"/>
    <w:rsid w:val="00C711C1"/>
    <w:rsid w:val="00C71EB3"/>
    <w:rsid w:val="00C87612"/>
    <w:rsid w:val="00CA542E"/>
    <w:rsid w:val="00CB2401"/>
    <w:rsid w:val="00CE2702"/>
    <w:rsid w:val="00CE3708"/>
    <w:rsid w:val="00CE3D07"/>
    <w:rsid w:val="00D14C16"/>
    <w:rsid w:val="00D15500"/>
    <w:rsid w:val="00D27C28"/>
    <w:rsid w:val="00D336FC"/>
    <w:rsid w:val="00D436D9"/>
    <w:rsid w:val="00D461B4"/>
    <w:rsid w:val="00D52AC8"/>
    <w:rsid w:val="00D5491F"/>
    <w:rsid w:val="00D75141"/>
    <w:rsid w:val="00D77C2B"/>
    <w:rsid w:val="00D859B6"/>
    <w:rsid w:val="00D91BB9"/>
    <w:rsid w:val="00D93D80"/>
    <w:rsid w:val="00D95219"/>
    <w:rsid w:val="00D96315"/>
    <w:rsid w:val="00D97DB3"/>
    <w:rsid w:val="00DA2A2E"/>
    <w:rsid w:val="00DD4293"/>
    <w:rsid w:val="00DD7A80"/>
    <w:rsid w:val="00DE1CDF"/>
    <w:rsid w:val="00DF6873"/>
    <w:rsid w:val="00E004F0"/>
    <w:rsid w:val="00E023F0"/>
    <w:rsid w:val="00E32E63"/>
    <w:rsid w:val="00E37CE7"/>
    <w:rsid w:val="00E41BE3"/>
    <w:rsid w:val="00E47381"/>
    <w:rsid w:val="00E67DEC"/>
    <w:rsid w:val="00E72A60"/>
    <w:rsid w:val="00E74876"/>
    <w:rsid w:val="00E833C7"/>
    <w:rsid w:val="00EB157E"/>
    <w:rsid w:val="00EB1815"/>
    <w:rsid w:val="00EC3B7E"/>
    <w:rsid w:val="00EF6B3F"/>
    <w:rsid w:val="00F00762"/>
    <w:rsid w:val="00F07DB8"/>
    <w:rsid w:val="00F253B4"/>
    <w:rsid w:val="00F37124"/>
    <w:rsid w:val="00F43242"/>
    <w:rsid w:val="00F60C1B"/>
    <w:rsid w:val="00F636B9"/>
    <w:rsid w:val="00F73C51"/>
    <w:rsid w:val="00F77F05"/>
    <w:rsid w:val="00F874EE"/>
    <w:rsid w:val="00F95634"/>
    <w:rsid w:val="00FA353F"/>
    <w:rsid w:val="00FD33B9"/>
    <w:rsid w:val="00FD4F03"/>
    <w:rsid w:val="00FE2328"/>
    <w:rsid w:val="00FF65E7"/>
    <w:rsid w:val="014142F8"/>
    <w:rsid w:val="1392552E"/>
    <w:rsid w:val="20D56265"/>
    <w:rsid w:val="22006ECC"/>
    <w:rsid w:val="24AA3BA8"/>
    <w:rsid w:val="25FE2460"/>
    <w:rsid w:val="27950BB8"/>
    <w:rsid w:val="3A4878D3"/>
    <w:rsid w:val="4D3768DE"/>
    <w:rsid w:val="56F017FB"/>
    <w:rsid w:val="57E321FF"/>
    <w:rsid w:val="641215E7"/>
    <w:rsid w:val="650B5913"/>
    <w:rsid w:val="6AB324B0"/>
    <w:rsid w:val="73C64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link w:val="20"/>
    <w:unhideWhenUsed/>
    <w:qFormat/>
    <w:uiPriority w:val="0"/>
    <w:pPr>
      <w:keepNext/>
      <w:keepLines/>
      <w:spacing w:before="260" w:after="260" w:line="415" w:lineRule="auto"/>
      <w:outlineLvl w:val="1"/>
    </w:pPr>
    <w:rPr>
      <w:rFonts w:ascii="Cambria" w:hAnsi="Cambria" w:eastAsia="宋体" w:cs="宋体"/>
      <w:b/>
      <w:bCs/>
      <w:kern w:val="0"/>
      <w:sz w:val="32"/>
      <w:szCs w:val="32"/>
    </w:rPr>
  </w:style>
  <w:style w:type="paragraph" w:styleId="5">
    <w:name w:val="heading 3"/>
    <w:basedOn w:val="1"/>
    <w:next w:val="1"/>
    <w:link w:val="21"/>
    <w:unhideWhenUsed/>
    <w:qFormat/>
    <w:uiPriority w:val="9"/>
    <w:pPr>
      <w:keepNext/>
      <w:keepLines/>
      <w:spacing w:before="260" w:after="260" w:line="415" w:lineRule="auto"/>
      <w:outlineLvl w:val="2"/>
    </w:pPr>
    <w:rPr>
      <w:rFonts w:ascii="Calibri" w:hAnsi="Calibri" w:eastAsia="宋体" w:cs="黑体"/>
      <w:b/>
      <w:bCs/>
      <w:sz w:val="32"/>
      <w:szCs w:val="32"/>
    </w:rPr>
  </w:style>
  <w:style w:type="paragraph" w:styleId="6">
    <w:name w:val="heading 4"/>
    <w:basedOn w:val="1"/>
    <w:next w:val="1"/>
    <w:link w:val="22"/>
    <w:semiHidden/>
    <w:unhideWhenUsed/>
    <w:qFormat/>
    <w:uiPriority w:val="0"/>
    <w:pPr>
      <w:keepNext/>
      <w:keepLines/>
      <w:spacing w:before="280" w:after="290" w:line="374" w:lineRule="auto"/>
      <w:outlineLvl w:val="3"/>
    </w:pPr>
    <w:rPr>
      <w:rFonts w:ascii="Arial" w:hAnsi="Arial" w:eastAsia="黑体" w:cs="Times New Roman"/>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toc 3"/>
    <w:basedOn w:val="1"/>
    <w:next w:val="1"/>
    <w:unhideWhenUsed/>
    <w:qFormat/>
    <w:uiPriority w:val="39"/>
    <w:pPr>
      <w:widowControl/>
      <w:spacing w:after="100" w:line="276" w:lineRule="auto"/>
      <w:ind w:left="440"/>
      <w:jc w:val="left"/>
    </w:pPr>
    <w:rPr>
      <w:kern w:val="0"/>
      <w:sz w:val="22"/>
    </w:rPr>
  </w:style>
  <w:style w:type="paragraph" w:styleId="8">
    <w:name w:val="Balloon Text"/>
    <w:basedOn w:val="1"/>
    <w:link w:val="23"/>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296"/>
      </w:tabs>
      <w:spacing w:after="100" w:line="276" w:lineRule="auto"/>
      <w:jc w:val="left"/>
    </w:pPr>
    <w:rPr>
      <w:b/>
      <w:kern w:val="0"/>
      <w:sz w:val="24"/>
      <w:szCs w:val="24"/>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semiHidden/>
    <w:unhideWhenUsed/>
    <w:uiPriority w:val="99"/>
    <w:rPr>
      <w:color w:val="800080"/>
      <w:u w:val="single"/>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标题 1 Char"/>
    <w:basedOn w:val="16"/>
    <w:link w:val="3"/>
    <w:qFormat/>
    <w:uiPriority w:val="0"/>
    <w:rPr>
      <w:rFonts w:ascii="Times New Roman" w:hAnsi="Times New Roman" w:eastAsia="宋体" w:cs="Times New Roman"/>
      <w:b/>
      <w:bCs/>
      <w:kern w:val="44"/>
      <w:sz w:val="44"/>
      <w:szCs w:val="44"/>
    </w:rPr>
  </w:style>
  <w:style w:type="character" w:customStyle="1" w:styleId="20">
    <w:name w:val="标题 2 Char"/>
    <w:basedOn w:val="16"/>
    <w:link w:val="4"/>
    <w:semiHidden/>
    <w:qFormat/>
    <w:uiPriority w:val="0"/>
    <w:rPr>
      <w:rFonts w:ascii="Cambria" w:hAnsi="Cambria" w:eastAsia="宋体" w:cs="宋体"/>
      <w:b/>
      <w:bCs/>
      <w:kern w:val="0"/>
      <w:sz w:val="32"/>
      <w:szCs w:val="32"/>
    </w:rPr>
  </w:style>
  <w:style w:type="character" w:customStyle="1" w:styleId="21">
    <w:name w:val="标题 3 Char"/>
    <w:basedOn w:val="16"/>
    <w:link w:val="5"/>
    <w:semiHidden/>
    <w:qFormat/>
    <w:uiPriority w:val="9"/>
    <w:rPr>
      <w:rFonts w:ascii="Calibri" w:hAnsi="Calibri" w:eastAsia="宋体" w:cs="黑体"/>
      <w:b/>
      <w:bCs/>
      <w:sz w:val="32"/>
      <w:szCs w:val="32"/>
    </w:rPr>
  </w:style>
  <w:style w:type="character" w:customStyle="1" w:styleId="22">
    <w:name w:val="标题 4 Char"/>
    <w:basedOn w:val="16"/>
    <w:link w:val="6"/>
    <w:semiHidden/>
    <w:qFormat/>
    <w:uiPriority w:val="0"/>
    <w:rPr>
      <w:rFonts w:ascii="Arial" w:hAnsi="Arial" w:eastAsia="黑体" w:cs="Times New Roman"/>
      <w:b/>
      <w:bCs/>
      <w:sz w:val="28"/>
      <w:szCs w:val="28"/>
    </w:rPr>
  </w:style>
  <w:style w:type="character" w:customStyle="1" w:styleId="23">
    <w:name w:val="批注框文本 Char"/>
    <w:basedOn w:val="16"/>
    <w:link w:val="8"/>
    <w:semiHidden/>
    <w:qFormat/>
    <w:uiPriority w:val="99"/>
    <w:rPr>
      <w:kern w:val="2"/>
      <w:sz w:val="18"/>
      <w:szCs w:val="18"/>
    </w:rPr>
  </w:style>
  <w:style w:type="character" w:customStyle="1" w:styleId="24">
    <w:name w:val="页脚 Char"/>
    <w:basedOn w:val="16"/>
    <w:link w:val="9"/>
    <w:qFormat/>
    <w:uiPriority w:val="99"/>
    <w:rPr>
      <w:sz w:val="18"/>
      <w:szCs w:val="18"/>
    </w:rPr>
  </w:style>
  <w:style w:type="character" w:customStyle="1" w:styleId="25">
    <w:name w:val="页眉 Char"/>
    <w:basedOn w:val="16"/>
    <w:link w:val="10"/>
    <w:qFormat/>
    <w:uiPriority w:val="99"/>
    <w:rPr>
      <w:sz w:val="18"/>
      <w:szCs w:val="18"/>
    </w:rPr>
  </w:style>
  <w:style w:type="character" w:customStyle="1" w:styleId="26">
    <w:name w:val="二级标题 Char"/>
    <w:link w:val="27"/>
    <w:qFormat/>
    <w:uiPriority w:val="0"/>
    <w:rPr>
      <w:rFonts w:ascii="方正楷体_GBK" w:eastAsia="方正楷体_GBK"/>
      <w:sz w:val="32"/>
      <w:szCs w:val="32"/>
    </w:rPr>
  </w:style>
  <w:style w:type="paragraph" w:customStyle="1" w:styleId="27">
    <w:name w:val="二级标题"/>
    <w:basedOn w:val="1"/>
    <w:link w:val="26"/>
    <w:qFormat/>
    <w:uiPriority w:val="0"/>
    <w:pPr>
      <w:ind w:firstLine="640" w:firstLineChars="200"/>
      <w:jc w:val="left"/>
    </w:pPr>
    <w:rPr>
      <w:rFonts w:ascii="方正楷体_GBK" w:eastAsia="方正楷体_GBK"/>
      <w:kern w:val="0"/>
      <w:sz w:val="32"/>
      <w:szCs w:val="32"/>
    </w:rPr>
  </w:style>
  <w:style w:type="paragraph" w:customStyle="1" w:styleId="28">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font31"/>
    <w:basedOn w:val="16"/>
    <w:qFormat/>
    <w:uiPriority w:val="0"/>
    <w:rPr>
      <w:rFonts w:hint="eastAsia" w:ascii="宋体" w:hAnsi="宋体" w:eastAsia="宋体" w:cs="宋体"/>
      <w:b/>
      <w:bCs/>
      <w:color w:val="000000"/>
      <w:sz w:val="18"/>
      <w:szCs w:val="18"/>
      <w:u w:val="none"/>
    </w:rPr>
  </w:style>
  <w:style w:type="character" w:customStyle="1" w:styleId="30">
    <w:name w:val="font51"/>
    <w:basedOn w:val="16"/>
    <w:qFormat/>
    <w:uiPriority w:val="0"/>
    <w:rPr>
      <w:rFonts w:hint="default" w:ascii="Times New Roman" w:hAnsi="Times New Roman" w:cs="Times New Roman"/>
      <w:b/>
      <w:bCs/>
      <w:color w:val="000000"/>
      <w:sz w:val="18"/>
      <w:szCs w:val="18"/>
      <w:u w:val="none"/>
    </w:rPr>
  </w:style>
  <w:style w:type="paragraph" w:styleId="31">
    <w:name w:val="List Paragraph"/>
    <w:basedOn w:val="1"/>
    <w:unhideWhenUsed/>
    <w:qFormat/>
    <w:uiPriority w:val="99"/>
    <w:pPr>
      <w:ind w:firstLine="420" w:firstLineChars="200"/>
    </w:pPr>
  </w:style>
  <w:style w:type="paragraph" w:customStyle="1" w:styleId="32">
    <w:name w:val="1正文"/>
    <w:basedOn w:val="1"/>
    <w:link w:val="33"/>
    <w:qFormat/>
    <w:uiPriority w:val="0"/>
    <w:pPr>
      <w:ind w:firstLine="560" w:firstLineChars="200"/>
    </w:pPr>
    <w:rPr>
      <w:rFonts w:ascii="Times New Roman" w:hAnsi="Times New Roman" w:eastAsia="仿宋" w:cs="Times New Roman"/>
      <w:bCs/>
      <w:sz w:val="28"/>
      <w:szCs w:val="24"/>
    </w:rPr>
  </w:style>
  <w:style w:type="character" w:customStyle="1" w:styleId="33">
    <w:name w:val="1正文 Char"/>
    <w:basedOn w:val="16"/>
    <w:link w:val="32"/>
    <w:qFormat/>
    <w:uiPriority w:val="0"/>
    <w:rPr>
      <w:rFonts w:ascii="Times New Roman" w:hAnsi="Times New Roman" w:eastAsia="仿宋" w:cs="Times New Roman"/>
      <w:bCs/>
      <w:kern w:val="2"/>
      <w:sz w:val="28"/>
      <w:szCs w:val="24"/>
    </w:rPr>
  </w:style>
  <w:style w:type="paragraph" w:customStyle="1" w:styleId="34">
    <w:name w:val="font5"/>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22"/>
    </w:rPr>
  </w:style>
  <w:style w:type="paragraph" w:customStyle="1" w:styleId="35">
    <w:name w:val="font6"/>
    <w:basedOn w:val="1"/>
    <w:uiPriority w:val="0"/>
    <w:pPr>
      <w:widowControl/>
      <w:spacing w:before="100" w:beforeAutospacing="1" w:after="100" w:afterAutospacing="1"/>
      <w:jc w:val="left"/>
    </w:pPr>
    <w:rPr>
      <w:rFonts w:ascii="宋体" w:hAnsi="宋体" w:eastAsia="宋体" w:cs="宋体"/>
      <w:b/>
      <w:bCs/>
      <w:color w:val="000000"/>
      <w:kern w:val="0"/>
      <w:sz w:val="22"/>
    </w:rPr>
  </w:style>
  <w:style w:type="paragraph" w:customStyle="1" w:styleId="36">
    <w:name w:val="font7"/>
    <w:basedOn w:val="1"/>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37">
    <w:name w:val="font8"/>
    <w:basedOn w:val="1"/>
    <w:uiPriority w:val="0"/>
    <w:pPr>
      <w:widowControl/>
      <w:spacing w:before="100" w:beforeAutospacing="1" w:after="100" w:afterAutospacing="1"/>
      <w:jc w:val="left"/>
    </w:pPr>
    <w:rPr>
      <w:rFonts w:ascii="宋体" w:hAnsi="宋体" w:eastAsia="宋体" w:cs="宋体"/>
      <w:kern w:val="0"/>
      <w:sz w:val="22"/>
    </w:rPr>
  </w:style>
  <w:style w:type="paragraph" w:customStyle="1" w:styleId="38">
    <w:name w:val="xl65"/>
    <w:basedOn w:val="1"/>
    <w:uiPriority w:val="0"/>
    <w:pPr>
      <w:widowControl/>
      <w:shd w:val="clear" w:color="000000" w:fill="FFFF00"/>
      <w:spacing w:before="100" w:beforeAutospacing="1" w:after="100" w:afterAutospacing="1"/>
      <w:jc w:val="left"/>
    </w:pPr>
    <w:rPr>
      <w:rFonts w:ascii="宋体" w:hAnsi="宋体" w:eastAsia="宋体" w:cs="宋体"/>
      <w:kern w:val="0"/>
      <w:sz w:val="24"/>
      <w:szCs w:val="24"/>
    </w:rPr>
  </w:style>
  <w:style w:type="paragraph" w:customStyle="1" w:styleId="39">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0">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1">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2">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43">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44">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941796-14F2-4224-9B5A-B1700A7882B6}">
  <ds:schemaRefs/>
</ds:datastoreItem>
</file>

<file path=docProps/app.xml><?xml version="1.0" encoding="utf-8"?>
<Properties xmlns="http://schemas.openxmlformats.org/officeDocument/2006/extended-properties" xmlns:vt="http://schemas.openxmlformats.org/officeDocument/2006/docPropsVTypes">
  <Template>Normal</Template>
  <Pages>51</Pages>
  <Words>6276</Words>
  <Characters>35779</Characters>
  <Lines>298</Lines>
  <Paragraphs>83</Paragraphs>
  <TotalTime>2322</TotalTime>
  <ScaleCrop>false</ScaleCrop>
  <LinksUpToDate>false</LinksUpToDate>
  <CharactersWithSpaces>41972</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2022-12-06T03:07:00Z</dcterms:created>
  <dc:creator>xtzj</dc:creator>
  <cp:lastModifiedBy>杨倩怡</cp:lastModifiedBy>
  <dcterms:modified xsi:type="dcterms:W3CDTF">2025-03-13T07:13:52Z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85BFC13E229D44539A8DCF5F412C3B36</vt:lpwstr>
  </property>
</Properties>
</file>