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ind w:firstLine="640" w:firstLineChars="200"/>
        <w:jc w:val="both"/>
        <w:textAlignment w:val="baseline"/>
        <w:rPr>
          <w:rFonts w:hint="eastAsia" w:ascii="方正黑体_GBK" w:hAnsi="方正黑体_GBK" w:eastAsia="方正黑体_GBK" w:cs="方正黑体_GBK"/>
          <w:b w:val="0"/>
          <w:bCs/>
          <w:i w:val="0"/>
          <w:caps w:val="0"/>
          <w:spacing w:val="0"/>
          <w:w w:val="100"/>
          <w:sz w:val="32"/>
          <w:szCs w:val="32"/>
        </w:rPr>
      </w:pPr>
      <w:bookmarkStart w:id="0" w:name="_GoBack"/>
      <w:bookmarkEnd w:id="0"/>
      <w:r>
        <w:rPr>
          <w:rFonts w:hint="eastAsia" w:ascii="方正黑体_GBK" w:hAnsi="方正黑体_GBK" w:eastAsia="方正黑体_GBK" w:cs="方正黑体_GBK"/>
          <w:b w:val="0"/>
          <w:bCs/>
          <w:i w:val="0"/>
          <w:caps w:val="0"/>
          <w:spacing w:val="0"/>
          <w:w w:val="100"/>
          <w:sz w:val="32"/>
          <w:szCs w:val="32"/>
        </w:rPr>
        <w:t>一、案例基本信息采集</w:t>
      </w:r>
    </w:p>
    <w:p>
      <w:pPr>
        <w:keepLines w:val="0"/>
        <w:widowControl w:val="0"/>
        <w:snapToGrid/>
        <w:spacing w:before="0" w:beforeAutospacing="0" w:after="0" w:afterAutospacing="0" w:line="560" w:lineRule="exact"/>
        <w:jc w:val="left"/>
        <w:textAlignment w:val="baseline"/>
        <w:rPr>
          <w:rFonts w:hint="eastAsia" w:ascii="方正仿宋_GBK" w:hAnsi="方正仿宋_GBK" w:eastAsia="方正仿宋_GBK" w:cs="方正仿宋_GBK"/>
          <w:b w:val="0"/>
          <w:i w:val="0"/>
          <w:caps w:val="0"/>
          <w:spacing w:val="0"/>
          <w:w w:val="100"/>
          <w:sz w:val="32"/>
          <w:szCs w:val="32"/>
          <w:u w:val="single"/>
        </w:rPr>
      </w:pPr>
      <w:r>
        <w:rPr>
          <w:rFonts w:hint="eastAsia" w:ascii="仿宋" w:hAnsi="仿宋" w:eastAsia="仿宋"/>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rPr>
        <w:t>案例类型：</w:t>
      </w:r>
      <w:r>
        <w:rPr>
          <w:rFonts w:hint="eastAsia" w:ascii="方正仿宋_GBK" w:hAnsi="方正仿宋_GBK" w:eastAsia="方正仿宋_GBK" w:cs="方正仿宋_GBK"/>
          <w:b w:val="0"/>
          <w:i w:val="0"/>
          <w:caps w:val="0"/>
          <w:spacing w:val="0"/>
          <w:w w:val="100"/>
          <w:sz w:val="32"/>
          <w:szCs w:val="32"/>
          <w:u w:val="single" w:color="000000"/>
        </w:rPr>
        <w:t xml:space="preserve"> </w:t>
      </w:r>
      <w:r>
        <w:rPr>
          <w:rFonts w:hint="eastAsia" w:ascii="方正仿宋_GBK" w:hAnsi="方正仿宋_GBK" w:eastAsia="方正仿宋_GBK" w:cs="方正仿宋_GBK"/>
          <w:b w:val="0"/>
          <w:i w:val="0"/>
          <w:caps w:val="0"/>
          <w:spacing w:val="0"/>
          <w:w w:val="100"/>
          <w:sz w:val="32"/>
          <w:szCs w:val="32"/>
          <w:u w:val="single" w:color="000000"/>
          <w:lang w:eastAsia="zh-CN"/>
        </w:rPr>
        <w:t>以案释法案例</w:t>
      </w:r>
      <w:r>
        <w:rPr>
          <w:rFonts w:hint="eastAsia" w:ascii="方正仿宋_GBK" w:hAnsi="方正仿宋_GBK" w:eastAsia="方正仿宋_GBK" w:cs="方正仿宋_GBK"/>
          <w:b w:val="0"/>
          <w:i w:val="0"/>
          <w:caps w:val="0"/>
          <w:spacing w:val="0"/>
          <w:w w:val="100"/>
          <w:sz w:val="32"/>
          <w:szCs w:val="32"/>
          <w:u w:val="single" w:color="000000"/>
        </w:rPr>
        <w:t xml:space="preserve">                                          </w:t>
      </w:r>
    </w:p>
    <w:p>
      <w:pPr>
        <w:keepLines w:val="0"/>
        <w:widowControl w:val="0"/>
        <w:snapToGrid/>
        <w:spacing w:before="0" w:beforeAutospacing="0" w:after="0" w:afterAutospacing="0" w:line="560" w:lineRule="exact"/>
        <w:ind w:firstLine="640" w:firstLineChars="200"/>
        <w:jc w:val="left"/>
        <w:textAlignment w:val="baseline"/>
        <w:rPr>
          <w:rFonts w:hint="eastAsia" w:ascii="方正仿宋_GBK" w:hAnsi="方正仿宋_GBK" w:eastAsia="方正仿宋_GBK" w:cs="方正仿宋_GBK"/>
          <w:b w:val="0"/>
          <w:i w:val="0"/>
          <w:caps w:val="0"/>
          <w:spacing w:val="0"/>
          <w:w w:val="100"/>
          <w:sz w:val="32"/>
          <w:szCs w:val="32"/>
          <w:u w:val="single"/>
        </w:rPr>
      </w:pPr>
      <w:r>
        <w:rPr>
          <w:rFonts w:hint="eastAsia" w:ascii="方正仿宋_GBK" w:hAnsi="方正仿宋_GBK" w:eastAsia="方正仿宋_GBK" w:cs="方正仿宋_GBK"/>
          <w:b w:val="0"/>
          <w:i w:val="0"/>
          <w:caps w:val="0"/>
          <w:spacing w:val="0"/>
          <w:w w:val="100"/>
          <w:sz w:val="32"/>
          <w:szCs w:val="32"/>
        </w:rPr>
        <w:t>案例报送单位：</w:t>
      </w:r>
      <w:r>
        <w:rPr>
          <w:rFonts w:hint="eastAsia" w:ascii="方正仿宋_GBK" w:hAnsi="方正仿宋_GBK" w:eastAsia="方正仿宋_GBK" w:cs="方正仿宋_GBK"/>
          <w:b w:val="0"/>
          <w:i w:val="0"/>
          <w:caps w:val="0"/>
          <w:spacing w:val="0"/>
          <w:w w:val="100"/>
          <w:sz w:val="32"/>
          <w:szCs w:val="32"/>
          <w:u w:val="single" w:color="000000"/>
        </w:rPr>
        <w:t xml:space="preserve"> </w:t>
      </w:r>
      <w:r>
        <w:rPr>
          <w:rFonts w:hint="eastAsia" w:ascii="方正仿宋_GBK" w:hAnsi="方正仿宋_GBK" w:eastAsia="方正仿宋_GBK" w:cs="方正仿宋_GBK"/>
          <w:b w:val="0"/>
          <w:i w:val="0"/>
          <w:caps w:val="0"/>
          <w:spacing w:val="0"/>
          <w:w w:val="100"/>
          <w:sz w:val="32"/>
          <w:szCs w:val="32"/>
          <w:u w:val="single" w:color="000000"/>
          <w:lang w:val="en-US" w:eastAsia="zh-CN"/>
        </w:rPr>
        <w:t>重庆市</w:t>
      </w:r>
      <w:r>
        <w:rPr>
          <w:rFonts w:hint="eastAsia" w:ascii="方正仿宋_GBK" w:hAnsi="方正仿宋_GBK" w:eastAsia="方正仿宋_GBK" w:cs="方正仿宋_GBK"/>
          <w:b w:val="0"/>
          <w:i w:val="0"/>
          <w:caps w:val="0"/>
          <w:spacing w:val="0"/>
          <w:w w:val="100"/>
          <w:sz w:val="32"/>
          <w:szCs w:val="32"/>
          <w:u w:val="single" w:color="000000"/>
          <w:lang w:eastAsia="zh-CN"/>
        </w:rPr>
        <w:t>渝北区林业局</w:t>
      </w:r>
      <w:r>
        <w:rPr>
          <w:rFonts w:hint="eastAsia" w:ascii="方正仿宋_GBK" w:hAnsi="方正仿宋_GBK" w:eastAsia="方正仿宋_GBK" w:cs="方正仿宋_GBK"/>
          <w:b w:val="0"/>
          <w:i w:val="0"/>
          <w:caps w:val="0"/>
          <w:spacing w:val="0"/>
          <w:w w:val="100"/>
          <w:sz w:val="32"/>
          <w:szCs w:val="32"/>
          <w:u w:val="single" w:color="000000"/>
        </w:rPr>
        <w:t xml:space="preserve">                                     </w:t>
      </w:r>
    </w:p>
    <w:p>
      <w:pPr>
        <w:pStyle w:val="11"/>
        <w:keepLines w:val="0"/>
        <w:widowControl w:val="0"/>
        <w:snapToGrid/>
        <w:spacing w:before="0" w:beforeAutospacing="0" w:after="0" w:afterAutospacing="0" w:line="560" w:lineRule="exact"/>
        <w:ind w:left="720" w:firstLine="0" w:firstLineChars="0"/>
        <w:jc w:val="left"/>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供稿：</w:t>
      </w:r>
      <w:r>
        <w:rPr>
          <w:rFonts w:hint="eastAsia" w:ascii="方正仿宋_GBK" w:hAnsi="方正仿宋_GBK" w:eastAsia="方正仿宋_GBK" w:cs="方正仿宋_GBK"/>
          <w:b w:val="0"/>
          <w:i w:val="0"/>
          <w:caps w:val="0"/>
          <w:spacing w:val="0"/>
          <w:w w:val="100"/>
          <w:sz w:val="32"/>
          <w:szCs w:val="32"/>
          <w:u w:val="single" w:color="000000"/>
        </w:rPr>
        <w:t xml:space="preserve"> </w:t>
      </w:r>
      <w:r>
        <w:rPr>
          <w:rFonts w:hint="eastAsia" w:ascii="方正仿宋_GBK" w:hAnsi="方正仿宋_GBK" w:eastAsia="方正仿宋_GBK" w:cs="方正仿宋_GBK"/>
          <w:b w:val="0"/>
          <w:i w:val="0"/>
          <w:caps w:val="0"/>
          <w:spacing w:val="0"/>
          <w:w w:val="100"/>
          <w:sz w:val="32"/>
          <w:szCs w:val="32"/>
          <w:u w:val="single" w:color="000000"/>
          <w:lang w:val="en-US" w:eastAsia="zh-CN"/>
        </w:rPr>
        <w:t>重庆市</w:t>
      </w:r>
      <w:r>
        <w:rPr>
          <w:rFonts w:hint="eastAsia" w:ascii="方正仿宋_GBK" w:hAnsi="方正仿宋_GBK" w:eastAsia="方正仿宋_GBK" w:cs="方正仿宋_GBK"/>
          <w:b w:val="0"/>
          <w:i w:val="0"/>
          <w:caps w:val="0"/>
          <w:spacing w:val="0"/>
          <w:w w:val="100"/>
          <w:sz w:val="32"/>
          <w:szCs w:val="32"/>
          <w:u w:val="single" w:color="000000"/>
          <w:lang w:eastAsia="zh-CN"/>
        </w:rPr>
        <w:t>渝北区</w:t>
      </w:r>
      <w:r>
        <w:rPr>
          <w:rFonts w:hint="eastAsia" w:ascii="方正仿宋_GBK" w:hAnsi="方正仿宋_GBK" w:eastAsia="方正仿宋_GBK" w:cs="方正仿宋_GBK"/>
          <w:b w:val="0"/>
          <w:i w:val="0"/>
          <w:caps w:val="0"/>
          <w:spacing w:val="0"/>
          <w:w w:val="100"/>
          <w:sz w:val="32"/>
          <w:szCs w:val="32"/>
          <w:u w:val="single" w:color="000000"/>
          <w:lang w:val="en-US" w:eastAsia="zh-CN"/>
        </w:rPr>
        <w:t>林业</w:t>
      </w:r>
      <w:r>
        <w:rPr>
          <w:rFonts w:hint="eastAsia" w:ascii="方正仿宋_GBK" w:hAnsi="方正仿宋_GBK" w:eastAsia="方正仿宋_GBK" w:cs="方正仿宋_GBK"/>
          <w:b w:val="0"/>
          <w:i w:val="0"/>
          <w:caps w:val="0"/>
          <w:spacing w:val="0"/>
          <w:w w:val="100"/>
          <w:sz w:val="32"/>
          <w:szCs w:val="32"/>
          <w:u w:val="single" w:color="000000"/>
          <w:lang w:eastAsia="zh-CN"/>
        </w:rPr>
        <w:t>局 李非凡</w:t>
      </w:r>
      <w:r>
        <w:rPr>
          <w:rFonts w:hint="eastAsia" w:ascii="方正仿宋_GBK" w:hAnsi="方正仿宋_GBK" w:eastAsia="方正仿宋_GBK" w:cs="方正仿宋_GBK"/>
          <w:b w:val="0"/>
          <w:i w:val="0"/>
          <w:caps w:val="0"/>
          <w:spacing w:val="0"/>
          <w:w w:val="100"/>
          <w:sz w:val="32"/>
          <w:szCs w:val="32"/>
          <w:u w:val="single" w:color="000000"/>
        </w:rPr>
        <w:t xml:space="preserve">                          </w:t>
      </w:r>
    </w:p>
    <w:p>
      <w:pPr>
        <w:pStyle w:val="11"/>
        <w:keepLines w:val="0"/>
        <w:widowControl w:val="0"/>
        <w:snapToGrid/>
        <w:spacing w:before="0" w:beforeAutospacing="0" w:after="0" w:afterAutospacing="0" w:line="560" w:lineRule="exact"/>
        <w:ind w:left="720" w:firstLine="0" w:firstLineChars="0"/>
        <w:jc w:val="left"/>
        <w:textAlignment w:val="baseline"/>
        <w:rPr>
          <w:rFonts w:hint="eastAsia" w:ascii="方正仿宋_GBK" w:hAnsi="方正仿宋_GBK" w:eastAsia="方正仿宋_GBK" w:cs="方正仿宋_GBK"/>
          <w:b w:val="0"/>
          <w:i w:val="0"/>
          <w:caps w:val="0"/>
          <w:spacing w:val="0"/>
          <w:w w:val="100"/>
          <w:sz w:val="32"/>
          <w:szCs w:val="32"/>
          <w:u w:val="single"/>
        </w:rPr>
      </w:pPr>
      <w:r>
        <w:rPr>
          <w:rFonts w:hint="eastAsia" w:ascii="方正仿宋_GBK" w:hAnsi="方正仿宋_GBK" w:eastAsia="方正仿宋_GBK" w:cs="方正仿宋_GBK"/>
          <w:b w:val="0"/>
          <w:i w:val="0"/>
          <w:caps w:val="0"/>
          <w:spacing w:val="0"/>
          <w:w w:val="100"/>
          <w:sz w:val="32"/>
          <w:szCs w:val="32"/>
        </w:rPr>
        <w:t>检索主题词：</w:t>
      </w:r>
      <w:r>
        <w:rPr>
          <w:rFonts w:hint="eastAsia" w:ascii="方正仿宋_GBK" w:hAnsi="方正仿宋_GBK" w:eastAsia="方正仿宋_GBK" w:cs="方正仿宋_GBK"/>
          <w:b w:val="0"/>
          <w:i w:val="0"/>
          <w:caps w:val="0"/>
          <w:spacing w:val="0"/>
          <w:w w:val="100"/>
          <w:sz w:val="32"/>
          <w:szCs w:val="32"/>
          <w:u w:val="single" w:color="000000"/>
          <w:lang w:val="en-US" w:eastAsia="zh-CN"/>
        </w:rPr>
        <w:t>擅自改变林地用途；普法；以案释法</w:t>
      </w:r>
      <w:r>
        <w:rPr>
          <w:rFonts w:hint="eastAsia" w:ascii="方正仿宋_GBK" w:hAnsi="方正仿宋_GBK" w:eastAsia="方正仿宋_GBK" w:cs="方正仿宋_GBK"/>
          <w:b w:val="0"/>
          <w:i w:val="0"/>
          <w:caps w:val="0"/>
          <w:spacing w:val="0"/>
          <w:w w:val="100"/>
          <w:sz w:val="32"/>
          <w:szCs w:val="32"/>
          <w:u w:val="single" w:color="000000"/>
        </w:rPr>
        <w:t xml:space="preserve">       </w:t>
      </w:r>
    </w:p>
    <w:p>
      <w:pPr>
        <w:keepLines w:val="0"/>
        <w:widowControl w:val="0"/>
        <w:numPr>
          <w:ilvl w:val="0"/>
          <w:numId w:val="1"/>
        </w:numPr>
        <w:snapToGrid/>
        <w:spacing w:before="0" w:beforeAutospacing="0" w:after="0" w:afterAutospacing="0" w:line="560" w:lineRule="exact"/>
        <w:ind w:firstLine="640" w:firstLineChars="200"/>
        <w:jc w:val="both"/>
        <w:textAlignment w:val="baseline"/>
        <w:rPr>
          <w:rFonts w:hint="eastAsia" w:ascii="方正黑体_GBK" w:hAnsi="方正黑体_GBK" w:eastAsia="方正黑体_GBK" w:cs="方正黑体_GBK"/>
          <w:b w:val="0"/>
          <w:bCs/>
          <w:i w:val="0"/>
          <w:caps w:val="0"/>
          <w:spacing w:val="0"/>
          <w:w w:val="100"/>
          <w:sz w:val="32"/>
          <w:szCs w:val="32"/>
        </w:rPr>
      </w:pPr>
      <w:r>
        <w:rPr>
          <w:rFonts w:hint="eastAsia" w:ascii="方正黑体_GBK" w:hAnsi="方正黑体_GBK" w:eastAsia="方正黑体_GBK" w:cs="方正黑体_GBK"/>
          <w:b w:val="0"/>
          <w:bCs/>
          <w:i w:val="0"/>
          <w:caps w:val="0"/>
          <w:spacing w:val="0"/>
          <w:w w:val="100"/>
          <w:sz w:val="32"/>
          <w:szCs w:val="32"/>
        </w:rPr>
        <w:t>案例正文采集</w:t>
      </w:r>
    </w:p>
    <w:p>
      <w:pPr>
        <w:keepLines w:val="0"/>
        <w:widowControl w:val="0"/>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iCs w:val="0"/>
          <w:caps w:val="0"/>
          <w:color w:val="333333"/>
          <w:spacing w:val="0"/>
          <w:w w:val="100"/>
          <w:sz w:val="44"/>
          <w:szCs w:val="44"/>
          <w:shd w:val="clear" w:fill="FFFFFF"/>
          <w:lang w:eastAsia="zh-CN"/>
        </w:rPr>
      </w:pPr>
    </w:p>
    <w:p>
      <w:pPr>
        <w:keepLines w:val="0"/>
        <w:widowControl w:val="0"/>
        <w:snapToGrid/>
        <w:spacing w:before="0" w:beforeAutospacing="0" w:after="0" w:afterAutospacing="0" w:line="560" w:lineRule="exact"/>
        <w:jc w:val="center"/>
        <w:textAlignment w:val="baseline"/>
        <w:rPr>
          <w:rFonts w:hint="eastAsia" w:ascii="方正黑体_GBK" w:hAnsi="方正黑体_GBK" w:eastAsia="方正黑体_GBK" w:cs="方正黑体_GBK"/>
          <w:b w:val="0"/>
          <w:bCs/>
          <w:i w:val="0"/>
          <w:caps w:val="0"/>
          <w:spacing w:val="0"/>
          <w:w w:val="100"/>
          <w:sz w:val="32"/>
          <w:szCs w:val="32"/>
          <w:lang w:eastAsia="zh-CN"/>
        </w:rPr>
      </w:pPr>
      <w:r>
        <w:rPr>
          <w:rFonts w:hint="eastAsia" w:ascii="方正小标宋_GBK" w:hAnsi="方正小标宋_GBK" w:eastAsia="方正小标宋_GBK" w:cs="方正小标宋_GBK"/>
          <w:b w:val="0"/>
          <w:i w:val="0"/>
          <w:iCs w:val="0"/>
          <w:caps w:val="0"/>
          <w:color w:val="333333"/>
          <w:spacing w:val="0"/>
          <w:w w:val="100"/>
          <w:sz w:val="44"/>
          <w:szCs w:val="44"/>
          <w:shd w:val="clear" w:fill="FFFFFF"/>
          <w:lang w:eastAsia="zh-CN"/>
        </w:rPr>
        <w:t>红线一分一毫不能超</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zh-CN" w:eastAsia="zh-CN" w:bidi="ar-SA"/>
        </w:rPr>
      </w:pPr>
      <w:r>
        <w:rPr>
          <w:rFonts w:hint="eastAsia" w:ascii="方正仿宋_GBK" w:hAnsi="宋体" w:eastAsia="方正仿宋_GBK" w:cs="宋体"/>
          <w:b w:val="0"/>
          <w:i w:val="0"/>
          <w:caps w:val="0"/>
          <w:color w:val="000000"/>
          <w:spacing w:val="0"/>
          <w:w w:val="100"/>
          <w:sz w:val="28"/>
          <w:szCs w:val="28"/>
        </w:rPr>
        <w:t xml:space="preserve"> </w:t>
      </w:r>
      <w:r>
        <w:rPr>
          <w:rFonts w:hint="eastAsia" w:ascii="方正仿宋_GBK" w:hAnsi="华文仿宋" w:eastAsia="方正仿宋_GBK" w:cs="方正仿宋_GBK"/>
          <w:b w:val="0"/>
          <w:i w:val="0"/>
          <w:caps w:val="0"/>
          <w:spacing w:val="0"/>
          <w:w w:val="100"/>
          <w:sz w:val="28"/>
          <w:szCs w:val="28"/>
        </w:rPr>
        <w:t>2</w:t>
      </w:r>
      <w:r>
        <w:rPr>
          <w:rFonts w:hint="eastAsia" w:ascii="方正仿宋_GBK" w:hAnsi="方正仿宋_GBK" w:eastAsia="方正仿宋_GBK" w:cs="方正仿宋_GBK"/>
          <w:b w:val="0"/>
          <w:i w:val="0"/>
          <w:caps w:val="0"/>
          <w:spacing w:val="0"/>
          <w:w w:val="100"/>
          <w:kern w:val="0"/>
          <w:sz w:val="32"/>
          <w:szCs w:val="32"/>
          <w:lang w:val="en-US" w:eastAsia="zh-CN" w:bidi="ar-SA"/>
        </w:rPr>
        <w:t>021年10月开始，重庆永屹建筑劳务有限公司（以下简称永屹公司）在未经县级以上人民政府林业主管部门审核同意的情况下，因渝北区G210茨竹至邻水段改建工程项目（渝邻快速通道），擅自在渝北区茨竹镇大面坡村1、2社茶塘屋基（小地名）集体林地内, 由于施工滑坡和修建施工便道等工程辅助设施毁坏占用林地，擅自改变林地用途0.1468公顷。其中地方公益林、宜林地0.031公顷；一般商品林、未成林竹林地0.1158公顷。林木蓄积为0立方米。</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zh-CN" w:eastAsia="zh-CN" w:bidi="ar-SA"/>
        </w:rPr>
      </w:pPr>
      <w:r>
        <w:rPr>
          <w:rFonts w:hint="eastAsia" w:ascii="方正仿宋_GBK" w:hAnsi="方正仿宋_GBK" w:eastAsia="方正仿宋_GBK" w:cs="方正仿宋_GBK"/>
          <w:b w:val="0"/>
          <w:i w:val="0"/>
          <w:caps w:val="0"/>
          <w:spacing w:val="0"/>
          <w:w w:val="100"/>
          <w:kern w:val="0"/>
          <w:sz w:val="32"/>
          <w:szCs w:val="32"/>
          <w:lang w:val="zh-CN" w:eastAsia="zh-CN" w:bidi="ar-SA"/>
        </w:rPr>
        <w:t xml:space="preserve">                                                         </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zh-CN" w:eastAsia="zh-CN" w:bidi="ar-SA"/>
        </w:rPr>
      </w:pPr>
      <w:r>
        <w:rPr>
          <w:rFonts w:hint="eastAsia" w:ascii="方正仿宋_GBK" w:hAnsi="方正仿宋_GBK" w:eastAsia="方正仿宋_GBK" w:cs="方正仿宋_GBK"/>
          <w:b w:val="0"/>
          <w:i w:val="0"/>
          <w:caps w:val="0"/>
          <w:spacing w:val="0"/>
          <w:w w:val="100"/>
          <w:kern w:val="0"/>
          <w:sz w:val="32"/>
          <w:szCs w:val="32"/>
          <w:lang w:val="zh-CN" w:eastAsia="zh-CN" w:bidi="ar-SA"/>
        </w:rPr>
        <w:t>【调查与处理】</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根据渝邻快速通道项目涉嫌超审批红线施工占用林地的线索，渝北区林业局执法支队于2022年6月7日立案调查。经查，案涉地块虽有使用林地审核同意书，但经调查鉴定，永屹公司在具体的施工过程中，需要超审批红线施工用地，并未向总包单位报告和申请，擅自超审批红线施工形成施工滑坡和修建施工临时便道毁坏占用林地0.1468公顷，因此，永屹公司应承担全部违法责任。永屹公司擅自改变林地用途的行为违反了《中华人民共和国森林法》第三十七条第一款的规定，已构成违法。依据《中华人民共和国森林法》第七十三条第一款的规定 。</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2022年7月渝北区林业局作出行政处罚决定：责令该单位在6个月内恢复被擅自改变用途林地0.1468公顷的植被和林业生产条件，并给予以下行政处罚：</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 xml:space="preserve"> 1. 处以39636元（叁万玖仟陆佰叁拾陆元整）罚款。</w:t>
      </w:r>
    </w:p>
    <w:p>
      <w:pPr>
        <w:keepLines w:val="0"/>
        <w:widowControl w:val="0"/>
        <w:snapToGrid/>
        <w:spacing w:before="0" w:beforeAutospacing="0" w:after="0" w:afterAutospacing="0" w:line="560" w:lineRule="exact"/>
        <w:ind w:firstLine="640" w:firstLineChars="200"/>
        <w:jc w:val="both"/>
        <w:textAlignment w:val="baseline"/>
        <w:rPr>
          <w:rFonts w:hint="default" w:ascii="方正仿宋_GBK" w:hAnsi="方正仿宋_GBK" w:eastAsia="方正仿宋_GBK" w:cs="方正仿宋_GBK"/>
          <w:b w:val="0"/>
          <w:i w:val="0"/>
          <w:caps w:val="0"/>
          <w:spacing w:val="0"/>
          <w:w w:val="100"/>
          <w:sz w:val="32"/>
          <w:szCs w:val="32"/>
          <w:lang w:val="en-US" w:eastAsia="zh-CN"/>
        </w:rPr>
      </w:pPr>
    </w:p>
    <w:p>
      <w:pPr>
        <w:keepLines w:val="0"/>
        <w:widowControl w:val="0"/>
        <w:snapToGrid/>
        <w:spacing w:before="0" w:beforeAutospacing="0" w:after="0" w:afterAutospacing="0" w:line="560" w:lineRule="exact"/>
        <w:ind w:right="26" w:firstLine="640" w:firstLineChars="200"/>
        <w:jc w:val="both"/>
        <w:textAlignment w:val="baseline"/>
        <w:rPr>
          <w:rFonts w:eastAsia="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【法律分析】</w:t>
      </w:r>
    </w:p>
    <w:p>
      <w:pPr>
        <w:keepLines w:val="0"/>
        <w:widowControl w:val="0"/>
        <w:snapToGrid/>
        <w:spacing w:before="0" w:beforeAutospacing="0" w:after="0" w:afterAutospacing="0" w:line="560" w:lineRule="exact"/>
        <w:ind w:right="0"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kern w:val="0"/>
          <w:sz w:val="32"/>
          <w:szCs w:val="32"/>
          <w:lang w:val="zh-CN"/>
        </w:rPr>
        <w:t xml:space="preserve">重庆永屹建筑劳务有限公司擅自改变林地用途，已违法。    </w:t>
      </w:r>
      <w:r>
        <w:rPr>
          <w:rFonts w:hint="eastAsia" w:ascii="方正仿宋_GBK" w:hAnsi="方正仿宋_GBK" w:eastAsia="方正仿宋_GBK" w:cs="方正仿宋_GBK"/>
          <w:b w:val="0"/>
          <w:i w:val="0"/>
          <w:caps w:val="0"/>
          <w:spacing w:val="0"/>
          <w:w w:val="100"/>
          <w:sz w:val="32"/>
          <w:szCs w:val="32"/>
        </w:rPr>
        <w:t xml:space="preserve">                                                  </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中华人民共和国森林法》第三十七条第一款规定：矿藏勘查、开采以及其他各类工程建设，应当不占或者少占林地；确需占用林地的，应当经县级以上人民政府林业主管部门审核同意，依法办理建设用地审批手续。</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中华人民共和国森林法》第七十三条第一款规定：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据重庆永屹建筑劳务有限公司委托人供述及调查、鉴定，2021年10月开始，该公司在未经县级以上人民政府林业主管部门审核同意的情况下，因渝北区G210茨竹至邻水段改建工程项目（渝邻快速通道），擅自在渝北区茨竹镇大面坡村1、2社茶塘屋基（小地名）集体林地内, 由于施工滑坡和修建施工便道等工程辅助设施毁坏占用林地，擅自改变林地用途0.1468公顷。其中地方公益林、宜林地0.031公顷；一般商品林、未成林竹林地0.1158公顷。林木蓄积为0立方米。永屹公司违法事实清楚，证据确实、充分，应以擅自改变林地用途追究其行政责任。</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sz w:val="32"/>
          <w:szCs w:val="32"/>
          <w:u w:val="single"/>
        </w:rPr>
      </w:pPr>
      <w:r>
        <w:rPr>
          <w:rFonts w:hint="eastAsia" w:ascii="方正仿宋_GBK" w:hAnsi="方正仿宋_GBK" w:eastAsia="方正仿宋_GBK" w:cs="方正仿宋_GBK"/>
          <w:b w:val="0"/>
          <w:i w:val="0"/>
          <w:caps w:val="0"/>
          <w:spacing w:val="0"/>
          <w:w w:val="100"/>
          <w:sz w:val="32"/>
          <w:szCs w:val="32"/>
          <w:lang w:val="en-US" w:eastAsia="zh-CN"/>
        </w:rPr>
        <w:t xml:space="preserve">  </w:t>
      </w:r>
      <w:r>
        <w:rPr>
          <w:rFonts w:hint="eastAsia"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u w:val="single" w:color="000000"/>
        </w:rPr>
        <w:t xml:space="preserve"> </w:t>
      </w:r>
    </w:p>
    <w:p>
      <w:pPr>
        <w:keepLines w:val="0"/>
        <w:widowControl w:val="0"/>
        <w:snapToGrid/>
        <w:spacing w:before="0" w:beforeAutospacing="0" w:after="0" w:afterAutospacing="0" w:line="560" w:lineRule="exact"/>
        <w:ind w:right="640"/>
        <w:jc w:val="both"/>
        <w:textAlignment w:val="baseline"/>
        <w:rPr>
          <w:rFonts w:hint="eastAsia" w:ascii="方正仿宋_GBK" w:hAnsi="方正仿宋_GBK" w:eastAsia="方正仿宋_GBK" w:cs="方正仿宋_GBK"/>
          <w:b w:val="0"/>
          <w:i w:val="0"/>
          <w:caps w:val="0"/>
          <w:spacing w:val="0"/>
          <w:w w:val="100"/>
          <w:sz w:val="32"/>
          <w:szCs w:val="32"/>
        </w:rPr>
      </w:pPr>
      <w:r>
        <w:rPr>
          <w:rFonts w:eastAsia="方正仿宋_GBK"/>
          <w:b w:val="0"/>
          <w:i w:val="0"/>
          <w:caps w:val="0"/>
          <w:spacing w:val="0"/>
          <w:w w:val="100"/>
          <w:sz w:val="32"/>
          <w:szCs w:val="32"/>
        </w:rPr>
        <w:t xml:space="preserve">    </w:t>
      </w:r>
      <w:r>
        <w:rPr>
          <w:rFonts w:hAnsi="方正仿宋_GBK" w:eastAsia="方正仿宋_GBK"/>
          <w:b w:val="0"/>
          <w:i w:val="0"/>
          <w:caps w:val="0"/>
          <w:spacing w:val="0"/>
          <w:w w:val="100"/>
          <w:sz w:val="32"/>
          <w:szCs w:val="32"/>
        </w:rPr>
        <w:t>【典型意义】</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firstLineChars="200"/>
        <w:jc w:val="left"/>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 xml:space="preserve">该案是典型的虽然已经按照相应法律法规要求办理了有关林地使用手续，但在实际施工过程中，不顾施工红线要求，擅自超出红线施工，造成林地破坏的案件。在经济高速发展的今天，渝北区的基础设施建设迅猛发展，众多建筑公司前期虽办理了林业相关手续，但因节省开支，追赶工期等原因，对在施工过程中需要的临时用地或需修改施工图纸施工造成的林地占用，不及时办理林地手续，抱有侥幸心理，造成超占林地造成违法行为的发生。  </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firstLineChars="200"/>
        <w:jc w:val="left"/>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 xml:space="preserve"> 渝北区仍有多个在建项目，在卫星技术日益提高的今天，超出红线几米，都会被发现，抱着侥幸心理不及时办理相关手续，不仅要缴纳比正常办理手续更高的罚款，还会因调查其间停工延误工期，得不偿失。行政处罚也会被记入企业的信用信息,可能会影响企业在政府采购、工程招投标、国有土地出让、授予荣誉称号等工作。通过该案例，对相关企业起到警示教育作用，预防违法行为的发生，也利于优化营商环境建设。                         </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firstLineChars="200"/>
        <w:jc w:val="left"/>
        <w:textAlignment w:val="baseline"/>
        <w:rPr>
          <w:rFonts w:hint="eastAsia" w:ascii="方正仿宋_GBK" w:hAnsi="方正仿宋_GBK" w:eastAsia="方正仿宋_GBK" w:cs="方正仿宋_GBK"/>
          <w:b w:val="0"/>
          <w:i w:val="0"/>
          <w:caps w:val="0"/>
          <w:spacing w:val="0"/>
          <w:w w:val="100"/>
          <w:sz w:val="32"/>
          <w:szCs w:val="32"/>
          <w:lang w:val="en-US" w:eastAsia="zh-CN"/>
        </w:rPr>
      </w:pP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0"/>
        <w:jc w:val="left"/>
        <w:textAlignment w:val="baseline"/>
        <w:rPr>
          <w:rFonts w:hint="eastAsia" w:ascii="方正仿宋_GBK" w:hAnsi="方正仿宋_GBK" w:eastAsia="方正仿宋_GBK" w:cs="方正仿宋_GBK"/>
          <w:b w:val="0"/>
          <w:i w:val="0"/>
          <w:caps w:val="0"/>
          <w:spacing w:val="0"/>
          <w:w w:val="100"/>
          <w:sz w:val="32"/>
          <w:szCs w:val="32"/>
          <w:lang w:val="en-US" w:eastAsia="zh-CN"/>
        </w:rPr>
      </w:pP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0"/>
        <w:jc w:val="left"/>
        <w:textAlignment w:val="baseline"/>
        <w:rPr>
          <w:rFonts w:hint="eastAsia" w:ascii="方正仿宋_GBK" w:hAnsi="方正仿宋_GBK" w:eastAsia="方正仿宋_GBK" w:cs="方正仿宋_GBK"/>
          <w:b w:val="0"/>
          <w:i w:val="0"/>
          <w:caps w:val="0"/>
          <w:spacing w:val="0"/>
          <w:w w:val="100"/>
          <w:sz w:val="32"/>
          <w:szCs w:val="32"/>
          <w:lang w:val="en-US" w:eastAsia="zh-CN"/>
        </w:rPr>
      </w:pPr>
    </w:p>
    <w:sectPr>
      <w:footerReference r:id="rId3" w:type="default"/>
      <w:pgSz w:w="11906" w:h="16838"/>
      <w:pgMar w:top="2154" w:right="1786" w:bottom="1814" w:left="178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embedRegular r:id="rId1" w:fontKey="{CD886049-373E-416F-A7B2-E65B44E2737C}"/>
  </w:font>
  <w:font w:name="方正仿宋_GBK">
    <w:panose1 w:val="03000509000000000000"/>
    <w:charset w:val="86"/>
    <w:family w:val="script"/>
    <w:pitch w:val="default"/>
    <w:sig w:usb0="00000001" w:usb1="080E0000" w:usb2="00000000" w:usb3="00000000" w:csb0="00040000" w:csb1="00000000"/>
    <w:embedRegular r:id="rId2" w:fontKey="{CDD55E08-20C5-48C8-904B-CA00C79D2BED}"/>
  </w:font>
  <w:font w:name="仿宋">
    <w:panose1 w:val="02010609060101010101"/>
    <w:charset w:val="86"/>
    <w:family w:val="auto"/>
    <w:pitch w:val="default"/>
    <w:sig w:usb0="800002BF" w:usb1="38CF7CFA" w:usb2="00000016" w:usb3="00000000" w:csb0="00040001" w:csb1="00000000"/>
    <w:embedRegular r:id="rId3" w:fontKey="{2B16CBA0-E776-41DD-BFEF-8C4D7840B352}"/>
  </w:font>
  <w:font w:name="方正小标宋_GBK">
    <w:panose1 w:val="03000509000000000000"/>
    <w:charset w:val="86"/>
    <w:family w:val="script"/>
    <w:pitch w:val="default"/>
    <w:sig w:usb0="00000001" w:usb1="080E0000" w:usb2="00000000" w:usb3="00000000" w:csb0="00040000" w:csb1="00000000"/>
    <w:embedRegular r:id="rId4" w:fontKey="{DA4BF8F3-0579-479F-A894-FD4226B0F9ED}"/>
  </w:font>
  <w:font w:name="华文仿宋">
    <w:panose1 w:val="02010600040101010101"/>
    <w:charset w:val="86"/>
    <w:family w:val="auto"/>
    <w:pitch w:val="default"/>
    <w:sig w:usb0="00000000" w:usb1="00000000" w:usb2="00000000" w:usb3="00000000" w:csb0="00000000" w:csb1="00000000"/>
    <w:embedRegular r:id="rId5" w:fontKey="{64870E14-B5AF-43EE-86A1-A24B4D75DF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769EA"/>
    <w:multiLevelType w:val="singleLevel"/>
    <w:tmpl w:val="5C0769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GY4MGZiNjM2ZDM1ZDBmM2VlMDdiYjQ1YTdhNGQifQ=="/>
  </w:docVars>
  <w:rsids>
    <w:rsidRoot w:val="3D5807FA"/>
    <w:rsid w:val="03307995"/>
    <w:rsid w:val="038A1611"/>
    <w:rsid w:val="054F0A47"/>
    <w:rsid w:val="0823535A"/>
    <w:rsid w:val="0EB643A5"/>
    <w:rsid w:val="17154F6B"/>
    <w:rsid w:val="1B242941"/>
    <w:rsid w:val="1C802178"/>
    <w:rsid w:val="20D63562"/>
    <w:rsid w:val="23980BCC"/>
    <w:rsid w:val="2B28044B"/>
    <w:rsid w:val="300E1B53"/>
    <w:rsid w:val="3BEA6F6D"/>
    <w:rsid w:val="3D5807FA"/>
    <w:rsid w:val="4A2A32B8"/>
    <w:rsid w:val="6182392A"/>
    <w:rsid w:val="65BE5C99"/>
    <w:rsid w:val="73D67AAA"/>
    <w:rsid w:val="75691DE8"/>
    <w:rsid w:val="7CD5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5C81"/>
      <w:u w:val="none"/>
    </w:rPr>
  </w:style>
  <w:style w:type="character" w:styleId="9">
    <w:name w:val="Emphasis"/>
    <w:basedOn w:val="6"/>
    <w:qFormat/>
    <w:uiPriority w:val="0"/>
  </w:style>
  <w:style w:type="character" w:styleId="10">
    <w:name w:val="Hyperlink"/>
    <w:basedOn w:val="6"/>
    <w:qFormat/>
    <w:uiPriority w:val="0"/>
    <w:rPr>
      <w:color w:val="005C81"/>
      <w:u w:val="none"/>
    </w:rPr>
  </w:style>
  <w:style w:type="paragraph" w:customStyle="1" w:styleId="11">
    <w:name w:val="List Paragraph"/>
    <w:basedOn w:val="1"/>
    <w:qFormat/>
    <w:uiPriority w:val="34"/>
    <w:pPr>
      <w:ind w:firstLine="420" w:firstLineChars="200"/>
    </w:pPr>
  </w:style>
  <w:style w:type="character" w:customStyle="1" w:styleId="12">
    <w:name w:val="active"/>
    <w:basedOn w:val="6"/>
    <w:qFormat/>
    <w:uiPriority w:val="0"/>
    <w:rPr>
      <w:shd w:val="clear" w:fill="F6F6F6"/>
    </w:rPr>
  </w:style>
  <w:style w:type="character" w:customStyle="1" w:styleId="13">
    <w:name w:val="hover50"/>
    <w:basedOn w:val="6"/>
    <w:qFormat/>
    <w:uiPriority w:val="0"/>
    <w:rPr>
      <w:shd w:val="clear" w:fill="C0DBF2"/>
    </w:rPr>
  </w:style>
  <w:style w:type="character" w:customStyle="1" w:styleId="14">
    <w:name w:val="hover51"/>
    <w:basedOn w:val="6"/>
    <w:qFormat/>
    <w:uiPriority w:val="0"/>
    <w:rPr>
      <w:color w:val="000000"/>
      <w:shd w:val="clear" w:fill="FFFFFF"/>
    </w:rPr>
  </w:style>
  <w:style w:type="character" w:customStyle="1" w:styleId="15">
    <w:name w:val="hover52"/>
    <w:basedOn w:val="6"/>
    <w:qFormat/>
    <w:uiPriority w:val="0"/>
    <w:rPr>
      <w:shd w:val="clear" w:fill="C0DBF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1513</Words>
  <Characters>1581</Characters>
  <Lines>0</Lines>
  <Paragraphs>0</Paragraphs>
  <TotalTime>15</TotalTime>
  <ScaleCrop>false</ScaleCrop>
  <LinksUpToDate>false</LinksUpToDate>
  <CharactersWithSpaces>1920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2021-01-29T02:48:00Z</dcterms:created>
  <dc:creator>Mulberry。</dc:creator>
  <cp:lastModifiedBy>杨倩怡</cp:lastModifiedBy>
  <dcterms:modified xsi:type="dcterms:W3CDTF">2024-03-12T01:56:31Z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SaveFontToCloudKey">
    <vt:lpwstr>608506801_btnclosed</vt:lpwstr>
  </property>
  <property fmtid="{D5CDD505-2E9C-101B-9397-08002B2CF9AE}" pid="4" name="ICV">
    <vt:lpwstr>3F043F5DD25E479BAE94012AFC5282E9</vt:lpwstr>
  </property>
</Properties>
</file>