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after="100" w:afterAutospacing="1"/>
        <w:jc w:val="center"/>
        <w:rPr>
          <w:rFonts w:ascii="宋体" w:hAnsi="宋体" w:eastAsia="宋体" w:cs="宋体"/>
          <w:kern w:val="0"/>
          <w:sz w:val="24"/>
          <w:szCs w:val="24"/>
        </w:rPr>
      </w:pPr>
      <w:bookmarkStart w:id="0" w:name="_GoBack"/>
      <w:bookmarkEnd w:id="0"/>
      <w:r>
        <w:rPr>
          <w:rFonts w:hint="eastAsia" w:ascii="宋体" w:hAnsi="宋体" w:eastAsia="宋体" w:cs="宋体"/>
          <w:kern w:val="0"/>
          <w:sz w:val="54"/>
          <w:szCs w:val="54"/>
        </w:rPr>
        <w:t>重庆市渝北区交通局</w:t>
      </w:r>
    </w:p>
    <w:p>
      <w:pPr>
        <w:widowControl/>
        <w:shd w:val="clear" w:color="auto" w:fill="FFFFFF"/>
        <w:snapToGrid w:val="0"/>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54"/>
          <w:szCs w:val="54"/>
        </w:rPr>
        <w:t>2020年度部门决算情况说明</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3"/>
        </w:rPr>
        <w:t>一、部门基本情况</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7"/>
          <w:szCs w:val="27"/>
        </w:rPr>
        <w:t xml:space="preserve">  </w:t>
      </w:r>
      <w:r>
        <w:rPr>
          <w:rFonts w:hint="eastAsia" w:ascii="宋体" w:hAnsi="宋体" w:eastAsia="宋体" w:cs="宋体"/>
          <w:b/>
          <w:bCs/>
          <w:kern w:val="0"/>
          <w:sz w:val="27"/>
        </w:rPr>
        <w:t>（一）职能职责</w:t>
      </w:r>
    </w:p>
    <w:p>
      <w:pPr>
        <w:widowControl/>
        <w:snapToGrid w:val="0"/>
        <w:spacing w:line="560" w:lineRule="atLeast"/>
        <w:ind w:firstLine="569" w:firstLineChars="210"/>
        <w:jc w:val="left"/>
        <w:rPr>
          <w:rFonts w:ascii="宋体" w:hAnsi="宋体" w:eastAsia="宋体" w:cs="Times New Roman"/>
          <w:color w:val="000000"/>
          <w:kern w:val="0"/>
          <w:sz w:val="28"/>
          <w:szCs w:val="28"/>
        </w:rPr>
      </w:pPr>
      <w:r>
        <w:rPr>
          <w:rFonts w:hint="eastAsia" w:ascii="宋体" w:hAnsi="宋体" w:eastAsia="宋体" w:cs="宋体"/>
          <w:b/>
          <w:bCs/>
          <w:kern w:val="0"/>
          <w:sz w:val="27"/>
        </w:rPr>
        <w:t> </w:t>
      </w:r>
      <w:r>
        <w:rPr>
          <w:rFonts w:hint="eastAsia" w:ascii="宋体" w:hAnsi="宋体" w:eastAsia="宋体" w:cs="宋体"/>
          <w:b/>
          <w:bCs/>
          <w:kern w:val="0"/>
          <w:sz w:val="28"/>
          <w:szCs w:val="28"/>
        </w:rPr>
        <w:t xml:space="preserve"> </w:t>
      </w:r>
      <w:r>
        <w:rPr>
          <w:rFonts w:hint="eastAsia" w:cs="方正仿宋_GBK" w:asciiTheme="minorEastAsia" w:hAnsiTheme="minorEastAsia"/>
          <w:color w:val="000000"/>
          <w:kern w:val="0"/>
          <w:sz w:val="28"/>
          <w:szCs w:val="28"/>
        </w:rPr>
        <w:t>1、贯彻执行交通运输法律、法规、规章和方针政策，制定有关的实施细则、管理规定和改革方案，并监督执行；负责交通运输经济运行监测，研究交通运输业发展趋势和重大问题；指导交通行业的体制改革和结构调整。</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2、负责推进全区综合交通运输体系建设，综合平衡全区交通运力，统筹规划铁路、公路、水路、民航以及邮政行业发展，建立与综合交通运输体系相适应的制度体制机制，优化交通运输主要通道和重要枢纽节点布局，促进各种交通运输方式融合。</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3、组织拟订全区综合交通运输发展政策，组织编制综合交通运输体系规划，拟订铁路、公路、水路、民航发展政策和规划；指导综合交通运输枢纽规划和管理；负责交通行业综合统计工作；参与拟订物流业发展规划；协调中央垂直管理的海事、民航、邮政、铁路等管理机构的涉地相关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4、承担长江和嘉陵江水域以外地方水域交通安全监管责任，指导及协调水上交通管制、船舶及相关水上设施检验、登记和防止污染、救助打捞、通信导航及危险品运输监督管理工作；指导船员管理有关工作；负责地方管理水域水上交通安全事故、船舶及相关水上设施污染事故的应急处置，依法组织或参与事故调查处理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5、负责提出全区公路、水路固定资产投资规模和方向、财政性资金安排建议，按区政府规定权限审核规划内和年度计划规模内固定资产投资项目；负责所属单位国有资产的监督管理。</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6、承担全区公路、水路建设市场监管责任；拟订公路、水路工程建设相关政策、制度和技术标准，并监督实施；负责全区公路、港口、码头、航道等交通基础设施建设的工程质量和安全生产监督管理工作，并指导其养护和维护；会同有关部门实施交通建设项目招投标的监督管理；负责收费公路管理；指导城乡客运及有关设施规划和管理工作，指导出租汽车行业管理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7、承担全区交通运政、路政、港航执法管理工作的组织、指导、协调和监督责任。</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8、推动交通行业科技进步，负责新技术、新工艺和新材料在交通行业的推广和应用；指导公路、水路行业环境保护和节能减排工作；指导交通运输行业信息化建设；指导交通行业职业技能和培训工作。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9、组织拟订交通运输有关安全方面的制度，组织开展具有行业特点的安全宣传教育和检查，组织制定交通行业安全生产应急预案，协调处理交通行业突发事件，监督检查所属单位贯彻有关法律法规和依法履行安全监管职责的情况；负责权限范围内石油、天然气管理保护工作；按规定组织协调重点物资、紧急客货运输和高峰客运；承担交通国防动员有关工作；参与辖区内高速公路、铁路安全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10、负责交通行业对外交流工作，指导利用外资工作；组织开展国际交流合作。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11、承担交通行业精神文明建设责任，负责交通行业宣传工作。</w:t>
      </w:r>
    </w:p>
    <w:p>
      <w:pPr>
        <w:widowControl/>
        <w:snapToGrid w:val="0"/>
        <w:spacing w:line="560" w:lineRule="atLeast"/>
        <w:ind w:firstLine="588" w:firstLineChars="210"/>
        <w:jc w:val="left"/>
        <w:rPr>
          <w:rFonts w:cs="Times New Roman" w:asciiTheme="minorEastAsia" w:hAnsiTheme="minorEastAsia"/>
          <w:color w:val="000000"/>
          <w:kern w:val="0"/>
          <w:sz w:val="28"/>
          <w:szCs w:val="28"/>
        </w:rPr>
      </w:pPr>
      <w:r>
        <w:rPr>
          <w:rFonts w:hint="eastAsia" w:cs="方正仿宋_GBK" w:asciiTheme="minorEastAsia" w:hAnsiTheme="minorEastAsia"/>
          <w:color w:val="000000"/>
          <w:kern w:val="0"/>
          <w:sz w:val="28"/>
          <w:szCs w:val="28"/>
        </w:rPr>
        <w:t>12、承担区政府交办的其它事项。</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7"/>
          <w:szCs w:val="27"/>
        </w:rPr>
        <w:t xml:space="preserve">  </w:t>
      </w:r>
      <w:r>
        <w:rPr>
          <w:rFonts w:hint="eastAsia" w:ascii="宋体" w:hAnsi="宋体" w:eastAsia="宋体" w:cs="宋体"/>
          <w:b/>
          <w:bCs/>
          <w:kern w:val="0"/>
          <w:sz w:val="27"/>
        </w:rPr>
        <w:t>（二）机构设置</w:t>
      </w:r>
    </w:p>
    <w:p>
      <w:pPr>
        <w:widowControl/>
        <w:snapToGrid w:val="0"/>
        <w:spacing w:line="560" w:lineRule="atLeast"/>
        <w:ind w:firstLine="588" w:firstLineChars="210"/>
        <w:jc w:val="left"/>
        <w:rPr>
          <w:rFonts w:cs="方正仿宋_GBK" w:asciiTheme="minorEastAsia" w:hAnsiTheme="minorEastAsia"/>
          <w:color w:val="000000"/>
          <w:kern w:val="0"/>
          <w:sz w:val="28"/>
          <w:szCs w:val="28"/>
        </w:rPr>
      </w:pPr>
      <w:r>
        <w:rPr>
          <w:rFonts w:hint="eastAsia" w:cs="方正仿宋_GBK" w:asciiTheme="minorEastAsia" w:hAnsiTheme="minorEastAsia"/>
          <w:color w:val="000000"/>
          <w:kern w:val="0"/>
          <w:sz w:val="28"/>
          <w:szCs w:val="28"/>
        </w:rPr>
        <w:t>渝北区交通局属行政机关单位，内设8个科室，分别是办公室、规划建设科、管理养护科、质量监督科、综合运输科、行政审批科、财务审计科和法制安全科。直属3个事业单位，其中副处级单位2个，分别是公路管理处、道路运输管理处（参公）；正科级单位1个港航管理处。市、区共管的单位2个，即重庆市交通行政执法总队直属支队渝北大队、机场大队。</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7"/>
          <w:szCs w:val="27"/>
        </w:rPr>
        <w:t xml:space="preserve">  </w:t>
      </w:r>
      <w:r>
        <w:rPr>
          <w:rFonts w:hint="eastAsia" w:ascii="宋体" w:hAnsi="宋体" w:eastAsia="宋体" w:cs="宋体"/>
          <w:b/>
          <w:bCs/>
          <w:kern w:val="0"/>
          <w:sz w:val="27"/>
        </w:rPr>
        <w:t>（三）单位构成</w:t>
      </w:r>
    </w:p>
    <w:p>
      <w:pPr>
        <w:widowControl/>
        <w:snapToGrid w:val="0"/>
        <w:spacing w:line="560" w:lineRule="atLeast"/>
        <w:ind w:firstLine="569" w:firstLineChars="210"/>
        <w:jc w:val="left"/>
        <w:rPr>
          <w:rFonts w:cs="方正仿宋_GBK" w:asciiTheme="minorEastAsia" w:hAnsiTheme="minorEastAsia"/>
          <w:color w:val="000000"/>
          <w:kern w:val="0"/>
          <w:sz w:val="28"/>
          <w:szCs w:val="28"/>
        </w:rPr>
      </w:pPr>
      <w:r>
        <w:rPr>
          <w:rFonts w:hint="eastAsia" w:ascii="宋体" w:hAnsi="宋体" w:eastAsia="宋体" w:cs="宋体"/>
          <w:b/>
          <w:bCs/>
          <w:kern w:val="0"/>
          <w:sz w:val="27"/>
        </w:rPr>
        <w:t> </w:t>
      </w:r>
      <w:r>
        <w:rPr>
          <w:rFonts w:hint="eastAsia" w:cs="方正仿宋_GBK" w:asciiTheme="minorEastAsia" w:hAnsiTheme="minorEastAsia"/>
          <w:color w:val="000000"/>
          <w:kern w:val="0"/>
          <w:sz w:val="28"/>
          <w:szCs w:val="28"/>
        </w:rPr>
        <w:t xml:space="preserve"> 从预算单位构成看，纳入本部门2020年度决算编制的二级预算单位3个，主要包括公路管理处、道路运输管理处（参公）、港航管理处。</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二、部门决算情况说明</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（一）收入支出决算总体情况说明</w:t>
      </w:r>
    </w:p>
    <w:p>
      <w:pPr>
        <w:widowControl/>
        <w:shd w:val="clear" w:color="auto" w:fill="FFFFFF"/>
        <w:snapToGrid w:val="0"/>
        <w:spacing w:before="100" w:beforeAutospacing="1" w:after="100" w:afterAutospacing="1" w:line="640" w:lineRule="exact"/>
        <w:jc w:val="left"/>
        <w:rPr>
          <w:rFonts w:cs="方正仿宋_GBK" w:asciiTheme="minorEastAsia" w:hAnsiTheme="minorEastAsia"/>
          <w:color w:val="000000"/>
          <w:kern w:val="0"/>
          <w:sz w:val="28"/>
          <w:szCs w:val="28"/>
        </w:rPr>
      </w:pPr>
      <w:r>
        <w:rPr>
          <w:rFonts w:hint="eastAsia" w:ascii="宋体" w:hAnsi="宋体" w:eastAsia="宋体" w:cs="宋体"/>
          <w:b/>
          <w:bCs/>
          <w:kern w:val="0"/>
          <w:sz w:val="27"/>
        </w:rPr>
        <w:t>1.总体情况</w:t>
      </w:r>
      <w:r>
        <w:rPr>
          <w:rFonts w:hint="eastAsia" w:ascii="宋体" w:hAnsi="宋体" w:eastAsia="宋体" w:cs="宋体"/>
          <w:kern w:val="0"/>
          <w:sz w:val="27"/>
          <w:szCs w:val="27"/>
        </w:rPr>
        <w:t>。</w:t>
      </w:r>
      <w:r>
        <w:rPr>
          <w:rFonts w:hint="eastAsia" w:cs="方正仿宋_GBK" w:asciiTheme="minorEastAsia" w:hAnsiTheme="minorEastAsia"/>
          <w:color w:val="000000"/>
          <w:kern w:val="0"/>
          <w:sz w:val="28"/>
          <w:szCs w:val="28"/>
        </w:rPr>
        <w:t>2020年度收入总计22,119.87万元，支出总计22,119.87万元。收支较上年决算数增加8,287.04万元、 增长 59.9%，主要原因：一是全区实现“镇镇通公交”，导致绕城高速外公共汽车补贴、冷线公共汽车补贴和二环外公交开行班车退出残值补贴金额都大幅度增加；二是受到新型冠状病毒的疫情影响,新增了抗疫特别国债资金；三是增加趸船建造资金、洛碛复建码头船舶污染物接收设施和船用岸电设施项目资金；四是用于公路养护费用较上年有所增加。</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2.收入情况。</w:t>
      </w:r>
      <w:r>
        <w:rPr>
          <w:rFonts w:hint="eastAsia" w:cs="方正仿宋_GBK" w:asciiTheme="minorEastAsia" w:hAnsiTheme="minorEastAsia"/>
          <w:color w:val="000000"/>
          <w:kern w:val="0"/>
          <w:sz w:val="28"/>
          <w:szCs w:val="28"/>
        </w:rPr>
        <w:t>2020年度收入合计22,116.87万元，较上年决算数增加8,438.71万元，增长61.7%，主要原因：一是受到新型冠状病毒的疫情影响,新增了抗疫特别国债资金；二是积极推进城乡一体化建设，积极开展农客招呼站基础设施建设和维护工作，实现“镇镇通公交”。其中：财政拨款收入22,022.60万元，占99.6%；其他收入94.27万元，占0.4%。此外，使用非财政拨款结余0.00万元，年初结转和结余3.00万元。</w:t>
      </w:r>
    </w:p>
    <w:p>
      <w:pPr>
        <w:widowControl/>
        <w:shd w:val="clear" w:color="auto" w:fill="FFFFFF"/>
        <w:snapToGrid w:val="0"/>
        <w:spacing w:before="100" w:beforeAutospacing="1" w:after="100" w:afterAutospacing="1" w:line="640" w:lineRule="exact"/>
        <w:jc w:val="left"/>
        <w:rPr>
          <w:rFonts w:cs="方正仿宋_GBK" w:asciiTheme="minorEastAsia" w:hAnsiTheme="minorEastAsia"/>
          <w:color w:val="000000"/>
          <w:kern w:val="0"/>
          <w:sz w:val="28"/>
          <w:szCs w:val="28"/>
        </w:rPr>
      </w:pPr>
      <w:r>
        <w:rPr>
          <w:rFonts w:hint="eastAsia" w:ascii="宋体" w:hAnsi="宋体" w:eastAsia="宋体" w:cs="宋体"/>
          <w:b/>
          <w:bCs/>
          <w:kern w:val="0"/>
          <w:sz w:val="27"/>
        </w:rPr>
        <w:t>3.支出情况。</w:t>
      </w:r>
      <w:r>
        <w:rPr>
          <w:rFonts w:hint="eastAsia" w:cs="方正仿宋_GBK" w:asciiTheme="minorEastAsia" w:hAnsiTheme="minorEastAsia"/>
          <w:color w:val="000000"/>
          <w:kern w:val="0"/>
          <w:sz w:val="28"/>
          <w:szCs w:val="28"/>
        </w:rPr>
        <w:t>2020年度支出合计22,119.87万元，较上年决算数增加8,290.04万元，增长59.9%，主要原因是：一是全区实现“镇镇通公交”，导致绕城高速外公共汽车补贴、冷线公共汽车补贴和二环外公交开行班车退出残值补贴金额都大幅度增加；二是受到新型冠状病毒的疫情影响,新增了抗疫特别国债资金；三是增加趸船建造资金、洛碛复建码头船舶污染物接收设施和船用岸电设施项目资金；四是用于公路养护费用较上年有所增加。其中：基本支出 6,153.34万元，占27.8%；项目支出15,966.53万元，占72.2%；此外，结余分配0.00万元。</w:t>
      </w:r>
    </w:p>
    <w:p>
      <w:pPr>
        <w:widowControl/>
        <w:snapToGrid w:val="0"/>
        <w:spacing w:line="560" w:lineRule="atLeast"/>
        <w:jc w:val="left"/>
        <w:rPr>
          <w:rFonts w:cs="方正仿宋_GBK" w:asciiTheme="minorEastAsia" w:hAnsiTheme="minorEastAsia"/>
          <w:color w:val="000000"/>
          <w:kern w:val="0"/>
          <w:sz w:val="28"/>
          <w:szCs w:val="28"/>
        </w:rPr>
      </w:pPr>
      <w:r>
        <w:rPr>
          <w:rFonts w:hint="eastAsia" w:ascii="宋体" w:hAnsi="宋体" w:eastAsia="宋体" w:cs="宋体"/>
          <w:b/>
          <w:bCs/>
          <w:kern w:val="0"/>
          <w:sz w:val="27"/>
        </w:rPr>
        <w:t>4.结转结余情况。</w:t>
      </w:r>
      <w:r>
        <w:rPr>
          <w:rFonts w:hint="eastAsia" w:cs="方正仿宋_GBK" w:asciiTheme="minorEastAsia" w:hAnsiTheme="minorEastAsia"/>
          <w:color w:val="000000"/>
          <w:kern w:val="0"/>
          <w:sz w:val="28"/>
          <w:szCs w:val="28"/>
        </w:rPr>
        <w:t>2020年度年末结转和结余0.00万元，较上年决算数减少3.00万元，下降100%，主要原因是2019年结转资金已全部支付完毕，本年无结转结余资金。</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（二）财政拨款收入支出决算总体情况说明</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  2020年度财政拨款收、支总计22,022.60万元。与2019年相比，财政拨款收、支总计各增加9,013.04万 元，增长69.3%。</w:t>
      </w:r>
      <w:r>
        <w:rPr>
          <w:rFonts w:hint="eastAsia" w:cs="宋体" w:asciiTheme="minorEastAsia" w:hAnsiTheme="minorEastAsia"/>
          <w:kern w:val="0"/>
          <w:sz w:val="24"/>
          <w:szCs w:val="24"/>
        </w:rPr>
        <w:t>主要原因一是新增了抗疫特别国债资金；二是为</w:t>
      </w:r>
      <w:r>
        <w:rPr>
          <w:rFonts w:hint="eastAsia" w:ascii="宋体" w:hAnsi="宋体" w:eastAsia="宋体" w:cs="宋体"/>
          <w:kern w:val="0"/>
          <w:sz w:val="27"/>
          <w:szCs w:val="27"/>
        </w:rPr>
        <w:t>积极</w:t>
      </w:r>
      <w:r>
        <w:rPr>
          <w:rFonts w:hint="eastAsia" w:cs="方正仿宋_GBK" w:asciiTheme="minorEastAsia" w:hAnsiTheme="minorEastAsia"/>
          <w:color w:val="000000"/>
          <w:kern w:val="0"/>
          <w:sz w:val="28"/>
          <w:szCs w:val="28"/>
        </w:rPr>
        <w:t>推进</w:t>
      </w:r>
      <w:r>
        <w:rPr>
          <w:rFonts w:hint="eastAsia" w:ascii="宋体" w:hAnsi="宋体" w:eastAsia="宋体" w:cs="宋体"/>
          <w:kern w:val="0"/>
          <w:sz w:val="27"/>
          <w:szCs w:val="27"/>
        </w:rPr>
        <w:t>城乡一体化建设，完成农客招呼站的基础设施建设，农客招呼站基础设施建设费用大幅增加；三是在职人员增加，相关人员经费增加；四是Ｇ210预防性养护工程、渝北区国检Ｇ210方家沟至茨竹段路面整治工程、固定治超站标志标线和电子抓拍系统等支出增加。</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（三）一般公共预算财政拨款支出决算情况说明</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1.收入情况。</w:t>
      </w:r>
      <w:r>
        <w:rPr>
          <w:rFonts w:hint="eastAsia" w:ascii="宋体" w:hAnsi="宋体" w:eastAsia="宋体" w:cs="宋体"/>
          <w:kern w:val="0"/>
          <w:sz w:val="27"/>
          <w:szCs w:val="27"/>
        </w:rPr>
        <w:t>2020年度一般公共预算财政拨款收入15,988.59万元，较上年决算数增加3,073.18万元，增长23.8%。主要原因是一是新增了抗疫特别国债资金；二是在职人员增加，人员经费增加；三是为落实“镇镇通公交”，推进城乡一体化建设，相关的汽车补贴和维护费用增加。较年初预算数减少5,769.11万元，下降26.5%。</w:t>
      </w:r>
      <w:r>
        <w:rPr>
          <w:rFonts w:hint="eastAsia" w:cs="方正仿宋_GBK" w:asciiTheme="minorEastAsia" w:hAnsiTheme="minorEastAsia"/>
          <w:color w:val="000000"/>
          <w:kern w:val="0"/>
          <w:sz w:val="28"/>
          <w:szCs w:val="28"/>
        </w:rPr>
        <w:t>主要</w:t>
      </w:r>
      <w:r>
        <w:rPr>
          <w:rFonts w:hint="eastAsia" w:ascii="宋体" w:hAnsi="宋体" w:eastAsia="宋体" w:cs="宋体"/>
          <w:kern w:val="0"/>
          <w:sz w:val="27"/>
          <w:szCs w:val="27"/>
        </w:rPr>
        <w:t>原因是年初全区农村公路建设和养护资金纳入单位年初预算，在执行过程中，由财政调指标到各相关预算单位和业主单位；二是由于疫情影响及“四山控制”和“生态红线”管控，导致渝北区道路升级改造建设进度受影响，招呼站建设计划滞后；三是农客招呼站建设指标300万元调整至政府性基金预算，未纳入到一般公共预算进行统计。此外，年初财政拨款结转和结余0.00万元。</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2.支出情况。</w:t>
      </w:r>
      <w:r>
        <w:rPr>
          <w:rFonts w:hint="eastAsia" w:ascii="宋体" w:hAnsi="宋体" w:eastAsia="宋体" w:cs="宋体"/>
          <w:kern w:val="0"/>
          <w:sz w:val="27"/>
          <w:szCs w:val="27"/>
        </w:rPr>
        <w:t>2020年度一般公共预算财政拨款支出15,988.59万元，较上年决算数增加3,073.18万元，增长23.8%。主要原因一是新增了抗疫特别国债资金；二是在职人员增加，人员经费增加；三是为落实“镇镇通公交”，推进城乡一体化建设，相关的汽车补贴和维护费用增加。较年初预算数减少5,769.11万 元，下降26.5%。主要原因是年初全区农村公路建设和养护资金纳入单位年初预算，在执行过程中，由财政调指标到各相关预算单位和业主单位；二是由于疫情影响及“四山控制”和“生态红线”管控，导致渝北区道路升级改造建设进度受影响，招呼站建设计划滞后；三是农客招呼站建设指标300万元调整至政府性基金预算，未纳入到一般公共预算进行统计。</w:t>
      </w:r>
    </w:p>
    <w:p>
      <w:pPr>
        <w:widowControl/>
        <w:snapToGrid w:val="0"/>
        <w:spacing w:line="560" w:lineRule="atLeast"/>
        <w:jc w:val="left"/>
        <w:rPr>
          <w:rFonts w:ascii="宋体" w:hAnsi="宋体" w:eastAsia="宋体" w:cs="宋体"/>
          <w:kern w:val="0"/>
          <w:sz w:val="27"/>
          <w:szCs w:val="27"/>
        </w:rPr>
      </w:pPr>
      <w:r>
        <w:rPr>
          <w:rFonts w:hint="eastAsia" w:ascii="宋体" w:hAnsi="宋体" w:eastAsia="宋体" w:cs="宋体"/>
          <w:b/>
          <w:bCs/>
          <w:kern w:val="0"/>
          <w:sz w:val="27"/>
        </w:rPr>
        <w:t>3.结转结余情况。</w:t>
      </w:r>
      <w:r>
        <w:rPr>
          <w:rFonts w:hint="eastAsia" w:ascii="宋体" w:hAnsi="宋体" w:eastAsia="宋体" w:cs="宋体"/>
          <w:kern w:val="0"/>
          <w:sz w:val="27"/>
          <w:szCs w:val="27"/>
        </w:rPr>
        <w:t>2020年度年末一般公共预算财政拨款结转和结余0.00万元，较上年决算数增加0.00万元，增长0%，无结转和结余资金。</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4.比较情况</w:t>
      </w:r>
      <w:r>
        <w:rPr>
          <w:rFonts w:hint="eastAsia" w:ascii="宋体" w:hAnsi="宋体" w:eastAsia="宋体" w:cs="宋体"/>
          <w:kern w:val="0"/>
          <w:sz w:val="27"/>
          <w:szCs w:val="27"/>
        </w:rPr>
        <w:t>。本部门2020年度一般公共预算财政拨款支出主要用于以下几个方面：</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（1）社会保障与就业支出979.83万元，占6.1%，较年初预算数增加71.12万 元，增长7.8%，主要原因是社保缴费基数调整，事业单位养老支出增加。</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（2）卫生健康支出248.10万元，占1.6%，较年初预算数减少128.12万元，下降34.1%，主要原因是公务员医疗补助未缴纳。</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（3）城乡社区支出354.31万元，占2.2%，较年初预算数增加354.31万 元，增长%，主要原因是新草统路路域环境</w:t>
      </w:r>
      <w:r>
        <w:rPr>
          <w:rFonts w:hint="eastAsia" w:cs="方正仿宋_GBK" w:asciiTheme="minorEastAsia" w:hAnsiTheme="minorEastAsia"/>
          <w:color w:val="000000"/>
          <w:kern w:val="0"/>
          <w:sz w:val="28"/>
          <w:szCs w:val="28"/>
        </w:rPr>
        <w:t>整治工程</w:t>
      </w:r>
      <w:r>
        <w:rPr>
          <w:rFonts w:hint="eastAsia" w:ascii="宋体" w:hAnsi="宋体" w:eastAsia="宋体" w:cs="宋体"/>
          <w:kern w:val="0"/>
          <w:sz w:val="27"/>
          <w:szCs w:val="27"/>
        </w:rPr>
        <w:t>支出354.31万元。</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（4）交通运输支出14,186.78万元，占88.7%，较年初预算数减少6,096.70万 元，下降30.1%，主要原因是一是农客</w:t>
      </w:r>
      <w:r>
        <w:rPr>
          <w:rFonts w:hint="eastAsia" w:cs="方正仿宋_GBK" w:asciiTheme="minorEastAsia" w:hAnsiTheme="minorEastAsia"/>
          <w:color w:val="000000"/>
          <w:kern w:val="0"/>
          <w:sz w:val="28"/>
          <w:szCs w:val="28"/>
        </w:rPr>
        <w:t>招呼站</w:t>
      </w:r>
      <w:r>
        <w:rPr>
          <w:rFonts w:hint="eastAsia" w:ascii="宋体" w:hAnsi="宋体" w:eastAsia="宋体" w:cs="宋体"/>
          <w:kern w:val="0"/>
          <w:sz w:val="27"/>
          <w:szCs w:val="27"/>
        </w:rPr>
        <w:t>建设指标调整至政府性基金预算，未纳入到一般公共预算进行统计；二是由于疫情影响及“四山控制”和“生态红线”管控，导致渝北区道路升级改造建设进度受影响，招呼站建设计划滞后。三是客运成品油</w:t>
      </w:r>
      <w:r>
        <w:rPr>
          <w:rFonts w:hint="eastAsia" w:ascii="宋体" w:hAnsi="宋体" w:eastAsia="宋体" w:cs="宋体"/>
          <w:kern w:val="0"/>
          <w:sz w:val="27"/>
          <w:szCs w:val="27"/>
          <w:lang w:eastAsia="zh-CN"/>
        </w:rPr>
        <w:t>财政补贴</w:t>
      </w:r>
      <w:r>
        <w:rPr>
          <w:rFonts w:hint="eastAsia" w:ascii="宋体" w:hAnsi="宋体" w:eastAsia="宋体" w:cs="宋体"/>
          <w:kern w:val="0"/>
          <w:sz w:val="27"/>
          <w:szCs w:val="27"/>
        </w:rPr>
        <w:t>在申请预算时按年申报，结算时由于部分车辆中途报废退出，最终按实际运行月份结算，导致存有结余。</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（5）住房保障支出219.57万元，占1.4%，较年初预算数增加30.28万 元，增长16%，主要原因一是在职人员增加；二是住房补贴年初无预算，年末追加经费。</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（四）一般公共预算财政拨款基本支出决算情况说明</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  2020年度一般公共财政拨款基本支出6,149.88万元。其中：人员经费4,506.29万元，较上年决算数减少818.57万 元，下降15.4%，主要原因一是在职人员的人数发生变动；二是在职职工绩效考核和退休人员健康休养费发放时间调整导致。人员经费用途主要包括</w:t>
      </w:r>
      <w:r>
        <w:rPr>
          <w:rFonts w:hint="eastAsia" w:cs="方正仿宋_GBK" w:asciiTheme="minorEastAsia" w:hAnsiTheme="minorEastAsia"/>
          <w:color w:val="000000"/>
          <w:kern w:val="0"/>
          <w:sz w:val="28"/>
          <w:szCs w:val="28"/>
        </w:rPr>
        <w:t>基本工资</w:t>
      </w:r>
      <w:r>
        <w:rPr>
          <w:rFonts w:hint="eastAsia" w:ascii="宋体" w:hAnsi="宋体" w:eastAsia="宋体" w:cs="宋体"/>
          <w:kern w:val="0"/>
          <w:sz w:val="27"/>
          <w:szCs w:val="27"/>
        </w:rPr>
        <w:t>、津贴补贴、奖金、绩效工资、机关事业单位基本养老保险费、职业年金、职工基本医疗保险、公务员医疗补助、社会保障缴费、住房公积金、医疗费、其他工资福利支出、离休费、抚恤金、生活补助、医疗费补助、奖励金和其他个人和家庭补助。公用经费1,643.59万元，较上年决算数增加26.59万元，增长1.6%，主要原因是一是2020年疫情导致物价上涨，导致费用一定幅度增加；二是单位业务工作量有小副度的增加。公用经费用途主要包括办公费、印刷费、咨询费、水费、电费、邮电费、物业管理费、差旅费、维修（护）费、租赁费、会议费、培训费、公务接待费、专用材料费、劳务费、委托业务费、工会经费、福利费、公务用车运行维护费、其他交通费、税金及附加费用、其他商品和服务支出。</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（五）政府性基金预算收支决算情况说明</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  2020年度政府性基金预算财政拨款年初结转结余0.00万元，年末结转结余0.00万元。本年收入6,034.01万元，较上年决算数增加5,939.86万元，增长6308.9%。本年支出6,034.01万元，较上年决算数增加5,939.86万元，增长6308.9%，主要原因一是2020年Ｇ210预防性养护项目财政拨款845.79万元；二是增加洛碛复建码头船舶污染物接收设施和船用岸电设施项目资金；三是由于疫情原因，将农客招呼站建设款300万元调整为抗疫特别国债资金预算。</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（六）国有资本经营预算财政拨款支出决算情况说明</w:t>
      </w:r>
    </w:p>
    <w:p>
      <w:pPr>
        <w:widowControl/>
        <w:shd w:val="clear" w:color="auto" w:fill="FFFFFF"/>
        <w:snapToGrid w:val="0"/>
        <w:spacing w:before="100" w:beforeAutospacing="1" w:after="100" w:afterAutospacing="1"/>
        <w:jc w:val="left"/>
        <w:rPr>
          <w:rFonts w:ascii="宋体" w:hAnsi="宋体" w:eastAsia="宋体" w:cs="宋体"/>
          <w:b/>
          <w:bCs/>
          <w:kern w:val="0"/>
          <w:sz w:val="27"/>
          <w:szCs w:val="27"/>
          <w:shd w:val="clear" w:color="auto" w:fill="FFFF00"/>
        </w:rPr>
      </w:pPr>
      <w:r>
        <w:rPr>
          <w:rFonts w:hint="eastAsia" w:ascii="宋体" w:hAnsi="宋体" w:eastAsia="宋体" w:cs="宋体"/>
          <w:kern w:val="0"/>
          <w:sz w:val="27"/>
          <w:szCs w:val="27"/>
        </w:rPr>
        <w:t> 本部门2020年度无国有资本经营预算财政拨款支出。</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三、“三公”经费情况说明</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（一）“三公”经费支出总体情况说明</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2020年度“三公”经费支出共计70.96万元，较年初预算数增加37.88万元，增长114.5%。 较上年支出数增加39.77万 元，增长127.5%，主要</w:t>
      </w:r>
      <w:r>
        <w:rPr>
          <w:rFonts w:hint="eastAsia" w:ascii="宋体" w:hAnsi="宋体" w:eastAsia="宋体" w:cs="宋体"/>
          <w:kern w:val="0"/>
          <w:sz w:val="27"/>
          <w:szCs w:val="27"/>
          <w:lang w:eastAsia="zh-CN"/>
        </w:rPr>
        <w:t>原因是</w:t>
      </w:r>
      <w:r>
        <w:rPr>
          <w:rFonts w:hint="eastAsia" w:ascii="宋体" w:hAnsi="宋体" w:eastAsia="宋体" w:cs="宋体"/>
          <w:kern w:val="0"/>
          <w:sz w:val="27"/>
          <w:szCs w:val="27"/>
        </w:rPr>
        <w:t>下属二级单位渝北区公路事务中心的车辆不属于公务用车范围，故2020年年初预算时未对“公务车运行维护费”进行预算，将车辆的预算费用在“其他交通费用”中。</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（二）“三公”经费分项支出情况</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本单位2020年度未发生因公出国（境）费用支出；</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本单位2020年度未发生公务车购置费支出；</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公务车运行维护费68.10万元，主要用于单位公路养护车辆、公路养护机具、行政车辆、路政执法车辆等车辆的费用支出。费用支出较年初预算数增加43.80万元，增长180.2%；较上年支出数增加40.80万元，增长149.5%，主要</w:t>
      </w:r>
      <w:r>
        <w:rPr>
          <w:rFonts w:hint="eastAsia" w:ascii="宋体" w:hAnsi="宋体" w:eastAsia="宋体" w:cs="宋体"/>
          <w:kern w:val="0"/>
          <w:sz w:val="27"/>
          <w:szCs w:val="27"/>
          <w:lang w:eastAsia="zh-CN"/>
        </w:rPr>
        <w:t>原因是</w:t>
      </w:r>
      <w:r>
        <w:rPr>
          <w:rFonts w:hint="eastAsia" w:ascii="宋体" w:hAnsi="宋体" w:eastAsia="宋体" w:cs="宋体"/>
          <w:kern w:val="0"/>
          <w:sz w:val="27"/>
          <w:szCs w:val="27"/>
        </w:rPr>
        <w:t>下属二级单位渝北区公路事务中心的车辆不属于公务用车范围，故2020年年初预算时未对“公务车运行维护费”进行预算，将车辆的预算费用在“其他交通费用”中。</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公务接待费2.87万元，主要用于接待相关部门检查及指导工作所发生的接待费用。费用支出较年初预算数减少5.91万元，下降67.3%；较上年支出数减少1.02万元，下降26.2%，主要原因是强化公务接待支出管理，严格遵守公务接待开支范围和开支标准，严格控制陪餐人数。</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（三）“三公”经费实物量情况</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2020年度本部门因公出国（境）共计0个团组，0人；公务用车购置0辆，公务车保有量为21辆；国内公务接待26批次403人，其中：国内外事接待0批次，0人；国（境）外公务接待0批次，0人。2020年本部门人均接待费71.18元，车均购置费0.00万元，车均维护费3.24万元。</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四、其他需要说明的事项</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（一）机关运行经费情况说明</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 xml:space="preserve">2020年度本部门机关运行经费支出709.23万元，机关运行经费主要用于开支办公费、印刷费、水费、电费、邮电费、物业管理费、差旅费、维修（护）费、租赁费、会议费、培训费、公务接待费、劳务费、工会经费、福利费、公务用车运行维护费、其他交通费用和其他商品和服务支出。 </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机关运行经费较上年决算数减少4.59万元，下降0.6%，主要原因是在保障机关正常运行下，严格执行《党政机关厉行节约反对浪费条例》，在办公耗材、办公设备购置等日常费用方面，加强管理，严控不必要的开支，减少浪费。</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本年度会议费支出2.70万元，较上年决算数减少1.17万元，下降30.2%，主要</w:t>
      </w:r>
      <w:r>
        <w:rPr>
          <w:rFonts w:hint="eastAsia" w:ascii="宋体" w:hAnsi="宋体" w:eastAsia="宋体" w:cs="宋体"/>
          <w:kern w:val="0"/>
          <w:sz w:val="27"/>
          <w:szCs w:val="27"/>
          <w:lang w:eastAsia="zh-CN"/>
        </w:rPr>
        <w:t>原因是</w:t>
      </w:r>
      <w:r>
        <w:rPr>
          <w:rFonts w:hint="eastAsia" w:ascii="宋体" w:hAnsi="宋体" w:eastAsia="宋体" w:cs="宋体"/>
          <w:kern w:val="0"/>
          <w:sz w:val="27"/>
          <w:szCs w:val="27"/>
        </w:rPr>
        <w:t>疫情原因，减少了行业集中会议次数，减少了相关费用。</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本年度培训费支出 21.63万元，较上年决算数减少28.42万元，下降56.8%，主要</w:t>
      </w:r>
      <w:r>
        <w:rPr>
          <w:rFonts w:hint="eastAsia" w:ascii="宋体" w:hAnsi="宋体" w:eastAsia="宋体" w:cs="宋体"/>
          <w:kern w:val="0"/>
          <w:sz w:val="27"/>
          <w:szCs w:val="27"/>
          <w:lang w:eastAsia="zh-CN"/>
        </w:rPr>
        <w:t>原因是</w:t>
      </w:r>
      <w:r>
        <w:rPr>
          <w:rFonts w:hint="eastAsia" w:ascii="宋体" w:hAnsi="宋体" w:eastAsia="宋体" w:cs="宋体"/>
          <w:kern w:val="0"/>
          <w:sz w:val="27"/>
          <w:szCs w:val="27"/>
        </w:rPr>
        <w:t>新冠疫情培训减少。</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（二）国有资产占用情况说明</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截至2020年12月31日，本部门共有车辆21辆，其中，副部（省）级及以上领导用车0辆、主要领导干部用车0辆、机要通信用车7辆、应急保障用车3辆、执法执勤用车0辆，特种专业技术用车11辆，离退休干部用车0辆，其他用车0辆。单价50万元（含）以上通用设备0台（套），单价100万元（含）以上专用设备0台（套）。</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（三）政府采购支出情况说明</w:t>
      </w:r>
    </w:p>
    <w:p>
      <w:pPr>
        <w:widowControl/>
        <w:snapToGrid w:val="0"/>
        <w:spacing w:line="560" w:lineRule="atLeast"/>
        <w:ind w:firstLine="567" w:firstLineChars="210"/>
        <w:jc w:val="left"/>
        <w:rPr>
          <w:rFonts w:ascii="宋体" w:hAnsi="宋体" w:eastAsia="宋体" w:cs="宋体"/>
          <w:kern w:val="0"/>
          <w:sz w:val="27"/>
          <w:szCs w:val="27"/>
        </w:rPr>
      </w:pPr>
      <w:r>
        <w:rPr>
          <w:rFonts w:hint="eastAsia" w:ascii="宋体" w:hAnsi="宋体" w:eastAsia="宋体" w:cs="宋体"/>
          <w:kern w:val="0"/>
          <w:sz w:val="27"/>
          <w:szCs w:val="27"/>
        </w:rPr>
        <w:t>2020年度本部门政府采购支出总额892.79万元，其中：政府采购货物支出604.47万元、政府采购工程支出0.00万元、政府采购服务支出288.31万元。授予中小企业合同金额604.47万元，占政府采购支出总额的67.7%，其中：授予小微企业合同金额 112.31万元，占政府采购支出总额的12.6%。主要用于采购：固定超限检测站交通标志标线及电子抓拍系统104.4164万元（预算109.912万元，实际支出104.4164万元）、购买公路综合保险140万元（预算160万元，实际支出140万元）、新建趸船、用于行政大厅采购5套华硕电脑。</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五、预算绩效管理情况说明</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（一）预算绩效管理工作开展情况</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根据预算绩效管理要求，本部门对部门整体和20个项目开展了绩效自评，其中，以填报目标自评表形式开展自评20项，涉及资金4779.2万元；以委托第三方形式开展绩效自评1项，涉及资金686万元，从评价情况来看，年初各项绩效目标都能够较好地完成。</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（二）绩效自评结果</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1.绩效自评表</w:t>
      </w:r>
    </w:p>
    <w:p>
      <w:pPr>
        <w:widowControl/>
        <w:shd w:val="clear" w:color="auto" w:fill="FFFFFF"/>
        <w:snapToGrid w:val="0"/>
        <w:spacing w:before="100" w:beforeAutospacing="1" w:after="100" w:afterAutospacing="1"/>
        <w:jc w:val="left"/>
        <w:rPr>
          <w:rFonts w:asciiTheme="minorEastAsia" w:hAnsiTheme="minorEastAsia"/>
          <w:sz w:val="28"/>
          <w:szCs w:val="28"/>
        </w:rPr>
      </w:pPr>
      <w:r>
        <w:rPr>
          <w:rFonts w:hint="eastAsia" w:cs="宋体" w:asciiTheme="minorEastAsia" w:hAnsiTheme="minorEastAsia"/>
          <w:bCs/>
          <w:kern w:val="0"/>
          <w:sz w:val="28"/>
          <w:szCs w:val="28"/>
        </w:rPr>
        <w:t xml:space="preserve">见附件1  </w:t>
      </w:r>
      <w:r>
        <w:rPr>
          <w:rFonts w:hint="eastAsia" w:asciiTheme="minorEastAsia" w:hAnsiTheme="minorEastAsia"/>
          <w:sz w:val="28"/>
          <w:szCs w:val="28"/>
        </w:rPr>
        <w:t>部门整体绩效评价表</w:t>
      </w:r>
    </w:p>
    <w:p>
      <w:pPr>
        <w:ind w:firstLine="280" w:firstLineChars="100"/>
        <w:rPr>
          <w:rFonts w:asciiTheme="minorEastAsia" w:hAnsiTheme="minorEastAsia"/>
          <w:sz w:val="28"/>
          <w:szCs w:val="28"/>
        </w:rPr>
      </w:pPr>
      <w:r>
        <w:rPr>
          <w:rFonts w:hint="eastAsia" w:asciiTheme="minorEastAsia" w:hAnsiTheme="minorEastAsia"/>
          <w:sz w:val="28"/>
          <w:szCs w:val="28"/>
        </w:rPr>
        <w:t>附件2  2016年——2019年公路综合保险自评表</w:t>
      </w:r>
    </w:p>
    <w:p>
      <w:pPr>
        <w:widowControl/>
        <w:shd w:val="clear" w:color="auto" w:fill="FFFFFF"/>
        <w:snapToGrid w:val="0"/>
        <w:spacing w:before="100" w:beforeAutospacing="1" w:after="100" w:afterAutospacing="1"/>
        <w:jc w:val="left"/>
        <w:rPr>
          <w:rFonts w:ascii="宋体" w:hAnsi="宋体" w:eastAsia="宋体" w:cs="宋体"/>
          <w:b/>
          <w:bCs/>
          <w:kern w:val="0"/>
          <w:sz w:val="27"/>
        </w:rPr>
      </w:pPr>
      <w:r>
        <w:rPr>
          <w:rFonts w:hint="eastAsia" w:ascii="宋体" w:hAnsi="宋体" w:eastAsia="宋体" w:cs="宋体"/>
          <w:b/>
          <w:bCs/>
          <w:kern w:val="0"/>
          <w:sz w:val="27"/>
        </w:rPr>
        <w:t>2.绩效自评报告或案例</w:t>
      </w:r>
    </w:p>
    <w:p>
      <w:pPr>
        <w:widowControl/>
        <w:shd w:val="clear" w:color="auto" w:fill="FFFFFF"/>
        <w:snapToGrid w:val="0"/>
        <w:spacing w:before="100" w:beforeAutospacing="1" w:after="100" w:afterAutospacing="1"/>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见附件3  </w:t>
      </w:r>
      <w:r>
        <w:rPr>
          <w:rFonts w:hint="eastAsia" w:asciiTheme="minorEastAsia" w:hAnsiTheme="minorEastAsia"/>
          <w:sz w:val="28"/>
          <w:szCs w:val="28"/>
        </w:rPr>
        <w:t xml:space="preserve"> 2016年——2019年公路综合保险项目支出绩效评价报告</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7"/>
        </w:rPr>
        <w:t>（三）重点绩效评价结果</w:t>
      </w:r>
    </w:p>
    <w:p>
      <w:pPr>
        <w:widowControl/>
        <w:snapToGrid w:val="0"/>
        <w:spacing w:line="560" w:lineRule="atLeast"/>
        <w:ind w:firstLine="630" w:firstLineChars="210"/>
        <w:jc w:val="left"/>
        <w:rPr>
          <w:rFonts w:ascii="宋体" w:hAnsi="宋体" w:eastAsia="宋体" w:cs="宋体"/>
          <w:kern w:val="0"/>
          <w:sz w:val="27"/>
          <w:szCs w:val="27"/>
        </w:rPr>
      </w:pPr>
      <w:r>
        <w:rPr>
          <w:rStyle w:val="8"/>
          <w:rFonts w:hint="eastAsia" w:asciiTheme="minorEastAsia" w:hAnsiTheme="minorEastAsia"/>
          <w:b w:val="0"/>
          <w:sz w:val="30"/>
          <w:szCs w:val="30"/>
        </w:rPr>
        <w:t xml:space="preserve">  </w:t>
      </w:r>
      <w:r>
        <w:rPr>
          <w:rFonts w:hint="eastAsia" w:ascii="宋体" w:hAnsi="宋体" w:eastAsia="宋体" w:cs="宋体"/>
          <w:bCs/>
          <w:kern w:val="0"/>
          <w:sz w:val="27"/>
          <w:szCs w:val="27"/>
        </w:rPr>
        <w:t>区财政局委托第三方开展的重点绩效评价暂未出具评价结果，待评价结果出具后，由区财政局统一公开。</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六、专业名词解释</w:t>
      </w:r>
    </w:p>
    <w:p>
      <w:pPr>
        <w:widowControl/>
        <w:snapToGrid w:val="0"/>
        <w:spacing w:line="560" w:lineRule="atLeast"/>
        <w:jc w:val="left"/>
        <w:rPr>
          <w:rFonts w:ascii="宋体" w:hAnsi="宋体" w:eastAsia="宋体" w:cs="宋体"/>
          <w:kern w:val="0"/>
          <w:sz w:val="27"/>
          <w:szCs w:val="27"/>
        </w:rPr>
      </w:pPr>
      <w:r>
        <w:rPr>
          <w:rFonts w:hint="eastAsia" w:ascii="宋体" w:hAnsi="宋体" w:eastAsia="宋体" w:cs="宋体"/>
          <w:b/>
          <w:bCs/>
          <w:kern w:val="0"/>
          <w:sz w:val="27"/>
        </w:rPr>
        <w:t>（一）财政拨款收入</w:t>
      </w:r>
      <w:r>
        <w:rPr>
          <w:rFonts w:hint="eastAsia" w:ascii="宋体" w:hAnsi="宋体" w:eastAsia="宋体" w:cs="宋体"/>
          <w:kern w:val="0"/>
          <w:sz w:val="27"/>
          <w:szCs w:val="27"/>
        </w:rPr>
        <w:t>：指本年度从本级财政部门取得的财政拨款，包括一般公共预算财政拨款和政府性基金预算财政拨款。</w:t>
      </w:r>
    </w:p>
    <w:p>
      <w:pPr>
        <w:widowControl/>
        <w:snapToGrid w:val="0"/>
        <w:spacing w:line="560" w:lineRule="atLeast"/>
        <w:jc w:val="left"/>
        <w:rPr>
          <w:rFonts w:ascii="宋体" w:hAnsi="宋体" w:eastAsia="宋体" w:cs="宋体"/>
          <w:kern w:val="0"/>
          <w:sz w:val="27"/>
          <w:szCs w:val="27"/>
        </w:rPr>
      </w:pPr>
      <w:r>
        <w:rPr>
          <w:rFonts w:hint="eastAsia" w:ascii="宋体" w:hAnsi="宋体" w:eastAsia="宋体" w:cs="宋体"/>
          <w:b/>
          <w:bCs/>
          <w:kern w:val="0"/>
          <w:sz w:val="27"/>
        </w:rPr>
        <w:t>（二）事业收入</w:t>
      </w:r>
      <w:r>
        <w:rPr>
          <w:rFonts w:hint="eastAsia" w:ascii="宋体" w:hAnsi="宋体" w:eastAsia="宋体" w:cs="宋体"/>
          <w:kern w:val="0"/>
          <w:sz w:val="27"/>
          <w:szCs w:val="27"/>
        </w:rPr>
        <w:t>：指事业单位开展专业业务活动及其辅助活动取得的现金流入；事业单位收到的财政专户实际核拨的教育收费等资金在此反映。</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（三）经营收入</w:t>
      </w:r>
      <w:r>
        <w:rPr>
          <w:rFonts w:hint="eastAsia" w:ascii="宋体" w:hAnsi="宋体" w:eastAsia="宋体" w:cs="宋体"/>
          <w:kern w:val="0"/>
          <w:sz w:val="27"/>
          <w:szCs w:val="27"/>
        </w:rPr>
        <w:t>：指事业单位在专业业务活动及其辅助活动之外开展非独立核算经营活动取得的现金流入。</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（四）其他收入</w:t>
      </w:r>
      <w:r>
        <w:rPr>
          <w:rFonts w:hint="eastAsia" w:ascii="宋体" w:hAnsi="宋体" w:eastAsia="宋体" w:cs="宋体"/>
          <w:kern w:val="0"/>
          <w:sz w:val="27"/>
          <w:szCs w:val="27"/>
        </w:rPr>
        <w:t>：</w:t>
      </w:r>
      <w:r>
        <w:rPr>
          <w:rFonts w:hint="eastAsia" w:ascii="宋体" w:hAnsi="宋体" w:eastAsia="宋体" w:cs="宋体"/>
          <w:kern w:val="0"/>
          <w:sz w:val="28"/>
          <w:szCs w:val="28"/>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w:t>
      </w:r>
      <w:r>
        <w:rPr>
          <w:rFonts w:hint="eastAsia" w:ascii="宋体" w:hAnsi="宋体" w:eastAsia="宋体" w:cs="宋体"/>
          <w:kern w:val="0"/>
          <w:sz w:val="27"/>
          <w:szCs w:val="27"/>
        </w:rPr>
        <w:t>单位收到的财政专户管理资金反映在本项内。</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（五）使用非财政拨款结余</w:t>
      </w:r>
      <w:r>
        <w:rPr>
          <w:rFonts w:hint="eastAsia" w:ascii="宋体" w:hAnsi="宋体" w:eastAsia="宋体" w:cs="宋体"/>
          <w:kern w:val="0"/>
          <w:sz w:val="27"/>
          <w:szCs w:val="27"/>
        </w:rPr>
        <w:t>：指单位在当年的“财政拨款收入”、“事业收入”、“经营收入”、“其他收入”等不足以安排当年支出的情况下，使用以前年度积累的非财政拨款结余弥补本年度收支缺口的资金。</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（六）年初结转和结余</w:t>
      </w:r>
      <w:r>
        <w:rPr>
          <w:rFonts w:hint="eastAsia" w:ascii="宋体" w:hAnsi="宋体" w:eastAsia="宋体" w:cs="宋体"/>
          <w:kern w:val="0"/>
          <w:sz w:val="27"/>
          <w:szCs w:val="27"/>
        </w:rPr>
        <w:t>：指单位上年结转本年使用的基本支出结转、项目支出结转和结余、经营结余。</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（七）结余分配</w:t>
      </w:r>
      <w:r>
        <w:rPr>
          <w:rFonts w:hint="eastAsia" w:ascii="宋体" w:hAnsi="宋体" w:eastAsia="宋体" w:cs="宋体"/>
          <w:kern w:val="0"/>
          <w:sz w:val="27"/>
          <w:szCs w:val="27"/>
        </w:rPr>
        <w:t>：指单位按照国家有关规定，缴纳所得税、提取专用基金、转入非财政拨款结余等当年结余的分配情况。</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（八）年末结转和结余</w:t>
      </w:r>
      <w:r>
        <w:rPr>
          <w:rFonts w:hint="eastAsia" w:ascii="宋体" w:hAnsi="宋体" w:eastAsia="宋体" w:cs="宋体"/>
          <w:kern w:val="0"/>
          <w:sz w:val="27"/>
          <w:szCs w:val="27"/>
        </w:rPr>
        <w:t>：指单位结转下年的基本支出结转、项目支出结转和结余、经营结余。</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（九）基本支出</w:t>
      </w:r>
      <w:r>
        <w:rPr>
          <w:rFonts w:hint="eastAsia" w:ascii="宋体" w:hAnsi="宋体" w:eastAsia="宋体" w:cs="宋体"/>
          <w:kern w:val="0"/>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（十）项目支出</w:t>
      </w:r>
      <w:r>
        <w:rPr>
          <w:rFonts w:hint="eastAsia" w:ascii="宋体" w:hAnsi="宋体" w:eastAsia="宋体" w:cs="宋体"/>
          <w:kern w:val="0"/>
          <w:sz w:val="27"/>
          <w:szCs w:val="27"/>
        </w:rPr>
        <w:t>：指在基本支出之外为完成特定行政任务和事业发展目标所发生的支出。</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（十一）经营支出</w:t>
      </w:r>
      <w:r>
        <w:rPr>
          <w:rFonts w:hint="eastAsia" w:ascii="宋体" w:hAnsi="宋体" w:eastAsia="宋体" w:cs="宋体"/>
          <w:kern w:val="0"/>
          <w:sz w:val="27"/>
          <w:szCs w:val="27"/>
        </w:rPr>
        <w:t>：指事业单位在专业业务活动及其辅助活动之外开展非独立核算经营活动发生的支出。</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（十二）“三公”经费</w:t>
      </w:r>
      <w:r>
        <w:rPr>
          <w:rFonts w:hint="eastAsia" w:ascii="宋体" w:hAnsi="宋体" w:eastAsia="宋体" w:cs="宋体"/>
          <w:kern w:val="0"/>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（十三）机关运行经费</w:t>
      </w:r>
      <w:r>
        <w:rPr>
          <w:rFonts w:hint="eastAsia" w:ascii="宋体" w:hAnsi="宋体" w:eastAsia="宋体" w:cs="宋体"/>
          <w:kern w:val="0"/>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（十四）工资福利支出（支出经济分类科目类级）</w:t>
      </w:r>
      <w:r>
        <w:rPr>
          <w:rFonts w:hint="eastAsia" w:ascii="宋体" w:hAnsi="宋体" w:eastAsia="宋体" w:cs="宋体"/>
          <w:kern w:val="0"/>
          <w:sz w:val="27"/>
          <w:szCs w:val="27"/>
        </w:rPr>
        <w:t>：反映单位开支的在职职工和编制外长期聘用人员的各类劳动报酬，以及为上述人员缴纳的各项社会保险费等。</w:t>
      </w:r>
    </w:p>
    <w:p>
      <w:pPr>
        <w:widowControl/>
        <w:snapToGrid w:val="0"/>
        <w:spacing w:line="560" w:lineRule="atLeast"/>
        <w:ind w:firstLine="569" w:firstLineChars="210"/>
        <w:jc w:val="left"/>
        <w:rPr>
          <w:rFonts w:ascii="宋体" w:hAnsi="宋体" w:eastAsia="宋体" w:cs="宋体"/>
          <w:kern w:val="0"/>
          <w:sz w:val="24"/>
          <w:szCs w:val="24"/>
        </w:rPr>
      </w:pPr>
      <w:r>
        <w:rPr>
          <w:rFonts w:hint="eastAsia" w:ascii="宋体" w:hAnsi="宋体" w:eastAsia="宋体" w:cs="宋体"/>
          <w:b/>
          <w:bCs/>
          <w:kern w:val="0"/>
          <w:sz w:val="27"/>
        </w:rPr>
        <w:t>（十五）商品和服务支出（支出经济分类科目类级）</w:t>
      </w:r>
      <w:r>
        <w:rPr>
          <w:rFonts w:hint="eastAsia" w:ascii="宋体" w:hAnsi="宋体" w:eastAsia="宋体" w:cs="宋体"/>
          <w:kern w:val="0"/>
          <w:sz w:val="27"/>
          <w:szCs w:val="27"/>
        </w:rPr>
        <w:t>：反映单位购买商品和服务的支出（不包括用于购置固定资产的支出、战略性和应急储备支出）。</w:t>
      </w:r>
    </w:p>
    <w:p>
      <w:pPr>
        <w:widowControl/>
        <w:snapToGrid w:val="0"/>
        <w:spacing w:line="560" w:lineRule="atLeast"/>
        <w:ind w:firstLine="569" w:firstLineChars="210"/>
        <w:jc w:val="left"/>
        <w:rPr>
          <w:rFonts w:ascii="宋体" w:hAnsi="宋体" w:eastAsia="宋体" w:cs="宋体"/>
          <w:kern w:val="0"/>
          <w:sz w:val="24"/>
          <w:szCs w:val="24"/>
        </w:rPr>
      </w:pPr>
      <w:r>
        <w:rPr>
          <w:rFonts w:hint="eastAsia" w:ascii="宋体" w:hAnsi="宋体" w:eastAsia="宋体" w:cs="宋体"/>
          <w:b/>
          <w:bCs/>
          <w:kern w:val="0"/>
          <w:sz w:val="27"/>
        </w:rPr>
        <w:t>（十六）对个人和家庭的补助（支出经济分类科目类级）</w:t>
      </w:r>
      <w:r>
        <w:rPr>
          <w:rFonts w:hint="eastAsia" w:ascii="宋体" w:hAnsi="宋体" w:eastAsia="宋体" w:cs="宋体"/>
          <w:kern w:val="0"/>
          <w:sz w:val="27"/>
          <w:szCs w:val="27"/>
        </w:rPr>
        <w:t>：反映用于对个人和家庭的补助支出。</w:t>
      </w:r>
    </w:p>
    <w:p>
      <w:pPr>
        <w:widowControl/>
        <w:snapToGrid w:val="0"/>
        <w:spacing w:line="560" w:lineRule="atLeast"/>
        <w:jc w:val="left"/>
        <w:rPr>
          <w:rFonts w:ascii="宋体" w:hAnsi="宋体" w:eastAsia="宋体" w:cs="宋体"/>
          <w:kern w:val="0"/>
          <w:sz w:val="24"/>
          <w:szCs w:val="24"/>
        </w:rPr>
      </w:pPr>
      <w:r>
        <w:rPr>
          <w:rFonts w:hint="eastAsia" w:ascii="宋体" w:hAnsi="宋体" w:eastAsia="宋体" w:cs="宋体"/>
          <w:b/>
          <w:bCs/>
          <w:kern w:val="0"/>
          <w:sz w:val="27"/>
        </w:rPr>
        <w:t>（十七）其他资本性支出（支出经济分类科目类级）</w:t>
      </w:r>
      <w:r>
        <w:rPr>
          <w:rFonts w:hint="eastAsia" w:ascii="宋体" w:hAnsi="宋体" w:eastAsia="宋体" w:cs="宋体"/>
          <w:kern w:val="0"/>
          <w:sz w:val="27"/>
          <w:szCs w:val="27"/>
        </w:rPr>
        <w:t>：反映非各级发展与改革部门集中安排的用于购置固定资产、战略性和应急性储备、土地和无形资产，以及构建基础设施、大型修缮和财政支持企业更新改造所发生的支出。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napToGrid w:val="0"/>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6"/>
        </w:rPr>
        <w:t>七、决算公开联系方式及信息反馈渠道</w:t>
      </w:r>
    </w:p>
    <w:p>
      <w:pPr>
        <w:widowControl/>
        <w:snapToGrid w:val="0"/>
        <w:spacing w:line="560" w:lineRule="atLeast"/>
        <w:ind w:firstLine="567" w:firstLineChars="210"/>
        <w:jc w:val="left"/>
        <w:rPr>
          <w:rFonts w:ascii="宋体" w:hAnsi="宋体" w:eastAsia="宋体" w:cs="宋体"/>
          <w:kern w:val="0"/>
          <w:sz w:val="24"/>
          <w:szCs w:val="24"/>
        </w:rPr>
      </w:pPr>
      <w:r>
        <w:rPr>
          <w:rFonts w:hint="eastAsia" w:ascii="宋体" w:hAnsi="宋体" w:eastAsia="宋体" w:cs="宋体"/>
          <w:kern w:val="0"/>
          <w:sz w:val="27"/>
          <w:szCs w:val="27"/>
        </w:rPr>
        <w:t>本单位决算公开信息反馈和联系方式：</w:t>
      </w:r>
      <w:r>
        <w:rPr>
          <w:rFonts w:hint="eastAsia" w:asciiTheme="minorEastAsia" w:hAnsiTheme="minorEastAsia"/>
          <w:sz w:val="30"/>
          <w:szCs w:val="30"/>
        </w:rPr>
        <w:t>023-86017005</w:t>
      </w:r>
    </w:p>
    <w:p/>
    <w:p/>
    <w:p/>
    <w:p/>
    <w:p/>
    <w:p>
      <w:pPr>
        <w:widowControl/>
        <w:snapToGrid w:val="0"/>
        <w:spacing w:line="560" w:lineRule="atLeast"/>
        <w:ind w:firstLine="504" w:firstLineChars="210"/>
        <w:jc w:val="left"/>
        <w:rPr>
          <w:rFonts w:ascii="宋体" w:hAnsi="宋体" w:eastAsia="宋体" w:cs="宋体"/>
          <w:kern w:val="0"/>
          <w:sz w:val="24"/>
          <w:szCs w:val="24"/>
        </w:rPr>
      </w:pPr>
      <w:r>
        <w:rPr>
          <w:rFonts w:hint="eastAsia" w:ascii="宋体" w:hAnsi="宋体" w:eastAsia="宋体" w:cs="宋体"/>
          <w:kern w:val="0"/>
          <w:sz w:val="24"/>
          <w:szCs w:val="24"/>
        </w:rPr>
        <w:t>附件1  部门整体绩效评价表</w:t>
      </w:r>
    </w:p>
    <w:p>
      <w:pPr>
        <w:widowControl/>
        <w:snapToGrid w:val="0"/>
        <w:spacing w:line="560" w:lineRule="atLeast"/>
        <w:ind w:firstLine="504" w:firstLineChars="210"/>
        <w:jc w:val="left"/>
        <w:rPr>
          <w:rFonts w:ascii="宋体" w:hAnsi="宋体" w:eastAsia="宋体" w:cs="宋体"/>
          <w:kern w:val="0"/>
          <w:sz w:val="24"/>
          <w:szCs w:val="24"/>
        </w:rPr>
      </w:pPr>
      <w:r>
        <w:rPr>
          <w:rFonts w:hint="eastAsia" w:ascii="宋体" w:hAnsi="宋体" w:eastAsia="宋体" w:cs="宋体"/>
          <w:kern w:val="0"/>
          <w:sz w:val="24"/>
          <w:szCs w:val="24"/>
        </w:rPr>
        <w:t>附件2  2016年——2019年公路综合保险自评表</w:t>
      </w:r>
    </w:p>
    <w:p>
      <w:pPr>
        <w:widowControl/>
        <w:snapToGrid w:val="0"/>
        <w:spacing w:line="560" w:lineRule="atLeast"/>
        <w:ind w:firstLine="504" w:firstLineChars="210"/>
        <w:jc w:val="left"/>
        <w:rPr>
          <w:rFonts w:ascii="宋体" w:hAnsi="宋体" w:eastAsia="宋体" w:cs="宋体"/>
          <w:kern w:val="0"/>
          <w:sz w:val="24"/>
          <w:szCs w:val="24"/>
        </w:rPr>
      </w:pPr>
      <w:r>
        <w:rPr>
          <w:rFonts w:hint="eastAsia" w:ascii="宋体" w:hAnsi="宋体" w:eastAsia="宋体" w:cs="宋体"/>
          <w:kern w:val="0"/>
          <w:sz w:val="24"/>
          <w:szCs w:val="24"/>
        </w:rPr>
        <w:t>附件3  2016年——2019年公路综合保险项目支出绩效评价报告</w:t>
      </w:r>
    </w:p>
    <w:p>
      <w:pPr>
        <w:widowControl/>
        <w:jc w:val="left"/>
      </w:pPr>
      <w:r>
        <w:br w:type="page"/>
      </w:r>
    </w:p>
    <w:p>
      <w:r>
        <w:rPr>
          <w:rFonts w:hint="eastAsia"/>
        </w:rPr>
        <w:t>附件1</w:t>
      </w:r>
    </w:p>
    <w:p>
      <w:pPr>
        <w:spacing w:line="600" w:lineRule="exact"/>
        <w:jc w:val="center"/>
        <w:rPr>
          <w:rFonts w:ascii="Times New Roman" w:hAnsi="Times New Roman"/>
          <w:color w:val="000000"/>
          <w:sz w:val="28"/>
          <w:szCs w:val="28"/>
        </w:rPr>
      </w:pPr>
      <w:r>
        <w:rPr>
          <w:rFonts w:hint="eastAsia"/>
          <w:color w:val="000000"/>
          <w:sz w:val="28"/>
          <w:szCs w:val="28"/>
        </w:rPr>
        <w:t>部门整体绩效自评表</w:t>
      </w:r>
    </w:p>
    <w:tbl>
      <w:tblPr>
        <w:tblStyle w:val="6"/>
        <w:tblW w:w="9564" w:type="dxa"/>
        <w:tblInd w:w="108" w:type="dxa"/>
        <w:tblLayout w:type="fixed"/>
        <w:tblCellMar>
          <w:top w:w="0" w:type="dxa"/>
          <w:left w:w="108" w:type="dxa"/>
          <w:bottom w:w="0" w:type="dxa"/>
          <w:right w:w="108" w:type="dxa"/>
        </w:tblCellMar>
      </w:tblPr>
      <w:tblGrid>
        <w:gridCol w:w="438"/>
        <w:gridCol w:w="1086"/>
        <w:gridCol w:w="304"/>
        <w:gridCol w:w="15"/>
        <w:gridCol w:w="743"/>
        <w:gridCol w:w="675"/>
        <w:gridCol w:w="926"/>
        <w:gridCol w:w="423"/>
        <w:gridCol w:w="110"/>
        <w:gridCol w:w="434"/>
        <w:gridCol w:w="438"/>
        <w:gridCol w:w="843"/>
        <w:gridCol w:w="986"/>
        <w:gridCol w:w="76"/>
        <w:gridCol w:w="935"/>
        <w:gridCol w:w="1132"/>
      </w:tblGrid>
      <w:tr>
        <w:tblPrEx>
          <w:tblCellMar>
            <w:top w:w="0" w:type="dxa"/>
            <w:left w:w="108" w:type="dxa"/>
            <w:bottom w:w="0" w:type="dxa"/>
            <w:right w:w="108" w:type="dxa"/>
          </w:tblCellMar>
        </w:tblPrEx>
        <w:trPr>
          <w:trHeight w:val="575" w:hRule="atLeast"/>
        </w:trPr>
        <w:tc>
          <w:tcPr>
            <w:tcW w:w="438"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主管</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部门</w:t>
            </w:r>
          </w:p>
        </w:tc>
        <w:tc>
          <w:tcPr>
            <w:tcW w:w="1390" w:type="dxa"/>
            <w:gridSpan w:val="2"/>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区交通局</w:t>
            </w:r>
          </w:p>
        </w:tc>
        <w:tc>
          <w:tcPr>
            <w:tcW w:w="1433" w:type="dxa"/>
            <w:gridSpan w:val="3"/>
            <w:vMerge w:val="restart"/>
            <w:tcBorders>
              <w:top w:val="single" w:color="auto" w:sz="4" w:space="0"/>
              <w:left w:val="nil"/>
              <w:bottom w:val="single" w:color="000000"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财政处室</w:t>
            </w:r>
          </w:p>
        </w:tc>
        <w:tc>
          <w:tcPr>
            <w:tcW w:w="926" w:type="dxa"/>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经建科</w:t>
            </w:r>
          </w:p>
        </w:tc>
        <w:tc>
          <w:tcPr>
            <w:tcW w:w="96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自评总分（分）</w:t>
            </w:r>
          </w:p>
        </w:tc>
        <w:tc>
          <w:tcPr>
            <w:tcW w:w="4410"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97.15</w:t>
            </w:r>
          </w:p>
        </w:tc>
      </w:tr>
      <w:tr>
        <w:tblPrEx>
          <w:tblCellMar>
            <w:top w:w="0" w:type="dxa"/>
            <w:left w:w="108" w:type="dxa"/>
            <w:bottom w:w="0" w:type="dxa"/>
            <w:right w:w="108" w:type="dxa"/>
          </w:tblCellMar>
        </w:tblPrEx>
        <w:trPr>
          <w:trHeight w:val="575" w:hRule="atLeast"/>
        </w:trPr>
        <w:tc>
          <w:tcPr>
            <w:tcW w:w="438"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cs="Times New Roman"/>
                <w:color w:val="000000"/>
                <w:sz w:val="20"/>
                <w:szCs w:val="20"/>
              </w:rPr>
            </w:pPr>
          </w:p>
        </w:tc>
        <w:tc>
          <w:tcPr>
            <w:tcW w:w="1390" w:type="dxa"/>
            <w:gridSpan w:val="2"/>
            <w:vMerge w:val="continue"/>
            <w:tcBorders>
              <w:top w:val="single" w:color="auto" w:sz="4" w:space="0"/>
              <w:left w:val="nil"/>
              <w:bottom w:val="single" w:color="000000" w:sz="4" w:space="0"/>
              <w:right w:val="single" w:color="000000" w:sz="4" w:space="0"/>
            </w:tcBorders>
            <w:vAlign w:val="center"/>
          </w:tcPr>
          <w:p>
            <w:pPr>
              <w:jc w:val="center"/>
              <w:rPr>
                <w:rFonts w:ascii="宋体" w:hAnsi="宋体" w:eastAsia="宋体" w:cs="Times New Roman"/>
                <w:color w:val="000000"/>
                <w:sz w:val="20"/>
                <w:szCs w:val="20"/>
              </w:rPr>
            </w:pPr>
          </w:p>
        </w:tc>
        <w:tc>
          <w:tcPr>
            <w:tcW w:w="1433" w:type="dxa"/>
            <w:gridSpan w:val="3"/>
            <w:vMerge w:val="continue"/>
            <w:tcBorders>
              <w:top w:val="single" w:color="auto" w:sz="4" w:space="0"/>
              <w:left w:val="nil"/>
              <w:bottom w:val="single" w:color="000000" w:sz="4" w:space="0"/>
              <w:right w:val="single" w:color="auto" w:sz="4" w:space="0"/>
            </w:tcBorders>
            <w:vAlign w:val="center"/>
          </w:tcPr>
          <w:p>
            <w:pPr>
              <w:jc w:val="center"/>
              <w:rPr>
                <w:rFonts w:ascii="宋体" w:hAnsi="宋体" w:eastAsia="宋体" w:cs="Times New Roman"/>
                <w:color w:val="000000"/>
                <w:sz w:val="20"/>
                <w:szCs w:val="20"/>
              </w:rPr>
            </w:pPr>
          </w:p>
        </w:tc>
        <w:tc>
          <w:tcPr>
            <w:tcW w:w="926" w:type="dxa"/>
            <w:vMerge w:val="continue"/>
            <w:tcBorders>
              <w:top w:val="single" w:color="auto" w:sz="4" w:space="0"/>
              <w:left w:val="nil"/>
              <w:bottom w:val="single" w:color="000000" w:sz="4" w:space="0"/>
              <w:right w:val="single" w:color="000000" w:sz="4" w:space="0"/>
            </w:tcBorders>
            <w:vAlign w:val="center"/>
          </w:tcPr>
          <w:p>
            <w:pPr>
              <w:jc w:val="center"/>
              <w:rPr>
                <w:rFonts w:ascii="宋体" w:hAnsi="宋体" w:eastAsia="宋体" w:cs="Times New Roman"/>
                <w:color w:val="000000"/>
                <w:sz w:val="20"/>
                <w:szCs w:val="20"/>
              </w:rPr>
            </w:pPr>
          </w:p>
        </w:tc>
        <w:tc>
          <w:tcPr>
            <w:tcW w:w="967" w:type="dxa"/>
            <w:gridSpan w:val="3"/>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部门</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联系人</w:t>
            </w:r>
          </w:p>
        </w:tc>
        <w:tc>
          <w:tcPr>
            <w:tcW w:w="1281" w:type="dxa"/>
            <w:gridSpan w:val="2"/>
            <w:tcBorders>
              <w:top w:val="nil"/>
              <w:left w:val="nil"/>
              <w:bottom w:val="single" w:color="auto" w:sz="4" w:space="0"/>
              <w:right w:val="single" w:color="auto" w:sz="4" w:space="0"/>
            </w:tcBorders>
            <w:vAlign w:val="center"/>
          </w:tcPr>
          <w:p>
            <w:pPr>
              <w:spacing w:line="300" w:lineRule="exact"/>
              <w:ind w:firstLine="200" w:firstLineChars="100"/>
              <w:jc w:val="center"/>
              <w:rPr>
                <w:rFonts w:ascii="宋体" w:hAnsi="宋体" w:eastAsia="宋体" w:cs="Times New Roman"/>
                <w:color w:val="000000"/>
                <w:sz w:val="20"/>
                <w:szCs w:val="20"/>
              </w:rPr>
            </w:pPr>
            <w:r>
              <w:rPr>
                <w:rFonts w:hint="eastAsia" w:cs="Times New Roman"/>
                <w:color w:val="000000"/>
                <w:sz w:val="20"/>
                <w:szCs w:val="20"/>
              </w:rPr>
              <w:t>陈攀宇</w:t>
            </w:r>
          </w:p>
        </w:tc>
        <w:tc>
          <w:tcPr>
            <w:tcW w:w="986"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联系电话</w:t>
            </w:r>
          </w:p>
        </w:tc>
        <w:tc>
          <w:tcPr>
            <w:tcW w:w="2143"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86017005</w:t>
            </w:r>
          </w:p>
        </w:tc>
      </w:tr>
      <w:tr>
        <w:tblPrEx>
          <w:tblCellMar>
            <w:top w:w="0" w:type="dxa"/>
            <w:left w:w="108" w:type="dxa"/>
            <w:bottom w:w="0" w:type="dxa"/>
            <w:right w:w="108" w:type="dxa"/>
          </w:tblCellMar>
        </w:tblPrEx>
        <w:trPr>
          <w:trHeight w:val="575" w:hRule="atLeast"/>
        </w:trPr>
        <w:tc>
          <w:tcPr>
            <w:tcW w:w="438"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部门预算执行情况</w:t>
            </w:r>
          </w:p>
        </w:tc>
        <w:tc>
          <w:tcPr>
            <w:tcW w:w="1086" w:type="dxa"/>
            <w:vMerge w:val="restart"/>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预算</w:t>
            </w:r>
          </w:p>
          <w:p>
            <w:pPr>
              <w:spacing w:line="300" w:lineRule="exact"/>
              <w:jc w:val="center"/>
              <w:rPr>
                <w:rFonts w:cs="Times New Roman"/>
                <w:color w:val="000000"/>
                <w:sz w:val="20"/>
                <w:szCs w:val="20"/>
              </w:rPr>
            </w:pPr>
            <w:r>
              <w:rPr>
                <w:rFonts w:hint="eastAsia" w:cs="Times New Roman"/>
                <w:color w:val="000000"/>
                <w:sz w:val="20"/>
                <w:szCs w:val="20"/>
              </w:rPr>
              <w:t>资金</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（万元）</w:t>
            </w:r>
          </w:p>
        </w:tc>
        <w:tc>
          <w:tcPr>
            <w:tcW w:w="1737"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年初</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预算数</w:t>
            </w:r>
          </w:p>
        </w:tc>
        <w:tc>
          <w:tcPr>
            <w:tcW w:w="145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全年（调整）</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预算数</w:t>
            </w:r>
          </w:p>
        </w:tc>
        <w:tc>
          <w:tcPr>
            <w:tcW w:w="1715"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全年执行数</w:t>
            </w:r>
          </w:p>
        </w:tc>
        <w:tc>
          <w:tcPr>
            <w:tcW w:w="986"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执行率</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w:t>
            </w:r>
          </w:p>
        </w:tc>
        <w:tc>
          <w:tcPr>
            <w:tcW w:w="1011" w:type="dxa"/>
            <w:gridSpan w:val="2"/>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执行率</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权重</w:t>
            </w:r>
          </w:p>
        </w:tc>
        <w:tc>
          <w:tcPr>
            <w:tcW w:w="1132"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执行率</w:t>
            </w:r>
          </w:p>
          <w:p>
            <w:pPr>
              <w:spacing w:line="300" w:lineRule="exact"/>
              <w:jc w:val="center"/>
              <w:rPr>
                <w:rFonts w:cs="Times New Roman"/>
                <w:color w:val="000000"/>
                <w:sz w:val="20"/>
                <w:szCs w:val="20"/>
              </w:rPr>
            </w:pPr>
            <w:r>
              <w:rPr>
                <w:rFonts w:hint="eastAsia" w:cs="Times New Roman"/>
                <w:color w:val="000000"/>
                <w:sz w:val="20"/>
                <w:szCs w:val="20"/>
              </w:rPr>
              <w:t>得分</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（分）</w:t>
            </w:r>
          </w:p>
        </w:tc>
      </w:tr>
      <w:tr>
        <w:tblPrEx>
          <w:tblCellMar>
            <w:top w:w="0" w:type="dxa"/>
            <w:left w:w="108" w:type="dxa"/>
            <w:bottom w:w="0" w:type="dxa"/>
            <w:right w:w="108" w:type="dxa"/>
          </w:tblCellMar>
        </w:tblPrEx>
        <w:trPr>
          <w:trHeight w:val="575" w:hRule="atLeast"/>
        </w:trPr>
        <w:tc>
          <w:tcPr>
            <w:tcW w:w="43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p>
        </w:tc>
        <w:tc>
          <w:tcPr>
            <w:tcW w:w="1086" w:type="dxa"/>
            <w:vMerge w:val="continue"/>
            <w:vAlign w:val="center"/>
          </w:tcPr>
          <w:p>
            <w:pPr>
              <w:jc w:val="center"/>
              <w:rPr>
                <w:rFonts w:ascii="宋体" w:hAnsi="宋体" w:eastAsia="宋体" w:cs="Times New Roman"/>
                <w:color w:val="000000"/>
                <w:sz w:val="20"/>
                <w:szCs w:val="20"/>
              </w:rPr>
            </w:pPr>
          </w:p>
        </w:tc>
        <w:tc>
          <w:tcPr>
            <w:tcW w:w="173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Times New Roman"/>
                <w:color w:val="000000"/>
                <w:sz w:val="20"/>
                <w:szCs w:val="20"/>
              </w:rPr>
            </w:pPr>
            <w:r>
              <w:rPr>
                <w:rFonts w:hint="eastAsia"/>
                <w:color w:val="000000"/>
                <w:sz w:val="18"/>
                <w:szCs w:val="18"/>
              </w:rPr>
              <w:t>17658.72</w:t>
            </w:r>
          </w:p>
        </w:tc>
        <w:tc>
          <w:tcPr>
            <w:tcW w:w="145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ascii="宋体" w:hAnsi="宋体" w:eastAsia="宋体" w:cs="Times New Roman"/>
                <w:color w:val="000000"/>
                <w:sz w:val="20"/>
                <w:szCs w:val="20"/>
              </w:rPr>
              <w:t>16840.67</w:t>
            </w:r>
          </w:p>
        </w:tc>
        <w:tc>
          <w:tcPr>
            <w:tcW w:w="1715"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15966.52</w:t>
            </w:r>
          </w:p>
        </w:tc>
        <w:tc>
          <w:tcPr>
            <w:tcW w:w="986"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94.8</w:t>
            </w:r>
          </w:p>
        </w:tc>
        <w:tc>
          <w:tcPr>
            <w:tcW w:w="1011" w:type="dxa"/>
            <w:gridSpan w:val="2"/>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10</w:t>
            </w:r>
          </w:p>
        </w:tc>
        <w:tc>
          <w:tcPr>
            <w:tcW w:w="1132"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9.48</w:t>
            </w:r>
          </w:p>
        </w:tc>
      </w:tr>
      <w:tr>
        <w:tblPrEx>
          <w:tblCellMar>
            <w:top w:w="0" w:type="dxa"/>
            <w:left w:w="108" w:type="dxa"/>
            <w:bottom w:w="0" w:type="dxa"/>
            <w:right w:w="108" w:type="dxa"/>
          </w:tblCellMar>
        </w:tblPrEx>
        <w:trPr>
          <w:trHeight w:val="575" w:hRule="atLeast"/>
        </w:trPr>
        <w:tc>
          <w:tcPr>
            <w:tcW w:w="438"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当年绩效目标</w:t>
            </w:r>
          </w:p>
        </w:tc>
        <w:tc>
          <w:tcPr>
            <w:tcW w:w="2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年初绩效目标</w:t>
            </w:r>
          </w:p>
        </w:tc>
        <w:tc>
          <w:tcPr>
            <w:tcW w:w="3174"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全年（调整）绩效目标</w:t>
            </w:r>
          </w:p>
        </w:tc>
        <w:tc>
          <w:tcPr>
            <w:tcW w:w="3129"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全年目标实际完成情况</w:t>
            </w:r>
          </w:p>
        </w:tc>
      </w:tr>
      <w:tr>
        <w:tblPrEx>
          <w:tblCellMar>
            <w:top w:w="0" w:type="dxa"/>
            <w:left w:w="108" w:type="dxa"/>
            <w:bottom w:w="0" w:type="dxa"/>
            <w:right w:w="108" w:type="dxa"/>
          </w:tblCellMar>
        </w:tblPrEx>
        <w:trPr>
          <w:trHeight w:val="712" w:hRule="atLeast"/>
        </w:trPr>
        <w:tc>
          <w:tcPr>
            <w:tcW w:w="43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p>
        </w:tc>
        <w:tc>
          <w:tcPr>
            <w:tcW w:w="2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确保单位各项工作顺利进行，同时保证工程质量和安全；加强公路建设和养护，强化安全监督执法；满足群众交通出行要求。</w:t>
            </w:r>
          </w:p>
        </w:tc>
        <w:tc>
          <w:tcPr>
            <w:tcW w:w="3174"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年初全区农村公路建设和养护资金纳入单位年初预算，在执行过程中，由财政调指标到各相关预算单位和业主单位。</w:t>
            </w:r>
          </w:p>
          <w:p>
            <w:pPr>
              <w:spacing w:line="300" w:lineRule="exact"/>
              <w:jc w:val="center"/>
              <w:rPr>
                <w:rFonts w:ascii="宋体" w:hAnsi="宋体" w:eastAsia="宋体" w:cs="Times New Roman"/>
                <w:color w:val="000000"/>
                <w:sz w:val="20"/>
                <w:szCs w:val="20"/>
              </w:rPr>
            </w:pPr>
          </w:p>
        </w:tc>
        <w:tc>
          <w:tcPr>
            <w:tcW w:w="3129"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各项工作较好地完成了相应的目标，提升了公路建设的质量和群众的满意度。</w:t>
            </w:r>
          </w:p>
        </w:tc>
      </w:tr>
      <w:tr>
        <w:tblPrEx>
          <w:tblCellMar>
            <w:top w:w="0" w:type="dxa"/>
            <w:left w:w="108" w:type="dxa"/>
            <w:bottom w:w="0" w:type="dxa"/>
            <w:right w:w="108" w:type="dxa"/>
          </w:tblCellMar>
        </w:tblPrEx>
        <w:trPr>
          <w:trHeight w:val="1318" w:hRule="atLeast"/>
        </w:trPr>
        <w:tc>
          <w:tcPr>
            <w:tcW w:w="438" w:type="dxa"/>
            <w:vMerge w:val="restart"/>
            <w:tcBorders>
              <w:top w:val="nil"/>
              <w:left w:val="single" w:color="auto" w:sz="4" w:space="0"/>
              <w:bottom w:val="nil"/>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绩效指标</w:t>
            </w:r>
          </w:p>
        </w:tc>
        <w:tc>
          <w:tcPr>
            <w:tcW w:w="1405" w:type="dxa"/>
            <w:gridSpan w:val="3"/>
            <w:tcBorders>
              <w:top w:val="nil"/>
              <w:left w:val="nil"/>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指标名称</w:t>
            </w:r>
          </w:p>
        </w:tc>
        <w:tc>
          <w:tcPr>
            <w:tcW w:w="743"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计量单位</w:t>
            </w:r>
          </w:p>
        </w:tc>
        <w:tc>
          <w:tcPr>
            <w:tcW w:w="675"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指标</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性质</w:t>
            </w:r>
          </w:p>
        </w:tc>
        <w:tc>
          <w:tcPr>
            <w:tcW w:w="926"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年初</w:t>
            </w:r>
          </w:p>
          <w:p>
            <w:pPr>
              <w:spacing w:line="300" w:lineRule="exact"/>
              <w:jc w:val="center"/>
              <w:rPr>
                <w:rFonts w:cs="Times New Roman"/>
                <w:color w:val="000000"/>
                <w:sz w:val="20"/>
                <w:szCs w:val="20"/>
              </w:rPr>
            </w:pPr>
            <w:r>
              <w:rPr>
                <w:rFonts w:hint="eastAsia" w:cs="Times New Roman"/>
                <w:color w:val="000000"/>
                <w:sz w:val="20"/>
                <w:szCs w:val="20"/>
              </w:rPr>
              <w:t>指标</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值</w:t>
            </w:r>
          </w:p>
        </w:tc>
        <w:tc>
          <w:tcPr>
            <w:tcW w:w="423"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调整</w:t>
            </w:r>
          </w:p>
          <w:p>
            <w:pPr>
              <w:spacing w:line="300" w:lineRule="exact"/>
              <w:jc w:val="center"/>
              <w:rPr>
                <w:rFonts w:cs="Times New Roman"/>
                <w:color w:val="000000"/>
                <w:sz w:val="20"/>
                <w:szCs w:val="20"/>
              </w:rPr>
            </w:pPr>
            <w:r>
              <w:rPr>
                <w:rFonts w:hint="eastAsia" w:cs="Times New Roman"/>
                <w:color w:val="000000"/>
                <w:sz w:val="20"/>
                <w:szCs w:val="20"/>
              </w:rPr>
              <w:t>指标</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值</w:t>
            </w:r>
          </w:p>
        </w:tc>
        <w:tc>
          <w:tcPr>
            <w:tcW w:w="982" w:type="dxa"/>
            <w:gridSpan w:val="3"/>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全年</w:t>
            </w:r>
          </w:p>
          <w:p>
            <w:pPr>
              <w:spacing w:line="300" w:lineRule="exact"/>
              <w:jc w:val="center"/>
              <w:rPr>
                <w:rFonts w:cs="Times New Roman"/>
                <w:color w:val="000000"/>
                <w:sz w:val="20"/>
                <w:szCs w:val="20"/>
              </w:rPr>
            </w:pPr>
            <w:r>
              <w:rPr>
                <w:rFonts w:hint="eastAsia" w:cs="Times New Roman"/>
                <w:color w:val="000000"/>
                <w:sz w:val="20"/>
                <w:szCs w:val="20"/>
              </w:rPr>
              <w:t>完成</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值</w:t>
            </w:r>
          </w:p>
        </w:tc>
        <w:tc>
          <w:tcPr>
            <w:tcW w:w="843"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得分</w:t>
            </w:r>
          </w:p>
          <w:p>
            <w:pPr>
              <w:spacing w:line="300" w:lineRule="exact"/>
              <w:jc w:val="center"/>
              <w:rPr>
                <w:rFonts w:cs="Times New Roman"/>
                <w:color w:val="000000"/>
                <w:sz w:val="20"/>
                <w:szCs w:val="20"/>
              </w:rPr>
            </w:pPr>
            <w:r>
              <w:rPr>
                <w:rFonts w:hint="eastAsia" w:cs="Times New Roman"/>
                <w:color w:val="000000"/>
                <w:sz w:val="20"/>
                <w:szCs w:val="20"/>
              </w:rPr>
              <w:t>系数</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w:t>
            </w:r>
          </w:p>
        </w:tc>
        <w:tc>
          <w:tcPr>
            <w:tcW w:w="1062" w:type="dxa"/>
            <w:gridSpan w:val="2"/>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指标权重</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（分）</w:t>
            </w:r>
          </w:p>
        </w:tc>
        <w:tc>
          <w:tcPr>
            <w:tcW w:w="935"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指标</w:t>
            </w:r>
          </w:p>
          <w:p>
            <w:pPr>
              <w:spacing w:line="300" w:lineRule="exact"/>
              <w:jc w:val="center"/>
              <w:rPr>
                <w:rFonts w:cs="Times New Roman"/>
                <w:color w:val="000000"/>
                <w:sz w:val="20"/>
                <w:szCs w:val="20"/>
              </w:rPr>
            </w:pPr>
            <w:r>
              <w:rPr>
                <w:rFonts w:hint="eastAsia" w:cs="Times New Roman"/>
                <w:color w:val="000000"/>
                <w:sz w:val="20"/>
                <w:szCs w:val="20"/>
              </w:rPr>
              <w:t>得分</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（分）</w:t>
            </w:r>
          </w:p>
        </w:tc>
        <w:tc>
          <w:tcPr>
            <w:tcW w:w="1132"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是否核心</w:t>
            </w:r>
          </w:p>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指标</w:t>
            </w:r>
          </w:p>
        </w:tc>
      </w:tr>
      <w:tr>
        <w:tblPrEx>
          <w:tblCellMar>
            <w:top w:w="0" w:type="dxa"/>
            <w:left w:w="108" w:type="dxa"/>
            <w:bottom w:w="0" w:type="dxa"/>
            <w:right w:w="108" w:type="dxa"/>
          </w:tblCellMar>
        </w:tblPrEx>
        <w:trPr>
          <w:trHeight w:val="500" w:hRule="atLeast"/>
        </w:trPr>
        <w:tc>
          <w:tcPr>
            <w:tcW w:w="438" w:type="dxa"/>
            <w:vMerge w:val="continue"/>
            <w:tcBorders>
              <w:top w:val="nil"/>
              <w:left w:val="single" w:color="auto" w:sz="4" w:space="0"/>
              <w:bottom w:val="nil"/>
              <w:right w:val="single" w:color="auto" w:sz="4" w:space="0"/>
            </w:tcBorders>
            <w:vAlign w:val="center"/>
          </w:tcPr>
          <w:p>
            <w:pPr>
              <w:jc w:val="center"/>
              <w:rPr>
                <w:rFonts w:ascii="宋体" w:hAnsi="宋体" w:eastAsia="宋体" w:cs="Times New Roman"/>
                <w:color w:val="000000"/>
                <w:sz w:val="20"/>
                <w:szCs w:val="20"/>
              </w:rPr>
            </w:pPr>
          </w:p>
        </w:tc>
        <w:tc>
          <w:tcPr>
            <w:tcW w:w="1405" w:type="dxa"/>
            <w:gridSpan w:val="3"/>
            <w:tcBorders>
              <w:top w:val="nil"/>
              <w:left w:val="nil"/>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专项资金投入、管理、组织实施规范化</w:t>
            </w:r>
          </w:p>
        </w:tc>
        <w:tc>
          <w:tcPr>
            <w:tcW w:w="7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67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26"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专项资金投入、管理、组织实施规范化</w:t>
            </w:r>
          </w:p>
        </w:tc>
        <w:tc>
          <w:tcPr>
            <w:tcW w:w="42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82" w:type="dxa"/>
            <w:gridSpan w:val="3"/>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专项资金投入、管理、组织实施规范化</w:t>
            </w:r>
          </w:p>
        </w:tc>
        <w:tc>
          <w:tcPr>
            <w:tcW w:w="8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100%</w:t>
            </w:r>
          </w:p>
        </w:tc>
        <w:tc>
          <w:tcPr>
            <w:tcW w:w="1062" w:type="dxa"/>
            <w:gridSpan w:val="2"/>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20</w:t>
            </w:r>
          </w:p>
        </w:tc>
        <w:tc>
          <w:tcPr>
            <w:tcW w:w="93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20</w:t>
            </w:r>
          </w:p>
        </w:tc>
        <w:tc>
          <w:tcPr>
            <w:tcW w:w="1132"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是</w:t>
            </w:r>
          </w:p>
        </w:tc>
      </w:tr>
      <w:tr>
        <w:tblPrEx>
          <w:tblCellMar>
            <w:top w:w="0" w:type="dxa"/>
            <w:left w:w="108" w:type="dxa"/>
            <w:bottom w:w="0" w:type="dxa"/>
            <w:right w:w="108" w:type="dxa"/>
          </w:tblCellMar>
        </w:tblPrEx>
        <w:trPr>
          <w:trHeight w:val="500" w:hRule="atLeast"/>
        </w:trPr>
        <w:tc>
          <w:tcPr>
            <w:tcW w:w="438" w:type="dxa"/>
            <w:vMerge w:val="continue"/>
            <w:tcBorders>
              <w:top w:val="nil"/>
              <w:left w:val="single" w:color="auto" w:sz="4" w:space="0"/>
              <w:bottom w:val="nil"/>
              <w:right w:val="single" w:color="auto" w:sz="4" w:space="0"/>
            </w:tcBorders>
            <w:vAlign w:val="center"/>
          </w:tcPr>
          <w:p>
            <w:pPr>
              <w:jc w:val="center"/>
              <w:rPr>
                <w:rFonts w:ascii="宋体" w:hAnsi="宋体" w:eastAsia="宋体" w:cs="Times New Roman"/>
                <w:color w:val="000000"/>
                <w:sz w:val="20"/>
                <w:szCs w:val="20"/>
              </w:rPr>
            </w:pPr>
          </w:p>
        </w:tc>
        <w:tc>
          <w:tcPr>
            <w:tcW w:w="1405" w:type="dxa"/>
            <w:gridSpan w:val="3"/>
            <w:tcBorders>
              <w:top w:val="nil"/>
              <w:left w:val="nil"/>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安全培训合格率</w:t>
            </w:r>
          </w:p>
        </w:tc>
        <w:tc>
          <w:tcPr>
            <w:tcW w:w="7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w:t>
            </w:r>
          </w:p>
        </w:tc>
        <w:tc>
          <w:tcPr>
            <w:tcW w:w="67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26"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95以上</w:t>
            </w:r>
          </w:p>
        </w:tc>
        <w:tc>
          <w:tcPr>
            <w:tcW w:w="42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82" w:type="dxa"/>
            <w:gridSpan w:val="3"/>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95以上</w:t>
            </w:r>
          </w:p>
        </w:tc>
        <w:tc>
          <w:tcPr>
            <w:tcW w:w="8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100%</w:t>
            </w:r>
          </w:p>
        </w:tc>
        <w:tc>
          <w:tcPr>
            <w:tcW w:w="1062" w:type="dxa"/>
            <w:gridSpan w:val="2"/>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25</w:t>
            </w:r>
          </w:p>
        </w:tc>
        <w:tc>
          <w:tcPr>
            <w:tcW w:w="93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25</w:t>
            </w:r>
          </w:p>
        </w:tc>
        <w:tc>
          <w:tcPr>
            <w:tcW w:w="1132"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是</w:t>
            </w:r>
          </w:p>
        </w:tc>
      </w:tr>
      <w:tr>
        <w:tblPrEx>
          <w:tblCellMar>
            <w:top w:w="0" w:type="dxa"/>
            <w:left w:w="108" w:type="dxa"/>
            <w:bottom w:w="0" w:type="dxa"/>
            <w:right w:w="108" w:type="dxa"/>
          </w:tblCellMar>
        </w:tblPrEx>
        <w:trPr>
          <w:trHeight w:val="500" w:hRule="atLeast"/>
        </w:trPr>
        <w:tc>
          <w:tcPr>
            <w:tcW w:w="438" w:type="dxa"/>
            <w:vMerge w:val="continue"/>
            <w:tcBorders>
              <w:top w:val="nil"/>
              <w:left w:val="single" w:color="auto" w:sz="4" w:space="0"/>
              <w:bottom w:val="nil"/>
              <w:right w:val="single" w:color="auto" w:sz="4" w:space="0"/>
            </w:tcBorders>
            <w:vAlign w:val="center"/>
          </w:tcPr>
          <w:p>
            <w:pPr>
              <w:jc w:val="center"/>
              <w:rPr>
                <w:rFonts w:ascii="宋体" w:hAnsi="宋体" w:eastAsia="宋体" w:cs="Times New Roman"/>
                <w:color w:val="000000"/>
                <w:sz w:val="20"/>
                <w:szCs w:val="20"/>
              </w:rPr>
            </w:pPr>
          </w:p>
        </w:tc>
        <w:tc>
          <w:tcPr>
            <w:tcW w:w="1405" w:type="dxa"/>
            <w:gridSpan w:val="3"/>
            <w:tcBorders>
              <w:top w:val="nil"/>
              <w:left w:val="nil"/>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产出目标</w:t>
            </w:r>
          </w:p>
        </w:tc>
        <w:tc>
          <w:tcPr>
            <w:tcW w:w="7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67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26"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达标</w:t>
            </w:r>
          </w:p>
        </w:tc>
        <w:tc>
          <w:tcPr>
            <w:tcW w:w="42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82" w:type="dxa"/>
            <w:gridSpan w:val="3"/>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100</w:t>
            </w:r>
          </w:p>
        </w:tc>
        <w:tc>
          <w:tcPr>
            <w:tcW w:w="8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100%</w:t>
            </w:r>
          </w:p>
        </w:tc>
        <w:tc>
          <w:tcPr>
            <w:tcW w:w="1062" w:type="dxa"/>
            <w:gridSpan w:val="2"/>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25</w:t>
            </w:r>
          </w:p>
        </w:tc>
        <w:tc>
          <w:tcPr>
            <w:tcW w:w="93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25</w:t>
            </w:r>
          </w:p>
        </w:tc>
        <w:tc>
          <w:tcPr>
            <w:tcW w:w="1132"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是</w:t>
            </w:r>
          </w:p>
        </w:tc>
      </w:tr>
      <w:tr>
        <w:tblPrEx>
          <w:tblCellMar>
            <w:top w:w="0" w:type="dxa"/>
            <w:left w:w="108" w:type="dxa"/>
            <w:bottom w:w="0" w:type="dxa"/>
            <w:right w:w="108" w:type="dxa"/>
          </w:tblCellMar>
        </w:tblPrEx>
        <w:trPr>
          <w:trHeight w:val="731" w:hRule="atLeast"/>
        </w:trPr>
        <w:tc>
          <w:tcPr>
            <w:tcW w:w="438" w:type="dxa"/>
            <w:vMerge w:val="continue"/>
            <w:tcBorders>
              <w:top w:val="nil"/>
              <w:left w:val="single" w:color="auto" w:sz="4" w:space="0"/>
              <w:bottom w:val="nil"/>
              <w:right w:val="single" w:color="auto" w:sz="4" w:space="0"/>
            </w:tcBorders>
            <w:vAlign w:val="center"/>
          </w:tcPr>
          <w:p>
            <w:pPr>
              <w:jc w:val="center"/>
              <w:rPr>
                <w:rFonts w:ascii="宋体" w:hAnsi="宋体" w:eastAsia="宋体" w:cs="Times New Roman"/>
                <w:color w:val="000000"/>
                <w:sz w:val="20"/>
                <w:szCs w:val="20"/>
              </w:rPr>
            </w:pPr>
          </w:p>
        </w:tc>
        <w:tc>
          <w:tcPr>
            <w:tcW w:w="1405" w:type="dxa"/>
            <w:gridSpan w:val="3"/>
            <w:tcBorders>
              <w:top w:val="nil"/>
              <w:left w:val="nil"/>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群众满意度</w:t>
            </w:r>
          </w:p>
        </w:tc>
        <w:tc>
          <w:tcPr>
            <w:tcW w:w="7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w:t>
            </w:r>
          </w:p>
        </w:tc>
        <w:tc>
          <w:tcPr>
            <w:tcW w:w="67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26"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95%</w:t>
            </w:r>
          </w:p>
        </w:tc>
        <w:tc>
          <w:tcPr>
            <w:tcW w:w="42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p>
        </w:tc>
        <w:tc>
          <w:tcPr>
            <w:tcW w:w="982" w:type="dxa"/>
            <w:gridSpan w:val="3"/>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93%</w:t>
            </w:r>
          </w:p>
        </w:tc>
        <w:tc>
          <w:tcPr>
            <w:tcW w:w="843"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88.35%</w:t>
            </w:r>
          </w:p>
        </w:tc>
        <w:tc>
          <w:tcPr>
            <w:tcW w:w="1062" w:type="dxa"/>
            <w:gridSpan w:val="2"/>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20</w:t>
            </w:r>
          </w:p>
        </w:tc>
        <w:tc>
          <w:tcPr>
            <w:tcW w:w="935" w:type="dxa"/>
            <w:tcBorders>
              <w:top w:val="nil"/>
              <w:left w:val="single" w:color="auto" w:sz="4" w:space="0"/>
              <w:bottom w:val="single" w:color="auto" w:sz="4" w:space="0"/>
              <w:right w:val="nil"/>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17.67</w:t>
            </w:r>
          </w:p>
        </w:tc>
        <w:tc>
          <w:tcPr>
            <w:tcW w:w="1132"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是</w:t>
            </w:r>
          </w:p>
        </w:tc>
      </w:tr>
      <w:tr>
        <w:tblPrEx>
          <w:tblCellMar>
            <w:top w:w="0" w:type="dxa"/>
            <w:left w:w="108" w:type="dxa"/>
            <w:bottom w:w="0" w:type="dxa"/>
            <w:right w:w="108" w:type="dxa"/>
          </w:tblCellMar>
        </w:tblPrEx>
        <w:trPr>
          <w:trHeight w:val="1239" w:hRule="atLeast"/>
        </w:trPr>
        <w:tc>
          <w:tcPr>
            <w:tcW w:w="438" w:type="dxa"/>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color w:val="000000"/>
                <w:sz w:val="20"/>
                <w:szCs w:val="20"/>
              </w:rPr>
            </w:pPr>
            <w:r>
              <w:rPr>
                <w:rFonts w:hint="eastAsia" w:cs="Times New Roman"/>
                <w:color w:val="000000"/>
                <w:sz w:val="20"/>
                <w:szCs w:val="20"/>
              </w:rPr>
              <w:t>说明</w:t>
            </w:r>
          </w:p>
        </w:tc>
        <w:tc>
          <w:tcPr>
            <w:tcW w:w="9126" w:type="dxa"/>
            <w:gridSpan w:val="15"/>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eastAsia="宋体" w:cs="Times New Roman"/>
                <w:color w:val="000000"/>
                <w:sz w:val="20"/>
                <w:szCs w:val="20"/>
              </w:rPr>
            </w:pPr>
          </w:p>
        </w:tc>
      </w:tr>
    </w:tbl>
    <w:p>
      <w:pPr>
        <w:jc w:val="left"/>
      </w:pPr>
    </w:p>
    <w:p>
      <w:pPr>
        <w:jc w:val="left"/>
      </w:pPr>
    </w:p>
    <w:p>
      <w:pPr>
        <w:jc w:val="left"/>
      </w:pPr>
      <w:r>
        <w:rPr>
          <w:rFonts w:hint="eastAsia"/>
        </w:rPr>
        <w:t>附件2</w:t>
      </w:r>
    </w:p>
    <w:p>
      <w:pPr>
        <w:jc w:val="left"/>
      </w:pPr>
    </w:p>
    <w:tbl>
      <w:tblPr>
        <w:tblStyle w:val="6"/>
        <w:tblW w:w="9700" w:type="dxa"/>
        <w:tblInd w:w="93" w:type="dxa"/>
        <w:tblLayout w:type="autofit"/>
        <w:tblCellMar>
          <w:top w:w="0" w:type="dxa"/>
          <w:left w:w="108" w:type="dxa"/>
          <w:bottom w:w="0" w:type="dxa"/>
          <w:right w:w="108" w:type="dxa"/>
        </w:tblCellMar>
      </w:tblPr>
      <w:tblGrid>
        <w:gridCol w:w="1040"/>
        <w:gridCol w:w="1114"/>
        <w:gridCol w:w="1080"/>
        <w:gridCol w:w="660"/>
        <w:gridCol w:w="1680"/>
        <w:gridCol w:w="1080"/>
        <w:gridCol w:w="666"/>
        <w:gridCol w:w="1080"/>
        <w:gridCol w:w="1300"/>
      </w:tblGrid>
      <w:tr>
        <w:tblPrEx>
          <w:tblCellMar>
            <w:top w:w="0" w:type="dxa"/>
            <w:left w:w="108" w:type="dxa"/>
            <w:bottom w:w="0" w:type="dxa"/>
            <w:right w:w="108" w:type="dxa"/>
          </w:tblCellMar>
        </w:tblPrEx>
        <w:trPr>
          <w:trHeight w:val="499" w:hRule="atLeast"/>
        </w:trPr>
        <w:tc>
          <w:tcPr>
            <w:tcW w:w="9700" w:type="dxa"/>
            <w:gridSpan w:val="9"/>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 xml:space="preserve">项目绩效自评表 </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专项名称</w:t>
            </w:r>
          </w:p>
        </w:tc>
        <w:tc>
          <w:tcPr>
            <w:tcW w:w="458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2016年至2019年公路综合保险</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自评总分（分)</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业务主管部门</w:t>
            </w:r>
          </w:p>
        </w:tc>
        <w:tc>
          <w:tcPr>
            <w:tcW w:w="458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重庆市渝北区交通局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联系人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及电话</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pPr>
              <w:spacing w:line="300" w:lineRule="exact"/>
              <w:jc w:val="center"/>
              <w:rPr>
                <w:rFonts w:ascii="宋体" w:hAnsi="宋体" w:eastAsia="宋体" w:cs="宋体"/>
                <w:color w:val="000000"/>
                <w:kern w:val="0"/>
                <w:sz w:val="18"/>
                <w:szCs w:val="18"/>
              </w:rPr>
            </w:pPr>
            <w:r>
              <w:rPr>
                <w:rFonts w:hint="eastAsia" w:cs="Times New Roman"/>
                <w:color w:val="000000"/>
                <w:sz w:val="20"/>
                <w:szCs w:val="20"/>
              </w:rPr>
              <w:t>86017135</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1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年度总金额</w:t>
            </w:r>
          </w:p>
        </w:tc>
        <w:tc>
          <w:tcPr>
            <w:tcW w:w="17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6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（压减、调整后预算数）</w:t>
            </w:r>
          </w:p>
        </w:tc>
        <w:tc>
          <w:tcPr>
            <w:tcW w:w="1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执行率得分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（分)</w:t>
            </w:r>
          </w:p>
        </w:tc>
      </w:tr>
      <w:tr>
        <w:tblPrEx>
          <w:tblCellMar>
            <w:top w:w="0" w:type="dxa"/>
            <w:left w:w="108" w:type="dxa"/>
            <w:bottom w:w="0" w:type="dxa"/>
            <w:right w:w="108" w:type="dxa"/>
          </w:tblCellMar>
        </w:tblPrEx>
        <w:trPr>
          <w:trHeight w:val="43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40"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1046</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686</w:t>
            </w:r>
          </w:p>
        </w:tc>
        <w:tc>
          <w:tcPr>
            <w:tcW w:w="1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54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458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年初设定目标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（如作出调整且备案，填写调整后的目标）</w:t>
            </w:r>
          </w:p>
        </w:tc>
        <w:tc>
          <w:tcPr>
            <w:tcW w:w="4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全年目标实际完成情况</w:t>
            </w:r>
          </w:p>
        </w:tc>
      </w:tr>
      <w:tr>
        <w:tblPrEx>
          <w:tblCellMar>
            <w:top w:w="0" w:type="dxa"/>
            <w:left w:w="108" w:type="dxa"/>
            <w:bottom w:w="0" w:type="dxa"/>
            <w:right w:w="108" w:type="dxa"/>
          </w:tblCellMar>
        </w:tblPrEx>
        <w:trPr>
          <w:trHeight w:val="12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580"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对全区所有道路纳入水毁保险范畴</w:t>
            </w:r>
          </w:p>
        </w:tc>
        <w:tc>
          <w:tcPr>
            <w:tcW w:w="4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对全区所有道路水毁情况及时报保险公司,保险公司能及时赔付,道路能及时修复,保障道路畅通。2016年至2019年综合保险理赔金额529.16万元。</w:t>
            </w:r>
          </w:p>
        </w:tc>
      </w:tr>
      <w:tr>
        <w:tblPrEx>
          <w:tblCellMar>
            <w:top w:w="0" w:type="dxa"/>
            <w:left w:w="108" w:type="dxa"/>
            <w:bottom w:w="0" w:type="dxa"/>
            <w:right w:w="108" w:type="dxa"/>
          </w:tblCellMar>
        </w:tblPrEx>
        <w:trPr>
          <w:trHeight w:val="450" w:hRule="atLeast"/>
        </w:trPr>
        <w:tc>
          <w:tcPr>
            <w:tcW w:w="10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指标名称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调整后指标值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（未调不填）</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得分系数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权重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指标得分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核心指标判断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（填是或否）</w:t>
            </w:r>
          </w:p>
        </w:tc>
      </w:tr>
      <w:tr>
        <w:tblPrEx>
          <w:tblCellMar>
            <w:top w:w="0" w:type="dxa"/>
            <w:left w:w="108" w:type="dxa"/>
            <w:bottom w:w="0" w:type="dxa"/>
            <w:right w:w="108" w:type="dxa"/>
          </w:tblCellMar>
        </w:tblPrEx>
        <w:trPr>
          <w:trHeight w:val="2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参保公路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公里</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2800</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水毁保险</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达标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产出质量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686</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水毁资金及时到位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达标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及时修复水毁道路，方便群众出行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达标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路域环境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达标</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项目持续发挥作用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1年</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百分比</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4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未完成绩效目标或偏离较多的原因、改进措施及其他说明</w:t>
            </w:r>
          </w:p>
        </w:tc>
        <w:tc>
          <w:tcPr>
            <w:tcW w:w="862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360" w:lineRule="auto"/>
        <w:jc w:val="center"/>
      </w:pPr>
    </w:p>
    <w:p>
      <w:pPr>
        <w:spacing w:line="360" w:lineRule="auto"/>
        <w:jc w:val="left"/>
      </w:pPr>
      <w:r>
        <w:rPr>
          <w:rFonts w:hint="eastAsia"/>
        </w:rPr>
        <w:t>附件  3</w:t>
      </w:r>
    </w:p>
    <w:p>
      <w:pPr>
        <w:spacing w:line="360" w:lineRule="auto"/>
        <w:jc w:val="center"/>
        <w:rPr>
          <w:rFonts w:eastAsia="仿宋_GB2312"/>
          <w:b/>
          <w:snapToGrid w:val="0"/>
          <w:kern w:val="0"/>
          <w:sz w:val="36"/>
          <w:szCs w:val="36"/>
        </w:rPr>
      </w:pPr>
    </w:p>
    <w:p>
      <w:pPr>
        <w:spacing w:line="360" w:lineRule="auto"/>
        <w:jc w:val="center"/>
      </w:pPr>
      <w:r>
        <w:rPr>
          <w:rFonts w:eastAsia="仿宋_GB2312"/>
          <w:b/>
          <w:snapToGrid w:val="0"/>
          <w:kern w:val="0"/>
          <w:sz w:val="36"/>
          <w:szCs w:val="36"/>
        </w:rPr>
        <w:t>渝北区2016至2019年公路综合保险服务项目</w:t>
      </w:r>
    </w:p>
    <w:p>
      <w:pPr>
        <w:spacing w:line="360" w:lineRule="auto"/>
        <w:jc w:val="center"/>
        <w:rPr>
          <w:rFonts w:eastAsia="仿宋_GB2312"/>
          <w:b/>
          <w:snapToGrid w:val="0"/>
          <w:kern w:val="0"/>
          <w:sz w:val="36"/>
          <w:szCs w:val="36"/>
        </w:rPr>
      </w:pPr>
      <w:r>
        <w:rPr>
          <w:rFonts w:eastAsia="仿宋_GB2312"/>
          <w:b/>
          <w:snapToGrid w:val="0"/>
          <w:kern w:val="0"/>
          <w:sz w:val="36"/>
          <w:szCs w:val="36"/>
        </w:rPr>
        <w:t>绩效评价报告</w:t>
      </w:r>
    </w:p>
    <w:p>
      <w:pPr>
        <w:spacing w:line="360" w:lineRule="auto"/>
        <w:jc w:val="center"/>
        <w:rPr>
          <w:rFonts w:eastAsia="仿宋_GB2312"/>
          <w:b/>
          <w:snapToGrid w:val="0"/>
          <w:kern w:val="0"/>
          <w:sz w:val="36"/>
          <w:szCs w:val="36"/>
        </w:rPr>
      </w:pPr>
      <w:r>
        <w:rPr>
          <w:rFonts w:eastAsia="仿宋_GB2312"/>
          <w:sz w:val="24"/>
        </w:rPr>
        <w:t>渝同辉咨字（2020）</w:t>
      </w:r>
      <w:r>
        <w:rPr>
          <w:rFonts w:hint="eastAsia" w:eastAsia="仿宋_GB2312"/>
          <w:sz w:val="24"/>
        </w:rPr>
        <w:t>101</w:t>
      </w:r>
      <w:r>
        <w:rPr>
          <w:rFonts w:eastAsia="仿宋_GB2312"/>
          <w:sz w:val="24"/>
        </w:rPr>
        <w:t>号</w:t>
      </w:r>
    </w:p>
    <w:p>
      <w:pPr>
        <w:spacing w:line="360" w:lineRule="auto"/>
        <w:jc w:val="center"/>
        <w:rPr>
          <w:rFonts w:eastAsia="仿宋_GB2312"/>
          <w:b/>
          <w:bCs/>
          <w:sz w:val="32"/>
          <w:szCs w:val="32"/>
        </w:rPr>
      </w:pPr>
    </w:p>
    <w:p>
      <w:pPr>
        <w:spacing w:line="360" w:lineRule="auto"/>
        <w:jc w:val="center"/>
        <w:rPr>
          <w:rFonts w:eastAsia="仿宋_GB2312"/>
          <w:b/>
          <w:bCs/>
          <w:sz w:val="32"/>
          <w:szCs w:val="32"/>
        </w:rPr>
      </w:pPr>
      <w:r>
        <w:rPr>
          <w:rFonts w:eastAsia="仿宋_GB2312"/>
          <w:b/>
          <w:bCs/>
          <w:sz w:val="32"/>
          <w:szCs w:val="32"/>
        </w:rPr>
        <w:t>第一部分：评价报告概述</w:t>
      </w:r>
    </w:p>
    <w:p>
      <w:pPr>
        <w:spacing w:line="360" w:lineRule="auto"/>
        <w:jc w:val="center"/>
        <w:rPr>
          <w:rFonts w:eastAsia="仿宋_GB2312"/>
          <w:b/>
          <w:bCs/>
          <w:sz w:val="32"/>
          <w:szCs w:val="32"/>
        </w:rPr>
      </w:pPr>
    </w:p>
    <w:p>
      <w:pPr>
        <w:spacing w:line="360" w:lineRule="auto"/>
        <w:ind w:firstLine="482" w:firstLineChars="200"/>
        <w:jc w:val="left"/>
        <w:rPr>
          <w:rFonts w:eastAsia="仿宋_GB2312"/>
          <w:b/>
          <w:bCs/>
          <w:sz w:val="24"/>
        </w:rPr>
      </w:pPr>
      <w:r>
        <w:rPr>
          <w:rFonts w:eastAsia="仿宋_GB2312"/>
          <w:b/>
          <w:bCs/>
          <w:sz w:val="24"/>
        </w:rPr>
        <w:t>一、基本情况</w:t>
      </w:r>
    </w:p>
    <w:p>
      <w:pPr>
        <w:spacing w:line="360" w:lineRule="auto"/>
        <w:ind w:firstLine="480" w:firstLineChars="200"/>
        <w:jc w:val="left"/>
        <w:rPr>
          <w:rFonts w:eastAsia="仿宋_GB2312"/>
          <w:sz w:val="24"/>
        </w:rPr>
      </w:pPr>
      <w:r>
        <w:rPr>
          <w:rFonts w:eastAsia="仿宋_GB2312"/>
          <w:sz w:val="24"/>
        </w:rPr>
        <w:t>为提高各级公路抗御风险能力，有效构筑公路风险保障体系，自2016年开始，由渝北区交委牵头，渝北区政府法制办、渝北区财政局配合，公路管理处为主要实施单位，开展渝北区公路综合保险试点工作。2016年至2019渝北区公路综合保险项目计划总投资1,129.00 万元，资金来源为区财政资金。2016年至2019年期间，公路管理处通过公开招投标方式，确定安诚财产保险股份有限公司重庆分公司等4家保险机构为项目实施单位，中标金额共计686.00万元。截止到2020年6月，获得理赔款共计529.16万元。</w:t>
      </w:r>
    </w:p>
    <w:p>
      <w:pPr>
        <w:spacing w:line="360" w:lineRule="auto"/>
        <w:ind w:firstLine="480" w:firstLineChars="200"/>
        <w:jc w:val="left"/>
        <w:rPr>
          <w:rFonts w:eastAsia="仿宋_GB2312"/>
          <w:sz w:val="24"/>
        </w:rPr>
      </w:pPr>
    </w:p>
    <w:p>
      <w:pPr>
        <w:spacing w:line="360" w:lineRule="auto"/>
        <w:ind w:firstLine="482" w:firstLineChars="200"/>
        <w:jc w:val="left"/>
        <w:rPr>
          <w:rFonts w:eastAsia="仿宋_GB2312"/>
          <w:b/>
          <w:kern w:val="0"/>
          <w:sz w:val="24"/>
        </w:rPr>
      </w:pPr>
      <w:r>
        <w:rPr>
          <w:rFonts w:eastAsia="仿宋_GB2312"/>
          <w:b/>
          <w:kern w:val="0"/>
          <w:sz w:val="24"/>
        </w:rPr>
        <w:t>二、</w:t>
      </w:r>
      <w:r>
        <w:rPr>
          <w:rFonts w:eastAsia="仿宋_GB2312"/>
          <w:b/>
          <w:sz w:val="24"/>
        </w:rPr>
        <w:t>绩效评价结果</w:t>
      </w:r>
    </w:p>
    <w:p>
      <w:pPr>
        <w:spacing w:line="360" w:lineRule="auto"/>
        <w:ind w:firstLine="480" w:firstLineChars="200"/>
        <w:rPr>
          <w:rFonts w:eastAsia="仿宋_GB2312"/>
          <w:sz w:val="24"/>
        </w:rPr>
      </w:pPr>
      <w:r>
        <w:rPr>
          <w:rFonts w:eastAsia="仿宋_GB2312"/>
          <w:sz w:val="24"/>
        </w:rPr>
        <w:t>通过评价，2016年至2019年渝北区公路综合保险项目综合得分</w:t>
      </w:r>
      <w:r>
        <w:rPr>
          <w:rFonts w:hint="eastAsia" w:eastAsia="仿宋_GB2312"/>
          <w:sz w:val="24"/>
        </w:rPr>
        <w:t>80.24</w:t>
      </w:r>
      <w:r>
        <w:rPr>
          <w:rFonts w:eastAsia="仿宋_GB2312"/>
          <w:sz w:val="24"/>
        </w:rPr>
        <w:t>分，绩效等级为</w:t>
      </w:r>
      <w:r>
        <w:rPr>
          <w:rFonts w:hint="eastAsia" w:eastAsia="仿宋_GB2312"/>
          <w:sz w:val="24"/>
        </w:rPr>
        <w:t>良</w:t>
      </w:r>
      <w:r>
        <w:rPr>
          <w:rFonts w:eastAsia="仿宋_GB2312"/>
          <w:sz w:val="24"/>
        </w:rPr>
        <w:t>。</w:t>
      </w:r>
    </w:p>
    <w:p>
      <w:pPr>
        <w:spacing w:line="360" w:lineRule="auto"/>
        <w:ind w:firstLine="480" w:firstLineChars="200"/>
        <w:jc w:val="left"/>
        <w:rPr>
          <w:rFonts w:eastAsia="仿宋_GB2312"/>
          <w:sz w:val="24"/>
        </w:rPr>
      </w:pPr>
      <w:r>
        <w:rPr>
          <w:rFonts w:eastAsia="仿宋_GB2312"/>
          <w:bCs/>
          <w:sz w:val="24"/>
        </w:rPr>
        <w:t>公路管理处</w:t>
      </w:r>
      <w:r>
        <w:rPr>
          <w:rFonts w:eastAsia="仿宋_GB2312"/>
          <w:sz w:val="24"/>
        </w:rPr>
        <w:t>坚持“正常年份保日常、灾害年份有保障”的总体思想，</w:t>
      </w:r>
      <w:r>
        <w:rPr>
          <w:rFonts w:eastAsia="仿宋_GB2312"/>
          <w:bCs/>
          <w:sz w:val="24"/>
        </w:rPr>
        <w:t>切实做好渝北区公路水毁理赔工作，积极开展公路综合保险业务培训，</w:t>
      </w:r>
      <w:r>
        <w:rPr>
          <w:rFonts w:eastAsia="仿宋_GB2312"/>
          <w:sz w:val="24"/>
        </w:rPr>
        <w:t>制定并建立一套较为完善的运行机制，保障公路综合保险项目顺利实施，有效构筑公路风险保障体系。但由于该期间属于</w:t>
      </w:r>
      <w:r>
        <w:rPr>
          <w:rFonts w:eastAsia="仿宋_GB2312"/>
          <w:bCs/>
          <w:sz w:val="24"/>
        </w:rPr>
        <w:t>一般年份（无大灾年份），公路受灾程度较小，且免赔金额较高，理赔范围较小，项目实施尚未达到</w:t>
      </w:r>
      <w:r>
        <w:rPr>
          <w:rFonts w:eastAsia="仿宋_GB2312"/>
          <w:sz w:val="24"/>
        </w:rPr>
        <w:t>缓解公路修复和养护管理资金压力、有利于财政资金预算管理、提高财政资金使用效益的效果。</w:t>
      </w:r>
    </w:p>
    <w:p>
      <w:pPr>
        <w:spacing w:line="360" w:lineRule="auto"/>
        <w:ind w:firstLine="480" w:firstLineChars="200"/>
        <w:jc w:val="left"/>
        <w:rPr>
          <w:rFonts w:eastAsia="仿宋_GB2312"/>
          <w:sz w:val="24"/>
        </w:rPr>
      </w:pPr>
    </w:p>
    <w:p>
      <w:pPr>
        <w:spacing w:line="360" w:lineRule="auto"/>
        <w:ind w:firstLine="555"/>
        <w:jc w:val="left"/>
        <w:rPr>
          <w:rFonts w:eastAsia="仿宋_GB2312"/>
          <w:b/>
          <w:sz w:val="24"/>
        </w:rPr>
      </w:pPr>
      <w:r>
        <w:rPr>
          <w:rFonts w:eastAsia="仿宋_GB2312"/>
          <w:b/>
          <w:sz w:val="24"/>
        </w:rPr>
        <w:t>三、主要经验与做法</w:t>
      </w:r>
    </w:p>
    <w:p>
      <w:pPr>
        <w:spacing w:line="360" w:lineRule="auto"/>
        <w:ind w:firstLine="555"/>
        <w:jc w:val="left"/>
        <w:rPr>
          <w:rFonts w:eastAsia="仿宋_GB2312"/>
          <w:b/>
          <w:bCs/>
          <w:sz w:val="24"/>
        </w:rPr>
      </w:pPr>
      <w:r>
        <w:rPr>
          <w:rFonts w:eastAsia="仿宋_GB2312"/>
          <w:b/>
          <w:bCs/>
          <w:sz w:val="24"/>
        </w:rPr>
        <w:t>（一）建立全新运行体系</w:t>
      </w:r>
    </w:p>
    <w:p>
      <w:pPr>
        <w:spacing w:line="360" w:lineRule="auto"/>
        <w:ind w:firstLine="480" w:firstLineChars="200"/>
        <w:jc w:val="left"/>
        <w:rPr>
          <w:rFonts w:eastAsia="仿宋_GB2312"/>
          <w:sz w:val="24"/>
        </w:rPr>
      </w:pPr>
      <w:r>
        <w:rPr>
          <w:rFonts w:eastAsia="仿宋_GB2312"/>
          <w:sz w:val="24"/>
        </w:rPr>
        <w:t>为确保公路保险顺利运行，提升服务水平，减少镇街工作量，公路管理处对接区财政局、镇街和保险公司，制定并建立了一套运行机制。</w:t>
      </w:r>
    </w:p>
    <w:p>
      <w:pPr>
        <w:numPr>
          <w:ilvl w:val="0"/>
          <w:numId w:val="1"/>
        </w:numPr>
        <w:spacing w:line="360" w:lineRule="auto"/>
        <w:ind w:firstLine="482" w:firstLineChars="200"/>
        <w:jc w:val="left"/>
        <w:rPr>
          <w:rFonts w:eastAsia="仿宋_GB2312"/>
          <w:b/>
          <w:bCs/>
          <w:sz w:val="24"/>
        </w:rPr>
      </w:pPr>
      <w:r>
        <w:rPr>
          <w:rFonts w:eastAsia="仿宋_GB2312"/>
          <w:b/>
          <w:bCs/>
          <w:sz w:val="24"/>
        </w:rPr>
        <w:t>开展培训</w:t>
      </w:r>
    </w:p>
    <w:p>
      <w:pPr>
        <w:spacing w:line="360" w:lineRule="auto"/>
        <w:ind w:firstLine="480" w:firstLineChars="200"/>
        <w:jc w:val="left"/>
        <w:rPr>
          <w:rFonts w:eastAsia="仿宋_GB2312"/>
          <w:sz w:val="24"/>
        </w:rPr>
      </w:pPr>
      <w:r>
        <w:rPr>
          <w:rFonts w:eastAsia="仿宋_GB2312"/>
          <w:sz w:val="24"/>
        </w:rPr>
        <w:t>为让镇街更加了解公路综合保险的申报和理赔流程，公路管理处组织各镇街，召开了一次公路综合保险专题培训会，为各镇街答疑解惑。</w:t>
      </w:r>
    </w:p>
    <w:p>
      <w:pPr>
        <w:numPr>
          <w:ilvl w:val="0"/>
          <w:numId w:val="1"/>
        </w:numPr>
        <w:spacing w:line="360" w:lineRule="auto"/>
        <w:ind w:firstLine="482" w:firstLineChars="200"/>
        <w:jc w:val="left"/>
        <w:rPr>
          <w:rFonts w:eastAsia="仿宋_GB2312"/>
          <w:b/>
          <w:bCs/>
          <w:sz w:val="24"/>
        </w:rPr>
      </w:pPr>
      <w:r>
        <w:rPr>
          <w:rFonts w:eastAsia="仿宋_GB2312"/>
          <w:b/>
          <w:bCs/>
          <w:sz w:val="24"/>
        </w:rPr>
        <w:t>强化指导和督促</w:t>
      </w:r>
    </w:p>
    <w:p>
      <w:pPr>
        <w:spacing w:line="360" w:lineRule="auto"/>
        <w:ind w:firstLine="480" w:firstLineChars="200"/>
        <w:jc w:val="left"/>
        <w:rPr>
          <w:rFonts w:eastAsia="仿宋_GB2312"/>
          <w:sz w:val="24"/>
        </w:rPr>
      </w:pPr>
      <w:r>
        <w:rPr>
          <w:rFonts w:eastAsia="仿宋_GB2312"/>
          <w:sz w:val="24"/>
        </w:rPr>
        <w:t>公路管理处明确专人负责公路综合保险工作，协助配合镇街踏勘现场和索赔，督促保险公司及时赔付到位。</w:t>
      </w:r>
    </w:p>
    <w:p>
      <w:pPr>
        <w:spacing w:line="360" w:lineRule="auto"/>
        <w:ind w:firstLine="555"/>
        <w:jc w:val="left"/>
        <w:rPr>
          <w:rFonts w:eastAsia="仿宋_GB2312"/>
          <w:sz w:val="24"/>
          <w:highlight w:val="yellow"/>
        </w:rPr>
      </w:pPr>
    </w:p>
    <w:p>
      <w:pPr>
        <w:spacing w:line="360" w:lineRule="auto"/>
        <w:ind w:firstLine="555"/>
        <w:jc w:val="left"/>
        <w:rPr>
          <w:rFonts w:eastAsia="仿宋_GB2312"/>
          <w:b/>
          <w:sz w:val="24"/>
        </w:rPr>
      </w:pPr>
      <w:r>
        <w:rPr>
          <w:rFonts w:eastAsia="仿宋_GB2312"/>
          <w:b/>
          <w:sz w:val="24"/>
        </w:rPr>
        <w:t>四、存在的问题</w:t>
      </w:r>
    </w:p>
    <w:p>
      <w:pPr>
        <w:spacing w:line="360" w:lineRule="auto"/>
        <w:ind w:firstLine="555"/>
        <w:jc w:val="left"/>
        <w:rPr>
          <w:rFonts w:eastAsia="仿宋_GB2312"/>
          <w:b/>
          <w:sz w:val="24"/>
        </w:rPr>
      </w:pPr>
      <w:r>
        <w:rPr>
          <w:rFonts w:eastAsia="仿宋_GB2312"/>
          <w:b/>
          <w:sz w:val="24"/>
        </w:rPr>
        <w:t>（一）资金监管不完善</w:t>
      </w:r>
    </w:p>
    <w:p>
      <w:pPr>
        <w:spacing w:line="360" w:lineRule="auto"/>
        <w:ind w:firstLine="555"/>
        <w:jc w:val="left"/>
        <w:rPr>
          <w:rFonts w:eastAsia="仿宋_GB2312"/>
          <w:sz w:val="24"/>
        </w:rPr>
      </w:pPr>
      <w:r>
        <w:rPr>
          <w:rFonts w:eastAsia="仿宋_GB2312"/>
          <w:sz w:val="24"/>
        </w:rPr>
        <w:t>公路管理处财政资金监管不完善，内控制度执行不到位，理赔资金对账不及时，导致理赔资金重复打款给理赔乡镇，涉及金额25.12万元。</w:t>
      </w:r>
    </w:p>
    <w:p>
      <w:pPr>
        <w:spacing w:line="360" w:lineRule="auto"/>
        <w:ind w:firstLine="555"/>
        <w:jc w:val="left"/>
        <w:rPr>
          <w:rFonts w:eastAsia="仿宋_GB2312"/>
          <w:b/>
          <w:sz w:val="24"/>
        </w:rPr>
      </w:pPr>
      <w:r>
        <w:rPr>
          <w:rFonts w:eastAsia="仿宋_GB2312"/>
          <w:b/>
          <w:sz w:val="24"/>
        </w:rPr>
        <w:t>（二）理赔范围较小</w:t>
      </w:r>
    </w:p>
    <w:p>
      <w:pPr>
        <w:spacing w:line="360" w:lineRule="auto"/>
        <w:ind w:firstLine="555"/>
        <w:jc w:val="left"/>
        <w:rPr>
          <w:rFonts w:eastAsia="仿宋_GB2312"/>
          <w:bCs/>
          <w:sz w:val="24"/>
        </w:rPr>
      </w:pPr>
      <w:r>
        <w:rPr>
          <w:rFonts w:eastAsia="仿宋_GB2312"/>
          <w:bCs/>
          <w:sz w:val="24"/>
        </w:rPr>
        <w:t>1.一般年份（无大灾年份）时，因达不到理赔条件而免赔，导致理赔金额不理想，赔付率较低。</w:t>
      </w:r>
    </w:p>
    <w:p>
      <w:pPr>
        <w:spacing w:line="360" w:lineRule="auto"/>
        <w:ind w:firstLine="555"/>
        <w:jc w:val="left"/>
        <w:rPr>
          <w:rFonts w:eastAsia="仿宋_GB2312"/>
          <w:bCs/>
          <w:sz w:val="24"/>
        </w:rPr>
      </w:pPr>
      <w:r>
        <w:rPr>
          <w:rFonts w:eastAsia="仿宋_GB2312"/>
          <w:bCs/>
          <w:sz w:val="24"/>
        </w:rPr>
        <w:t>2.公路综合保险是对已有公路财产的保险，但公路水毁发生后，常需新建挡土墙等结构物进行修复，该费用不在任何险种理赔范围内。</w:t>
      </w:r>
    </w:p>
    <w:p>
      <w:pPr>
        <w:spacing w:line="360" w:lineRule="auto"/>
        <w:ind w:firstLine="555"/>
        <w:jc w:val="left"/>
        <w:rPr>
          <w:rFonts w:eastAsia="仿宋_GB2312"/>
          <w:b/>
          <w:sz w:val="24"/>
        </w:rPr>
      </w:pPr>
      <w:r>
        <w:rPr>
          <w:rFonts w:eastAsia="仿宋_GB2312"/>
          <w:b/>
          <w:sz w:val="24"/>
        </w:rPr>
        <w:t>（三）未设立绩效目标</w:t>
      </w:r>
    </w:p>
    <w:p>
      <w:pPr>
        <w:spacing w:line="360" w:lineRule="auto"/>
        <w:ind w:firstLine="480" w:firstLineChars="200"/>
        <w:jc w:val="left"/>
        <w:rPr>
          <w:rFonts w:eastAsia="仿宋_GB2312"/>
          <w:bCs/>
          <w:sz w:val="24"/>
        </w:rPr>
      </w:pPr>
      <w:r>
        <w:rPr>
          <w:rFonts w:eastAsia="仿宋_GB2312"/>
          <w:bCs/>
          <w:sz w:val="24"/>
        </w:rPr>
        <w:t>公路管理处未设立相应的绩效目标，不利于预算绩效管理及后期绩效评价。</w:t>
      </w:r>
    </w:p>
    <w:p>
      <w:pPr>
        <w:spacing w:line="360" w:lineRule="auto"/>
        <w:ind w:firstLine="555"/>
        <w:jc w:val="left"/>
        <w:rPr>
          <w:rFonts w:eastAsia="仿宋_GB2312"/>
          <w:b/>
          <w:sz w:val="24"/>
        </w:rPr>
      </w:pPr>
      <w:r>
        <w:rPr>
          <w:rFonts w:eastAsia="仿宋_GB2312"/>
          <w:b/>
          <w:sz w:val="24"/>
        </w:rPr>
        <w:t>（四）预算编制不合理</w:t>
      </w:r>
    </w:p>
    <w:p>
      <w:pPr>
        <w:spacing w:line="360" w:lineRule="auto"/>
        <w:ind w:firstLine="480" w:firstLineChars="200"/>
        <w:jc w:val="left"/>
        <w:rPr>
          <w:rFonts w:eastAsia="仿宋_GB2312"/>
          <w:bCs/>
          <w:sz w:val="24"/>
        </w:rPr>
      </w:pPr>
      <w:r>
        <w:rPr>
          <w:rFonts w:eastAsia="仿宋_GB2312"/>
          <w:bCs/>
          <w:sz w:val="24"/>
        </w:rPr>
        <w:t>公路管理处预算编制不合理，渝北区公路综合保险项目2016年至2019年度实际执行资金较编制预算资金差异率均超30%以上，占用财政预算指标。</w:t>
      </w:r>
    </w:p>
    <w:p>
      <w:pPr>
        <w:spacing w:line="360" w:lineRule="auto"/>
        <w:ind w:firstLine="555"/>
        <w:jc w:val="left"/>
        <w:rPr>
          <w:rFonts w:eastAsia="仿宋_GB2312"/>
          <w:bCs/>
          <w:sz w:val="24"/>
        </w:rPr>
      </w:pPr>
    </w:p>
    <w:p>
      <w:pPr>
        <w:spacing w:line="360" w:lineRule="auto"/>
        <w:ind w:firstLine="555"/>
        <w:jc w:val="left"/>
        <w:rPr>
          <w:rFonts w:eastAsia="仿宋_GB2312"/>
          <w:b/>
          <w:sz w:val="24"/>
        </w:rPr>
      </w:pPr>
      <w:r>
        <w:rPr>
          <w:rFonts w:eastAsia="仿宋_GB2312"/>
          <w:b/>
          <w:sz w:val="24"/>
        </w:rPr>
        <w:t>五、相关建议</w:t>
      </w:r>
    </w:p>
    <w:p>
      <w:pPr>
        <w:widowControl/>
        <w:snapToGrid w:val="0"/>
        <w:spacing w:line="360" w:lineRule="auto"/>
        <w:ind w:firstLine="540"/>
        <w:jc w:val="left"/>
        <w:rPr>
          <w:rFonts w:eastAsia="仿宋_GB2312"/>
          <w:sz w:val="24"/>
        </w:rPr>
      </w:pPr>
      <w:r>
        <w:rPr>
          <w:rFonts w:eastAsia="仿宋_GB2312"/>
          <w:bCs/>
          <w:kern w:val="0"/>
          <w:sz w:val="24"/>
        </w:rPr>
        <w:t>（一）建议公路管理处进一步完善资金管理，对于获得的理赔款及时对账，</w:t>
      </w:r>
      <w:r>
        <w:rPr>
          <w:rFonts w:eastAsia="仿宋_GB2312"/>
          <w:sz w:val="24"/>
        </w:rPr>
        <w:t>规范资金管理，保障资金安全、高效运行。</w:t>
      </w:r>
    </w:p>
    <w:p>
      <w:pPr>
        <w:widowControl/>
        <w:snapToGrid w:val="0"/>
        <w:spacing w:line="360" w:lineRule="auto"/>
        <w:ind w:firstLine="540"/>
        <w:jc w:val="left"/>
        <w:rPr>
          <w:rFonts w:eastAsia="仿宋_GB2312"/>
          <w:kern w:val="0"/>
          <w:sz w:val="24"/>
        </w:rPr>
      </w:pPr>
      <w:r>
        <w:rPr>
          <w:rFonts w:eastAsia="仿宋_GB2312"/>
          <w:kern w:val="0"/>
          <w:sz w:val="24"/>
        </w:rPr>
        <w:t>（二）建议公路管理处进一步调查研究，优化理赔条款，合理调整理赔单价，明确规定理赔程序，确保服务质量。</w:t>
      </w:r>
    </w:p>
    <w:p>
      <w:pPr>
        <w:widowControl/>
        <w:snapToGrid w:val="0"/>
        <w:spacing w:line="360" w:lineRule="auto"/>
        <w:ind w:firstLine="540"/>
        <w:jc w:val="left"/>
        <w:rPr>
          <w:rFonts w:eastAsia="仿宋_GB2312"/>
          <w:kern w:val="0"/>
          <w:sz w:val="24"/>
        </w:rPr>
      </w:pPr>
      <w:r>
        <w:rPr>
          <w:rFonts w:eastAsia="仿宋_GB2312"/>
          <w:kern w:val="0"/>
          <w:sz w:val="24"/>
        </w:rPr>
        <w:t>（三）建议公路管理处设立项目绩效目标，注重产出分析，明确经济效益、社会效益和生态效益，保障项目建设的科学性，促进预算绩效管理，提高财政资金使用效益。</w:t>
      </w:r>
    </w:p>
    <w:p>
      <w:pPr>
        <w:widowControl/>
        <w:snapToGrid w:val="0"/>
        <w:spacing w:line="360" w:lineRule="auto"/>
        <w:ind w:firstLine="540"/>
        <w:jc w:val="left"/>
        <w:rPr>
          <w:rFonts w:eastAsia="仿宋_GB2312"/>
          <w:bCs/>
          <w:sz w:val="24"/>
        </w:rPr>
      </w:pPr>
      <w:r>
        <w:rPr>
          <w:rFonts w:eastAsia="仿宋_GB2312"/>
          <w:kern w:val="0"/>
          <w:sz w:val="24"/>
        </w:rPr>
        <w:t>（四）建议公路管理处合理编制预算，保障预算资金量与实际工作任务相匹配，充分发挥财政资金使用效益。</w:t>
      </w:r>
    </w:p>
    <w:p>
      <w:pPr>
        <w:widowControl/>
        <w:snapToGrid w:val="0"/>
        <w:spacing w:line="360" w:lineRule="auto"/>
        <w:ind w:firstLine="540"/>
        <w:jc w:val="left"/>
        <w:rPr>
          <w:rFonts w:eastAsia="仿宋_GB2312"/>
          <w:kern w:val="0"/>
          <w:sz w:val="24"/>
        </w:rPr>
      </w:pPr>
    </w:p>
    <w:p>
      <w:pPr>
        <w:spacing w:line="360" w:lineRule="auto"/>
        <w:ind w:firstLine="465"/>
        <w:jc w:val="left"/>
        <w:rPr>
          <w:rFonts w:eastAsia="仿宋_GB2312"/>
          <w:b/>
          <w:sz w:val="24"/>
        </w:rPr>
      </w:pPr>
      <w:r>
        <w:rPr>
          <w:rFonts w:eastAsia="仿宋_GB2312"/>
          <w:b/>
          <w:sz w:val="24"/>
        </w:rPr>
        <w:t>六、其他需说明的事项</w:t>
      </w:r>
    </w:p>
    <w:p>
      <w:pPr>
        <w:spacing w:line="360" w:lineRule="auto"/>
        <w:ind w:firstLine="480" w:firstLineChars="200"/>
        <w:jc w:val="left"/>
        <w:rPr>
          <w:rFonts w:eastAsia="仿宋_GB2312"/>
          <w:bCs/>
          <w:sz w:val="24"/>
        </w:rPr>
      </w:pPr>
      <w:r>
        <w:rPr>
          <w:rFonts w:eastAsia="仿宋_GB2312"/>
          <w:bCs/>
          <w:sz w:val="24"/>
        </w:rPr>
        <w:t>经查，2020年度公路综合保险下达预算资金160.00万元，该项目通过竞争性磋商的方式，确定中国太平洋财产保险股份有限公司重庆分公司为项目实施单位，采购金额为140.00万元。2020年6至2020年8月期间，申请理赔金额共计284.83万元，已获得理赔款共计111.87万元，赔付率达203.45%。</w:t>
      </w:r>
    </w:p>
    <w:p>
      <w:pPr>
        <w:spacing w:line="360" w:lineRule="auto"/>
        <w:ind w:firstLine="480" w:firstLineChars="200"/>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32"/>
          <w:szCs w:val="32"/>
          <w:highlight w:val="yellow"/>
        </w:rPr>
      </w:pPr>
    </w:p>
    <w:p>
      <w:pPr>
        <w:spacing w:line="360" w:lineRule="auto"/>
        <w:jc w:val="center"/>
        <w:outlineLvl w:val="1"/>
        <w:rPr>
          <w:rFonts w:eastAsia="仿宋_GB2312"/>
          <w:b/>
          <w:sz w:val="32"/>
          <w:szCs w:val="32"/>
        </w:rPr>
      </w:pPr>
    </w:p>
    <w:p>
      <w:pPr>
        <w:spacing w:line="360" w:lineRule="auto"/>
        <w:jc w:val="center"/>
        <w:outlineLvl w:val="1"/>
        <w:rPr>
          <w:rFonts w:eastAsia="仿宋_GB2312"/>
          <w:b/>
          <w:sz w:val="32"/>
          <w:szCs w:val="32"/>
        </w:rPr>
      </w:pPr>
      <w:r>
        <w:rPr>
          <w:rFonts w:eastAsia="仿宋_GB2312"/>
          <w:b/>
          <w:sz w:val="32"/>
          <w:szCs w:val="32"/>
        </w:rPr>
        <w:t>第二部分：评价报告正文</w:t>
      </w:r>
    </w:p>
    <w:p>
      <w:pPr>
        <w:spacing w:line="360" w:lineRule="auto"/>
        <w:jc w:val="left"/>
        <w:rPr>
          <w:rFonts w:eastAsia="仿宋_GB2312"/>
          <w:sz w:val="32"/>
          <w:szCs w:val="32"/>
          <w:highlight w:val="yellow"/>
        </w:rPr>
      </w:pPr>
    </w:p>
    <w:p>
      <w:pPr>
        <w:spacing w:line="360" w:lineRule="auto"/>
        <w:jc w:val="left"/>
        <w:outlineLvl w:val="1"/>
        <w:rPr>
          <w:rFonts w:eastAsia="仿宋_GB2312"/>
          <w:b/>
          <w:sz w:val="24"/>
        </w:rPr>
      </w:pPr>
      <w:r>
        <w:rPr>
          <w:rFonts w:eastAsia="仿宋_GB2312"/>
          <w:b/>
          <w:sz w:val="24"/>
        </w:rPr>
        <w:t>重庆市渝北区财政局：</w:t>
      </w:r>
    </w:p>
    <w:p>
      <w:pPr>
        <w:spacing w:line="360" w:lineRule="auto"/>
        <w:ind w:firstLine="480" w:firstLineChars="200"/>
        <w:rPr>
          <w:rFonts w:eastAsia="仿宋_GB2312"/>
          <w:sz w:val="24"/>
        </w:rPr>
      </w:pPr>
      <w:r>
        <w:rPr>
          <w:rFonts w:eastAsia="仿宋_GB2312"/>
          <w:sz w:val="24"/>
        </w:rPr>
        <w:t>我们接受贵局委托，对重庆市渝北区公路管理处（以下简称“公路管理处”）负责实施的2016至2019年公路综合保险服务项目开展重点绩效评价。被评价项目实施单位对所提供的有关资料的真实性、合法性、完整性负责。我们的责任是收集充分、适当的证据以对该项目的绩效情况发表意见。在评价过程中，我们结合工作的实际情况，实施了复核项目资料、现场检查、现场访谈、询问等我们认为必要的程序。现将评价情况汇报如下：</w:t>
      </w:r>
    </w:p>
    <w:p>
      <w:pPr>
        <w:numPr>
          <w:ilvl w:val="0"/>
          <w:numId w:val="2"/>
        </w:numPr>
        <w:spacing w:line="360" w:lineRule="auto"/>
        <w:ind w:firstLine="482" w:firstLineChars="200"/>
        <w:rPr>
          <w:rFonts w:eastAsia="仿宋_GB2312"/>
          <w:b/>
          <w:kern w:val="0"/>
          <w:sz w:val="24"/>
        </w:rPr>
      </w:pPr>
      <w:r>
        <w:rPr>
          <w:rFonts w:eastAsia="仿宋_GB2312"/>
          <w:b/>
          <w:kern w:val="0"/>
          <w:sz w:val="24"/>
        </w:rPr>
        <w:t>基本概况</w:t>
      </w:r>
    </w:p>
    <w:p>
      <w:pPr>
        <w:numPr>
          <w:ilvl w:val="0"/>
          <w:numId w:val="3"/>
        </w:numPr>
        <w:spacing w:line="360" w:lineRule="auto"/>
        <w:ind w:firstLine="482" w:firstLineChars="200"/>
        <w:rPr>
          <w:rFonts w:eastAsia="仿宋_GB2312"/>
          <w:b/>
          <w:kern w:val="0"/>
          <w:sz w:val="24"/>
        </w:rPr>
      </w:pPr>
      <w:r>
        <w:rPr>
          <w:rFonts w:eastAsia="仿宋_GB2312"/>
          <w:b/>
          <w:kern w:val="0"/>
          <w:sz w:val="24"/>
        </w:rPr>
        <w:t>项目概况</w:t>
      </w:r>
    </w:p>
    <w:p>
      <w:pPr>
        <w:spacing w:line="360" w:lineRule="auto"/>
        <w:ind w:firstLine="480" w:firstLineChars="200"/>
        <w:rPr>
          <w:rFonts w:eastAsia="仿宋_GB2312"/>
          <w:bCs/>
          <w:kern w:val="0"/>
          <w:sz w:val="24"/>
        </w:rPr>
      </w:pPr>
      <w:r>
        <w:rPr>
          <w:rFonts w:eastAsia="仿宋_GB2312"/>
          <w:bCs/>
          <w:kern w:val="0"/>
          <w:sz w:val="24"/>
        </w:rPr>
        <w:t>1.项目背景</w:t>
      </w:r>
    </w:p>
    <w:p>
      <w:pPr>
        <w:spacing w:line="360" w:lineRule="auto"/>
        <w:ind w:firstLine="480" w:firstLineChars="200"/>
        <w:rPr>
          <w:rFonts w:eastAsia="仿宋_GB2312"/>
          <w:sz w:val="24"/>
        </w:rPr>
      </w:pPr>
      <w:r>
        <w:rPr>
          <w:rFonts w:eastAsia="仿宋_GB2312"/>
          <w:sz w:val="24"/>
        </w:rPr>
        <w:t>渝北区公路总里程为3484km，其中国道202km，省道60km，县道101km，乡道287km，村道2834km；另有桥梁214座、隧道2座。渝北区地质条件相对复杂，近年来水毁灾害较多，公路修建难度大。据统计，近10年渝北区遭受特大暴雨灾害的频率基本为3年至5年发生一次，遭受的损失均在3,000.00万元以上。鉴于此，公路管理处自2016年开始，通过公开招标的方式为全区公路购综合保险。</w:t>
      </w:r>
    </w:p>
    <w:p>
      <w:pPr>
        <w:spacing w:line="360" w:lineRule="auto"/>
        <w:ind w:left="480"/>
        <w:rPr>
          <w:rFonts w:eastAsia="仿宋_GB2312"/>
          <w:sz w:val="24"/>
        </w:rPr>
      </w:pPr>
      <w:r>
        <w:rPr>
          <w:rFonts w:eastAsia="仿宋_GB2312"/>
          <w:sz w:val="24"/>
        </w:rPr>
        <w:t>2.主要内容</w:t>
      </w:r>
    </w:p>
    <w:p>
      <w:pPr>
        <w:spacing w:line="360" w:lineRule="auto"/>
        <w:ind w:firstLine="480" w:firstLineChars="200"/>
        <w:rPr>
          <w:rFonts w:eastAsia="仿宋_GB2312"/>
          <w:sz w:val="24"/>
        </w:rPr>
      </w:pPr>
      <w:r>
        <w:rPr>
          <w:rFonts w:eastAsia="仿宋_GB2312"/>
          <w:sz w:val="24"/>
        </w:rPr>
        <w:t>根据《重庆市渝北区人民政府第114次常务会议纪要》精神：</w:t>
      </w:r>
    </w:p>
    <w:p>
      <w:pPr>
        <w:numPr>
          <w:ilvl w:val="0"/>
          <w:numId w:val="4"/>
        </w:numPr>
        <w:spacing w:line="360" w:lineRule="auto"/>
        <w:ind w:firstLine="480" w:firstLineChars="200"/>
        <w:rPr>
          <w:rFonts w:eastAsia="仿宋_GB2312"/>
          <w:sz w:val="24"/>
        </w:rPr>
      </w:pPr>
      <w:r>
        <w:rPr>
          <w:rFonts w:eastAsia="仿宋_GB2312"/>
          <w:sz w:val="24"/>
        </w:rPr>
        <w:t>部门职责：由渝北区交委牵头，渝北区政府法制办、渝北区财政局配合，公路管理处为主要实施单位，按照会议审议意见与保险公司进一步洽谈保险条款明细、赔偿范围及单价等事宜，开展渝北区公路综合保险试点工作。</w:t>
      </w:r>
    </w:p>
    <w:p>
      <w:pPr>
        <w:numPr>
          <w:ilvl w:val="0"/>
          <w:numId w:val="4"/>
        </w:numPr>
        <w:spacing w:line="360" w:lineRule="auto"/>
        <w:ind w:firstLine="480" w:firstLineChars="200"/>
        <w:rPr>
          <w:rFonts w:eastAsia="仿宋_GB2312"/>
          <w:sz w:val="24"/>
        </w:rPr>
      </w:pPr>
      <w:r>
        <w:rPr>
          <w:rFonts w:eastAsia="仿宋_GB2312"/>
          <w:sz w:val="24"/>
        </w:rPr>
        <w:t>保险范围：渝北区境内全部公路的路基、路面、边沟、边坡挡墙(护坡)、涵洞、安保设施(含护栏、公路标志牌、防撞墩等)、桥梁、隧道，在保险期间内，因自然灾害或意外事故造成的直接性损坏或灭失及产生残骸的清理。</w:t>
      </w:r>
    </w:p>
    <w:p>
      <w:pPr>
        <w:numPr>
          <w:ilvl w:val="0"/>
          <w:numId w:val="4"/>
        </w:numPr>
        <w:spacing w:line="360" w:lineRule="auto"/>
        <w:ind w:firstLine="480" w:firstLineChars="200"/>
        <w:rPr>
          <w:rFonts w:eastAsia="仿宋_GB2312"/>
          <w:sz w:val="24"/>
        </w:rPr>
      </w:pPr>
      <w:r>
        <w:rPr>
          <w:rFonts w:eastAsia="仿宋_GB2312"/>
          <w:sz w:val="24"/>
        </w:rPr>
        <w:t>保险金额：由保险公司根据提供的公路里程自行估算，视为足额投保。</w:t>
      </w:r>
    </w:p>
    <w:p>
      <w:pPr>
        <w:numPr>
          <w:ilvl w:val="0"/>
          <w:numId w:val="4"/>
        </w:numPr>
        <w:spacing w:line="360" w:lineRule="auto"/>
        <w:ind w:firstLine="480" w:firstLineChars="200"/>
        <w:rPr>
          <w:rFonts w:eastAsia="仿宋_GB2312"/>
          <w:sz w:val="24"/>
        </w:rPr>
      </w:pPr>
      <w:r>
        <w:rPr>
          <w:rFonts w:eastAsia="仿宋_GB2312"/>
          <w:sz w:val="24"/>
        </w:rPr>
        <w:t>保险期间：每年6月至次年6月。</w:t>
      </w:r>
    </w:p>
    <w:p>
      <w:pPr>
        <w:numPr>
          <w:ilvl w:val="0"/>
          <w:numId w:val="4"/>
        </w:numPr>
        <w:spacing w:line="360" w:lineRule="auto"/>
        <w:ind w:firstLine="480" w:firstLineChars="200"/>
        <w:rPr>
          <w:rFonts w:eastAsia="仿宋_GB2312"/>
          <w:sz w:val="24"/>
        </w:rPr>
      </w:pPr>
      <w:r>
        <w:rPr>
          <w:rFonts w:eastAsia="仿宋_GB2312"/>
          <w:sz w:val="24"/>
        </w:rPr>
        <w:t>赔偿限额：每年累计最高赔付5500万元，其中沥青砼道路每次灾害最高赔付550万元、水泥砼和其它筒易铺装道路每次最高赔付880万元、泥结石路每次最高赔付20万元、桥隧每次最高赔付220万元。</w:t>
      </w:r>
    </w:p>
    <w:p>
      <w:pPr>
        <w:spacing w:line="360" w:lineRule="auto"/>
        <w:ind w:firstLine="480" w:firstLineChars="200"/>
        <w:rPr>
          <w:rFonts w:eastAsia="仿宋_GB2312"/>
          <w:sz w:val="24"/>
        </w:rPr>
      </w:pPr>
      <w:r>
        <w:rPr>
          <w:rFonts w:eastAsia="仿宋_GB2312"/>
          <w:sz w:val="24"/>
        </w:rPr>
        <w:t>3.项目实施情况</w:t>
      </w:r>
    </w:p>
    <w:p>
      <w:pPr>
        <w:widowControl/>
        <w:spacing w:line="360" w:lineRule="auto"/>
        <w:ind w:firstLine="480" w:firstLineChars="200"/>
        <w:outlineLvl w:val="2"/>
        <w:rPr>
          <w:rFonts w:eastAsia="仿宋_GB2312"/>
          <w:sz w:val="24"/>
          <w:highlight w:val="yellow"/>
        </w:rPr>
      </w:pPr>
      <w:r>
        <w:rPr>
          <w:rFonts w:eastAsia="仿宋_GB2312"/>
          <w:sz w:val="24"/>
        </w:rPr>
        <w:t>根据重庆市渝北区财政局《关于下达2016年区级部门预算收支计划的通知》（渝北财预[2016]6号）、重庆市渝北区财政局《关于下达2017年区级部门预算收支计划的通知》（渝北财预[2017]6号）、重庆市渝北区财政局《关于批复2018年区级部门预算的通知》（渝北财预[2018]6号）、重庆市渝北区财政局《关于批复2019年区级部门预算的通知》（渝北财预[2019]6号），2016年至2019渝北区公路综合保险项目计划总投资1,129.00 万元，资金来源为区财政资金。2016年至2019年期间，公路管理处通过公开招投标方式，确定安诚财产保险股份有限公司重庆分公司等4家保险机构为项目实施单位，中标金额共计686.00万元。截止到2020年6月，获得理赔款共计529.16万元。具体明细如下：</w:t>
      </w:r>
    </w:p>
    <w:p>
      <w:pPr>
        <w:widowControl/>
        <w:spacing w:line="360" w:lineRule="auto"/>
        <w:ind w:firstLine="480" w:firstLineChars="200"/>
        <w:jc w:val="center"/>
        <w:outlineLvl w:val="2"/>
        <w:rPr>
          <w:rFonts w:eastAsia="仿宋_GB2312"/>
          <w:sz w:val="24"/>
        </w:rPr>
      </w:pPr>
      <w:r>
        <w:rPr>
          <w:rFonts w:eastAsia="仿宋_GB2312"/>
          <w:sz w:val="24"/>
        </w:rPr>
        <w:t xml:space="preserve">                                                      单位：万元</w:t>
      </w:r>
    </w:p>
    <w:tbl>
      <w:tblPr>
        <w:tblStyle w:val="6"/>
        <w:tblW w:w="8881"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1163"/>
        <w:gridCol w:w="960"/>
        <w:gridCol w:w="4172"/>
        <w:gridCol w:w="1342"/>
        <w:gridCol w:w="1244"/>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年份</w:t>
            </w:r>
          </w:p>
        </w:tc>
        <w:tc>
          <w:tcPr>
            <w:tcW w:w="960"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预算资金</w:t>
            </w:r>
          </w:p>
        </w:tc>
        <w:tc>
          <w:tcPr>
            <w:tcW w:w="417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中标单位</w:t>
            </w:r>
          </w:p>
        </w:tc>
        <w:tc>
          <w:tcPr>
            <w:tcW w:w="134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sz w:val="20"/>
                <w:szCs w:val="20"/>
              </w:rPr>
              <w:t>中标价</w:t>
            </w:r>
          </w:p>
        </w:tc>
        <w:tc>
          <w:tcPr>
            <w:tcW w:w="1244"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理赔金额</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2016</w:t>
            </w:r>
          </w:p>
        </w:tc>
        <w:tc>
          <w:tcPr>
            <w:tcW w:w="960"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364.00</w:t>
            </w:r>
          </w:p>
        </w:tc>
        <w:tc>
          <w:tcPr>
            <w:tcW w:w="4172" w:type="dxa"/>
            <w:noWrap/>
            <w:tcMar>
              <w:top w:w="12" w:type="dxa"/>
              <w:left w:w="12" w:type="dxa"/>
              <w:right w:w="12" w:type="dxa"/>
            </w:tcMar>
          </w:tcPr>
          <w:p>
            <w:pPr>
              <w:widowControl/>
              <w:spacing w:line="360" w:lineRule="auto"/>
              <w:jc w:val="left"/>
              <w:textAlignment w:val="top"/>
              <w:rPr>
                <w:rFonts w:eastAsia="仿宋_GB2312"/>
                <w:color w:val="000000"/>
                <w:sz w:val="20"/>
                <w:szCs w:val="20"/>
              </w:rPr>
            </w:pPr>
            <w:r>
              <w:rPr>
                <w:rFonts w:eastAsia="仿宋_GB2312"/>
                <w:color w:val="000000"/>
                <w:kern w:val="0"/>
                <w:sz w:val="20"/>
                <w:szCs w:val="20"/>
              </w:rPr>
              <w:t>安诚财产保险股份有限公司重庆分公司</w:t>
            </w:r>
          </w:p>
        </w:tc>
        <w:tc>
          <w:tcPr>
            <w:tcW w:w="134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245.00</w:t>
            </w:r>
          </w:p>
        </w:tc>
        <w:tc>
          <w:tcPr>
            <w:tcW w:w="1244"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72.14</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2017</w:t>
            </w:r>
          </w:p>
        </w:tc>
        <w:tc>
          <w:tcPr>
            <w:tcW w:w="960"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260.00</w:t>
            </w:r>
          </w:p>
        </w:tc>
        <w:tc>
          <w:tcPr>
            <w:tcW w:w="4172" w:type="dxa"/>
            <w:noWrap/>
            <w:tcMar>
              <w:top w:w="12" w:type="dxa"/>
              <w:left w:w="12" w:type="dxa"/>
              <w:right w:w="12" w:type="dxa"/>
            </w:tcMar>
          </w:tcPr>
          <w:p>
            <w:pPr>
              <w:widowControl/>
              <w:spacing w:line="360" w:lineRule="auto"/>
              <w:jc w:val="left"/>
              <w:textAlignment w:val="top"/>
              <w:rPr>
                <w:rFonts w:eastAsia="仿宋_GB2312"/>
                <w:color w:val="000000"/>
                <w:sz w:val="20"/>
                <w:szCs w:val="20"/>
              </w:rPr>
            </w:pPr>
            <w:r>
              <w:rPr>
                <w:rFonts w:eastAsia="仿宋_GB2312"/>
                <w:color w:val="000000"/>
                <w:kern w:val="0"/>
                <w:sz w:val="20"/>
                <w:szCs w:val="20"/>
              </w:rPr>
              <w:t>中国平安财产保险股份有公司渝北支公司</w:t>
            </w:r>
          </w:p>
        </w:tc>
        <w:tc>
          <w:tcPr>
            <w:tcW w:w="134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178.00</w:t>
            </w:r>
          </w:p>
        </w:tc>
        <w:tc>
          <w:tcPr>
            <w:tcW w:w="1244"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178.04</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2018</w:t>
            </w:r>
          </w:p>
        </w:tc>
        <w:tc>
          <w:tcPr>
            <w:tcW w:w="960"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260.00</w:t>
            </w:r>
          </w:p>
        </w:tc>
        <w:tc>
          <w:tcPr>
            <w:tcW w:w="4172" w:type="dxa"/>
            <w:noWrap/>
            <w:tcMar>
              <w:top w:w="12" w:type="dxa"/>
              <w:left w:w="12" w:type="dxa"/>
              <w:right w:w="12" w:type="dxa"/>
            </w:tcMar>
          </w:tcPr>
          <w:p>
            <w:pPr>
              <w:widowControl/>
              <w:spacing w:line="360" w:lineRule="auto"/>
              <w:jc w:val="left"/>
              <w:textAlignment w:val="top"/>
              <w:rPr>
                <w:rFonts w:eastAsia="仿宋_GB2312"/>
                <w:color w:val="000000"/>
                <w:sz w:val="20"/>
                <w:szCs w:val="20"/>
              </w:rPr>
            </w:pPr>
            <w:r>
              <w:rPr>
                <w:rFonts w:eastAsia="仿宋_GB2312"/>
                <w:color w:val="000000"/>
                <w:kern w:val="0"/>
                <w:sz w:val="20"/>
                <w:szCs w:val="20"/>
              </w:rPr>
              <w:t>中国太平洋财产保险股份有限公司重庆分公司</w:t>
            </w:r>
          </w:p>
        </w:tc>
        <w:tc>
          <w:tcPr>
            <w:tcW w:w="134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143.00</w:t>
            </w:r>
          </w:p>
        </w:tc>
        <w:tc>
          <w:tcPr>
            <w:tcW w:w="1244"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155.72</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2019</w:t>
            </w:r>
          </w:p>
        </w:tc>
        <w:tc>
          <w:tcPr>
            <w:tcW w:w="960"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245.00</w:t>
            </w:r>
          </w:p>
        </w:tc>
        <w:tc>
          <w:tcPr>
            <w:tcW w:w="4172" w:type="dxa"/>
            <w:noWrap/>
            <w:tcMar>
              <w:top w:w="12" w:type="dxa"/>
              <w:left w:w="12" w:type="dxa"/>
              <w:right w:w="12" w:type="dxa"/>
            </w:tcMar>
          </w:tcPr>
          <w:p>
            <w:pPr>
              <w:widowControl/>
              <w:spacing w:line="360" w:lineRule="auto"/>
              <w:jc w:val="left"/>
              <w:textAlignment w:val="top"/>
              <w:rPr>
                <w:rFonts w:eastAsia="仿宋_GB2312"/>
                <w:color w:val="000000"/>
                <w:sz w:val="20"/>
                <w:szCs w:val="20"/>
              </w:rPr>
            </w:pPr>
            <w:r>
              <w:rPr>
                <w:rFonts w:eastAsia="仿宋_GB2312"/>
                <w:color w:val="000000"/>
                <w:kern w:val="0"/>
                <w:sz w:val="20"/>
                <w:szCs w:val="20"/>
              </w:rPr>
              <w:t>中国太平洋财产保险股份有限公司重庆分公司</w:t>
            </w:r>
          </w:p>
        </w:tc>
        <w:tc>
          <w:tcPr>
            <w:tcW w:w="1342"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120.00</w:t>
            </w:r>
          </w:p>
        </w:tc>
        <w:tc>
          <w:tcPr>
            <w:tcW w:w="1244" w:type="dxa"/>
            <w:noWrap/>
            <w:tcMar>
              <w:top w:w="12" w:type="dxa"/>
              <w:left w:w="12" w:type="dxa"/>
              <w:right w:w="12" w:type="dxa"/>
            </w:tcMar>
          </w:tcPr>
          <w:p>
            <w:pPr>
              <w:widowControl/>
              <w:spacing w:line="360" w:lineRule="auto"/>
              <w:jc w:val="center"/>
              <w:textAlignment w:val="top"/>
              <w:rPr>
                <w:rFonts w:eastAsia="仿宋_GB2312"/>
                <w:color w:val="000000"/>
                <w:sz w:val="20"/>
                <w:szCs w:val="20"/>
              </w:rPr>
            </w:pPr>
            <w:r>
              <w:rPr>
                <w:rFonts w:eastAsia="仿宋_GB2312"/>
                <w:color w:val="000000"/>
                <w:kern w:val="0"/>
                <w:sz w:val="20"/>
                <w:szCs w:val="20"/>
              </w:rPr>
              <w:t>123.26</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163" w:type="dxa"/>
            <w:noWrap/>
            <w:tcMar>
              <w:top w:w="12" w:type="dxa"/>
              <w:left w:w="12" w:type="dxa"/>
              <w:right w:w="12" w:type="dxa"/>
            </w:tcMar>
          </w:tcPr>
          <w:p>
            <w:pPr>
              <w:widowControl/>
              <w:spacing w:line="360" w:lineRule="auto"/>
              <w:jc w:val="center"/>
              <w:textAlignment w:val="top"/>
              <w:rPr>
                <w:rFonts w:eastAsia="仿宋_GB2312"/>
                <w:b/>
                <w:bCs/>
                <w:color w:val="000000"/>
                <w:sz w:val="20"/>
                <w:szCs w:val="20"/>
              </w:rPr>
            </w:pPr>
            <w:r>
              <w:rPr>
                <w:rFonts w:eastAsia="仿宋_GB2312"/>
                <w:b/>
                <w:bCs/>
                <w:color w:val="000000"/>
                <w:kern w:val="0"/>
                <w:sz w:val="20"/>
                <w:szCs w:val="20"/>
              </w:rPr>
              <w:t>合计</w:t>
            </w:r>
          </w:p>
        </w:tc>
        <w:tc>
          <w:tcPr>
            <w:tcW w:w="960" w:type="dxa"/>
            <w:noWrap/>
            <w:tcMar>
              <w:top w:w="12" w:type="dxa"/>
              <w:left w:w="12" w:type="dxa"/>
              <w:right w:w="12" w:type="dxa"/>
            </w:tcMar>
          </w:tcPr>
          <w:p>
            <w:pPr>
              <w:widowControl/>
              <w:spacing w:line="360" w:lineRule="auto"/>
              <w:jc w:val="center"/>
              <w:textAlignment w:val="top"/>
              <w:rPr>
                <w:rFonts w:eastAsia="仿宋_GB2312"/>
                <w:b/>
                <w:bCs/>
                <w:color w:val="000000"/>
                <w:sz w:val="20"/>
                <w:szCs w:val="20"/>
              </w:rPr>
            </w:pPr>
            <w:r>
              <w:rPr>
                <w:rFonts w:eastAsia="仿宋_GB2312"/>
                <w:b/>
                <w:bCs/>
                <w:color w:val="000000"/>
                <w:kern w:val="0"/>
                <w:sz w:val="20"/>
                <w:szCs w:val="20"/>
              </w:rPr>
              <w:t>1,129.00</w:t>
            </w:r>
          </w:p>
        </w:tc>
        <w:tc>
          <w:tcPr>
            <w:tcW w:w="4172" w:type="dxa"/>
            <w:noWrap/>
            <w:tcMar>
              <w:top w:w="12" w:type="dxa"/>
              <w:left w:w="12" w:type="dxa"/>
              <w:right w:w="12" w:type="dxa"/>
            </w:tcMar>
          </w:tcPr>
          <w:p>
            <w:pPr>
              <w:spacing w:line="360" w:lineRule="auto"/>
              <w:jc w:val="left"/>
              <w:rPr>
                <w:rFonts w:eastAsia="仿宋_GB2312"/>
                <w:color w:val="000000"/>
                <w:sz w:val="20"/>
                <w:szCs w:val="20"/>
              </w:rPr>
            </w:pPr>
          </w:p>
        </w:tc>
        <w:tc>
          <w:tcPr>
            <w:tcW w:w="1342" w:type="dxa"/>
            <w:noWrap/>
            <w:tcMar>
              <w:top w:w="12" w:type="dxa"/>
              <w:left w:w="12" w:type="dxa"/>
              <w:right w:w="12" w:type="dxa"/>
            </w:tcMar>
          </w:tcPr>
          <w:p>
            <w:pPr>
              <w:widowControl/>
              <w:spacing w:line="360" w:lineRule="auto"/>
              <w:jc w:val="center"/>
              <w:textAlignment w:val="top"/>
              <w:rPr>
                <w:rFonts w:eastAsia="仿宋_GB2312"/>
                <w:b/>
                <w:color w:val="000000"/>
                <w:sz w:val="20"/>
                <w:szCs w:val="20"/>
              </w:rPr>
            </w:pPr>
            <w:r>
              <w:rPr>
                <w:rFonts w:eastAsia="仿宋_GB2312"/>
                <w:b/>
                <w:color w:val="000000"/>
                <w:kern w:val="0"/>
                <w:sz w:val="20"/>
                <w:szCs w:val="20"/>
              </w:rPr>
              <w:t>686.00</w:t>
            </w:r>
          </w:p>
        </w:tc>
        <w:tc>
          <w:tcPr>
            <w:tcW w:w="1244" w:type="dxa"/>
            <w:noWrap/>
            <w:tcMar>
              <w:top w:w="12" w:type="dxa"/>
              <w:left w:w="12" w:type="dxa"/>
              <w:right w:w="12" w:type="dxa"/>
            </w:tcMar>
          </w:tcPr>
          <w:p>
            <w:pPr>
              <w:widowControl/>
              <w:spacing w:line="360" w:lineRule="auto"/>
              <w:jc w:val="center"/>
              <w:textAlignment w:val="top"/>
              <w:rPr>
                <w:rFonts w:eastAsia="仿宋_GB2312"/>
                <w:b/>
                <w:color w:val="000000"/>
                <w:sz w:val="20"/>
                <w:szCs w:val="20"/>
              </w:rPr>
            </w:pPr>
            <w:r>
              <w:rPr>
                <w:rFonts w:eastAsia="仿宋_GB2312"/>
                <w:b/>
                <w:color w:val="000000"/>
                <w:kern w:val="0"/>
                <w:sz w:val="20"/>
                <w:szCs w:val="20"/>
              </w:rPr>
              <w:t>529.16</w:t>
            </w:r>
          </w:p>
        </w:tc>
      </w:tr>
    </w:tbl>
    <w:p>
      <w:pPr>
        <w:spacing w:line="360" w:lineRule="auto"/>
        <w:ind w:firstLine="480" w:firstLineChars="200"/>
        <w:rPr>
          <w:rFonts w:eastAsia="仿宋_GB2312"/>
          <w:sz w:val="24"/>
          <w:highlight w:val="yellow"/>
        </w:rPr>
      </w:pPr>
    </w:p>
    <w:p>
      <w:pPr>
        <w:spacing w:line="360" w:lineRule="auto"/>
        <w:ind w:firstLine="482" w:firstLineChars="200"/>
        <w:rPr>
          <w:rFonts w:eastAsia="仿宋_GB2312"/>
          <w:b/>
          <w:sz w:val="24"/>
        </w:rPr>
      </w:pPr>
      <w:r>
        <w:rPr>
          <w:rFonts w:eastAsia="仿宋_GB2312"/>
          <w:b/>
          <w:kern w:val="0"/>
          <w:sz w:val="24"/>
        </w:rPr>
        <w:t>（二）</w:t>
      </w:r>
      <w:r>
        <w:rPr>
          <w:rFonts w:eastAsia="仿宋_GB2312"/>
          <w:b/>
          <w:sz w:val="24"/>
        </w:rPr>
        <w:t>项目绩效目标</w:t>
      </w:r>
    </w:p>
    <w:p>
      <w:pPr>
        <w:spacing w:line="360" w:lineRule="auto"/>
        <w:ind w:firstLine="480" w:firstLineChars="200"/>
        <w:rPr>
          <w:rFonts w:eastAsia="仿宋_GB2312"/>
          <w:sz w:val="24"/>
        </w:rPr>
      </w:pPr>
      <w:r>
        <w:rPr>
          <w:rFonts w:eastAsia="仿宋_GB2312"/>
          <w:sz w:val="24"/>
        </w:rPr>
        <w:t>公路管理处2016年至2019年均未设立相应的绩效目标。</w:t>
      </w:r>
    </w:p>
    <w:p>
      <w:pPr>
        <w:spacing w:line="360" w:lineRule="auto"/>
        <w:ind w:firstLine="480" w:firstLineChars="200"/>
        <w:rPr>
          <w:rFonts w:eastAsia="仿宋_GB2312"/>
          <w:sz w:val="24"/>
        </w:rPr>
      </w:pPr>
    </w:p>
    <w:p>
      <w:pPr>
        <w:spacing w:line="360" w:lineRule="auto"/>
        <w:ind w:firstLine="482" w:firstLineChars="200"/>
        <w:rPr>
          <w:rFonts w:eastAsia="仿宋_GB2312"/>
          <w:b/>
          <w:bCs/>
          <w:sz w:val="24"/>
        </w:rPr>
      </w:pPr>
      <w:r>
        <w:rPr>
          <w:rFonts w:eastAsia="仿宋_GB2312"/>
          <w:b/>
          <w:sz w:val="24"/>
        </w:rPr>
        <w:t>二、绩效评价工作开展情况</w:t>
      </w:r>
    </w:p>
    <w:p>
      <w:pPr>
        <w:spacing w:line="360" w:lineRule="auto"/>
        <w:ind w:firstLine="482" w:firstLineChars="200"/>
        <w:rPr>
          <w:rFonts w:eastAsia="仿宋_GB2312"/>
          <w:b/>
          <w:sz w:val="24"/>
        </w:rPr>
      </w:pPr>
      <w:r>
        <w:rPr>
          <w:rFonts w:eastAsia="仿宋_GB2312"/>
          <w:b/>
          <w:sz w:val="24"/>
        </w:rPr>
        <w:t>（一）绩效评价目的和范围</w:t>
      </w:r>
    </w:p>
    <w:p>
      <w:pPr>
        <w:spacing w:line="360" w:lineRule="auto"/>
        <w:ind w:firstLine="480" w:firstLineChars="200"/>
        <w:jc w:val="left"/>
        <w:outlineLvl w:val="1"/>
        <w:rPr>
          <w:rFonts w:eastAsia="仿宋_GB2312"/>
          <w:sz w:val="24"/>
        </w:rPr>
      </w:pPr>
      <w:r>
        <w:rPr>
          <w:rFonts w:eastAsia="仿宋_GB2312"/>
          <w:sz w:val="24"/>
        </w:rPr>
        <w:t>1.绩效评价目的</w:t>
      </w:r>
    </w:p>
    <w:p>
      <w:pPr>
        <w:spacing w:line="360" w:lineRule="auto"/>
        <w:ind w:firstLine="480" w:firstLineChars="200"/>
        <w:jc w:val="left"/>
        <w:outlineLvl w:val="1"/>
        <w:rPr>
          <w:rFonts w:eastAsia="仿宋_GB2312"/>
          <w:sz w:val="24"/>
        </w:rPr>
      </w:pPr>
      <w:r>
        <w:rPr>
          <w:rFonts w:eastAsia="仿宋_GB2312"/>
          <w:sz w:val="24"/>
        </w:rPr>
        <w:t>积极推进财政补助资金预算绩效管理工作，规范财政补助资金支出绩效评价行为，建立科学、合理的财政补助资金绩效评价管理体系，提高财政资金使用效益。</w:t>
      </w:r>
    </w:p>
    <w:p>
      <w:pPr>
        <w:spacing w:line="360" w:lineRule="auto"/>
        <w:ind w:right="29" w:rightChars="14" w:firstLine="480" w:firstLineChars="200"/>
        <w:rPr>
          <w:rFonts w:eastAsia="仿宋_GB2312"/>
          <w:sz w:val="24"/>
        </w:rPr>
      </w:pPr>
      <w:r>
        <w:rPr>
          <w:rFonts w:eastAsia="仿宋_GB2312"/>
          <w:sz w:val="24"/>
        </w:rPr>
        <w:t>2.评价范围</w:t>
      </w:r>
    </w:p>
    <w:p>
      <w:pPr>
        <w:spacing w:line="360" w:lineRule="auto"/>
        <w:ind w:firstLine="480" w:firstLineChars="200"/>
        <w:rPr>
          <w:rFonts w:eastAsia="仿宋_GB2312"/>
          <w:sz w:val="24"/>
        </w:rPr>
      </w:pPr>
      <w:r>
        <w:rPr>
          <w:rFonts w:eastAsia="仿宋_GB2312"/>
          <w:sz w:val="24"/>
        </w:rPr>
        <w:t>评价范围主要包括项目前期决策及相关手续、资金落实、业务管理、财务管理、项目产出、项目效益、受益对象的满意度等情况。</w:t>
      </w:r>
    </w:p>
    <w:p>
      <w:pPr>
        <w:numPr>
          <w:ilvl w:val="0"/>
          <w:numId w:val="3"/>
        </w:numPr>
        <w:spacing w:line="360" w:lineRule="auto"/>
        <w:ind w:firstLine="482" w:firstLineChars="200"/>
        <w:rPr>
          <w:rFonts w:eastAsia="仿宋_GB2312"/>
          <w:b/>
          <w:sz w:val="24"/>
        </w:rPr>
      </w:pPr>
      <w:r>
        <w:rPr>
          <w:rFonts w:eastAsia="仿宋_GB2312"/>
          <w:b/>
          <w:sz w:val="24"/>
        </w:rPr>
        <w:t>绩效评价主要政策依据</w:t>
      </w:r>
    </w:p>
    <w:p>
      <w:pPr>
        <w:spacing w:line="360" w:lineRule="auto"/>
        <w:ind w:firstLine="480" w:firstLineChars="200"/>
        <w:rPr>
          <w:rFonts w:eastAsia="仿宋_GB2312"/>
          <w:sz w:val="24"/>
        </w:rPr>
      </w:pPr>
      <w:r>
        <w:rPr>
          <w:rFonts w:eastAsia="仿宋_GB2312"/>
          <w:sz w:val="24"/>
        </w:rPr>
        <w:t>1.《中华人民共和国预算法》；</w:t>
      </w:r>
    </w:p>
    <w:p>
      <w:pPr>
        <w:spacing w:line="360" w:lineRule="auto"/>
        <w:ind w:firstLine="480" w:firstLineChars="200"/>
        <w:rPr>
          <w:rFonts w:eastAsia="仿宋_GB2312"/>
          <w:sz w:val="24"/>
        </w:rPr>
      </w:pPr>
      <w:r>
        <w:rPr>
          <w:rFonts w:eastAsia="仿宋_GB2312"/>
          <w:sz w:val="24"/>
        </w:rPr>
        <w:t>2.《项目支出绩效评价管理办法》（财预[2020]10号）；</w:t>
      </w:r>
    </w:p>
    <w:p>
      <w:pPr>
        <w:spacing w:line="360" w:lineRule="auto"/>
        <w:ind w:firstLine="480" w:firstLineChars="200"/>
        <w:rPr>
          <w:rFonts w:eastAsia="仿宋_GB2312"/>
          <w:sz w:val="24"/>
        </w:rPr>
      </w:pPr>
      <w:r>
        <w:rPr>
          <w:rFonts w:eastAsia="仿宋_GB2312"/>
          <w:sz w:val="24"/>
        </w:rPr>
        <w:t>3.</w:t>
      </w:r>
      <w:r>
        <w:rPr>
          <w:rFonts w:eastAsia="仿宋"/>
          <w:sz w:val="24"/>
        </w:rPr>
        <w:t>《</w:t>
      </w:r>
      <w:r>
        <w:rPr>
          <w:rFonts w:eastAsia="仿宋_GB2312"/>
          <w:sz w:val="24"/>
        </w:rPr>
        <w:t>重庆市市级政策和项目预算绩效管理办法（试行）》（渝财绩[2019]19号）</w:t>
      </w:r>
    </w:p>
    <w:p>
      <w:pPr>
        <w:spacing w:line="360" w:lineRule="auto"/>
        <w:ind w:firstLine="480" w:firstLineChars="200"/>
        <w:rPr>
          <w:rFonts w:eastAsia="仿宋_GB2312"/>
          <w:sz w:val="24"/>
        </w:rPr>
      </w:pPr>
      <w:r>
        <w:rPr>
          <w:rFonts w:eastAsia="仿宋_GB2312"/>
          <w:sz w:val="24"/>
        </w:rPr>
        <w:t>4.《重庆市渝北区人民政府第114次常务会议纪要》；</w:t>
      </w:r>
    </w:p>
    <w:p>
      <w:pPr>
        <w:spacing w:line="360" w:lineRule="auto"/>
        <w:ind w:firstLine="480" w:firstLineChars="200"/>
        <w:rPr>
          <w:rFonts w:eastAsia="仿宋_GB2312"/>
          <w:sz w:val="24"/>
        </w:rPr>
      </w:pPr>
      <w:r>
        <w:rPr>
          <w:rFonts w:eastAsia="仿宋_GB2312"/>
          <w:sz w:val="24"/>
        </w:rPr>
        <w:t>5.《重庆市渝北区财政局关于下达2016年区级部门预算收支计划的通知》（渝北财预[2016]6号）；</w:t>
      </w:r>
    </w:p>
    <w:p>
      <w:pPr>
        <w:spacing w:line="360" w:lineRule="auto"/>
        <w:ind w:firstLine="480" w:firstLineChars="200"/>
        <w:rPr>
          <w:rFonts w:eastAsia="仿宋_GB2312"/>
          <w:sz w:val="24"/>
        </w:rPr>
      </w:pPr>
      <w:r>
        <w:rPr>
          <w:rFonts w:eastAsia="仿宋_GB2312"/>
          <w:sz w:val="24"/>
        </w:rPr>
        <w:t>6.《重庆市渝北区财政局关于下达2017年区级部门预算收支计划的通知》（渝北财预[2017]6号）；</w:t>
      </w:r>
    </w:p>
    <w:p>
      <w:pPr>
        <w:spacing w:line="360" w:lineRule="auto"/>
        <w:ind w:firstLine="480" w:firstLineChars="200"/>
        <w:rPr>
          <w:rFonts w:eastAsia="仿宋_GB2312"/>
          <w:sz w:val="24"/>
        </w:rPr>
      </w:pPr>
      <w:r>
        <w:rPr>
          <w:rFonts w:eastAsia="仿宋_GB2312"/>
          <w:sz w:val="24"/>
        </w:rPr>
        <w:t>7.《重庆市渝北区财政局关于批复2018年区级部门预算的通知》（渝北财预[2018]6号）；</w:t>
      </w:r>
    </w:p>
    <w:p>
      <w:pPr>
        <w:widowControl/>
        <w:spacing w:line="360" w:lineRule="auto"/>
        <w:ind w:firstLine="480" w:firstLineChars="200"/>
        <w:outlineLvl w:val="2"/>
        <w:rPr>
          <w:rFonts w:eastAsia="仿宋_GB2312"/>
          <w:sz w:val="24"/>
        </w:rPr>
      </w:pPr>
      <w:r>
        <w:rPr>
          <w:rFonts w:eastAsia="仿宋_GB2312"/>
          <w:sz w:val="24"/>
        </w:rPr>
        <w:t>8.《重庆市渝北区财政局关于批复2019年区级部门预算的通知》（渝北财预[2019]6号）；</w:t>
      </w:r>
    </w:p>
    <w:p>
      <w:pPr>
        <w:spacing w:line="360" w:lineRule="auto"/>
        <w:ind w:firstLine="480" w:firstLineChars="200"/>
        <w:rPr>
          <w:rFonts w:eastAsia="仿宋_GB2312"/>
          <w:sz w:val="24"/>
        </w:rPr>
      </w:pPr>
      <w:r>
        <w:rPr>
          <w:rFonts w:eastAsia="仿宋_GB2312"/>
          <w:sz w:val="24"/>
        </w:rPr>
        <w:t xml:space="preserve">9.《重庆市渝北区交通局关于2019年渝北区公路购买综合保险相关事宜的请示》           </w:t>
      </w:r>
    </w:p>
    <w:p>
      <w:pPr>
        <w:widowControl/>
        <w:spacing w:line="360" w:lineRule="auto"/>
        <w:outlineLvl w:val="2"/>
        <w:rPr>
          <w:rFonts w:eastAsia="仿宋_GB2312"/>
          <w:sz w:val="24"/>
        </w:rPr>
      </w:pPr>
      <w:r>
        <w:rPr>
          <w:rFonts w:eastAsia="仿宋_GB2312"/>
          <w:sz w:val="24"/>
        </w:rPr>
        <w:t>（渝北交文〔2019〕9号）；</w:t>
      </w:r>
    </w:p>
    <w:p>
      <w:pPr>
        <w:spacing w:line="360" w:lineRule="auto"/>
        <w:ind w:firstLine="480" w:firstLineChars="200"/>
        <w:rPr>
          <w:rFonts w:eastAsia="仿宋_GB2312"/>
          <w:sz w:val="24"/>
        </w:rPr>
      </w:pPr>
      <w:r>
        <w:rPr>
          <w:rFonts w:eastAsia="仿宋_GB2312"/>
          <w:sz w:val="24"/>
        </w:rPr>
        <w:t>10.中国注册会计师协会《会计师事务所财政支出绩效评价业务指引（征求意见稿）》（会协[2015]2号）；</w:t>
      </w:r>
    </w:p>
    <w:p>
      <w:pPr>
        <w:spacing w:line="360" w:lineRule="auto"/>
        <w:ind w:firstLine="480" w:firstLineChars="200"/>
        <w:rPr>
          <w:rFonts w:eastAsia="仿宋_GB2312"/>
          <w:sz w:val="24"/>
        </w:rPr>
      </w:pPr>
      <w:r>
        <w:rPr>
          <w:rFonts w:eastAsia="仿宋_GB2312"/>
          <w:sz w:val="24"/>
        </w:rPr>
        <w:t>11.其他与本次绩效评价相关资料。</w:t>
      </w:r>
    </w:p>
    <w:p>
      <w:pPr>
        <w:spacing w:line="360" w:lineRule="auto"/>
        <w:ind w:firstLine="482" w:firstLineChars="200"/>
        <w:jc w:val="left"/>
        <w:outlineLvl w:val="1"/>
        <w:rPr>
          <w:rFonts w:eastAsia="仿宋_GB2312"/>
          <w:b/>
          <w:sz w:val="24"/>
        </w:rPr>
      </w:pPr>
      <w:r>
        <w:rPr>
          <w:rFonts w:eastAsia="仿宋_GB2312"/>
          <w:b/>
          <w:sz w:val="24"/>
        </w:rPr>
        <w:t>（三）绩效评价人员组成</w:t>
      </w:r>
    </w:p>
    <w:p>
      <w:pPr>
        <w:spacing w:line="360" w:lineRule="auto"/>
        <w:ind w:firstLine="480" w:firstLineChars="200"/>
        <w:jc w:val="left"/>
        <w:outlineLvl w:val="1"/>
        <w:rPr>
          <w:rFonts w:eastAsia="仿宋_GB2312"/>
          <w:sz w:val="24"/>
        </w:rPr>
      </w:pPr>
      <w:r>
        <w:rPr>
          <w:rFonts w:eastAsia="仿宋_GB2312"/>
          <w:sz w:val="24"/>
        </w:rPr>
        <w:t>本次绩效评价由渝北区财政局委托我们具体组织实施，针对本次委托，按照相关要求，我们成立了项目绩效评价小组，小组成员及工作职责如下：</w:t>
      </w:r>
    </w:p>
    <w:tbl>
      <w:tblPr>
        <w:tblStyle w:val="6"/>
        <w:tblW w:w="8942" w:type="dxa"/>
        <w:jc w:val="center"/>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90"/>
        <w:gridCol w:w="1282"/>
        <w:gridCol w:w="2160"/>
        <w:gridCol w:w="431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47" w:hRule="atLeast"/>
          <w:jc w:val="center"/>
        </w:trPr>
        <w:tc>
          <w:tcPr>
            <w:tcW w:w="1190" w:type="dxa"/>
            <w:vAlign w:val="center"/>
          </w:tcPr>
          <w:p>
            <w:pPr>
              <w:spacing w:line="360" w:lineRule="auto"/>
              <w:jc w:val="center"/>
              <w:rPr>
                <w:rFonts w:eastAsia="仿宋_GB2312"/>
                <w:szCs w:val="21"/>
              </w:rPr>
            </w:pPr>
            <w:r>
              <w:rPr>
                <w:rFonts w:eastAsia="仿宋_GB2312"/>
                <w:szCs w:val="21"/>
              </w:rPr>
              <w:t>序号</w:t>
            </w:r>
          </w:p>
        </w:tc>
        <w:tc>
          <w:tcPr>
            <w:tcW w:w="1282" w:type="dxa"/>
            <w:vAlign w:val="center"/>
          </w:tcPr>
          <w:p>
            <w:pPr>
              <w:spacing w:line="360" w:lineRule="auto"/>
              <w:jc w:val="center"/>
              <w:rPr>
                <w:rFonts w:eastAsia="仿宋_GB2312"/>
                <w:szCs w:val="21"/>
              </w:rPr>
            </w:pPr>
            <w:r>
              <w:rPr>
                <w:rFonts w:eastAsia="仿宋_GB2312"/>
                <w:szCs w:val="21"/>
              </w:rPr>
              <w:t>姓名</w:t>
            </w:r>
          </w:p>
        </w:tc>
        <w:tc>
          <w:tcPr>
            <w:tcW w:w="2160" w:type="dxa"/>
            <w:vAlign w:val="center"/>
          </w:tcPr>
          <w:p>
            <w:pPr>
              <w:spacing w:line="360" w:lineRule="auto"/>
              <w:jc w:val="center"/>
              <w:rPr>
                <w:rFonts w:eastAsia="仿宋_GB2312"/>
                <w:szCs w:val="21"/>
              </w:rPr>
            </w:pPr>
            <w:r>
              <w:rPr>
                <w:rFonts w:eastAsia="仿宋_GB2312"/>
                <w:szCs w:val="21"/>
              </w:rPr>
              <w:t>本次评价小组职务</w:t>
            </w:r>
          </w:p>
        </w:tc>
        <w:tc>
          <w:tcPr>
            <w:tcW w:w="4310" w:type="dxa"/>
            <w:vAlign w:val="center"/>
          </w:tcPr>
          <w:p>
            <w:pPr>
              <w:spacing w:line="360" w:lineRule="auto"/>
              <w:jc w:val="center"/>
              <w:rPr>
                <w:rFonts w:eastAsia="仿宋_GB2312"/>
                <w:szCs w:val="21"/>
              </w:rPr>
            </w:pPr>
            <w:r>
              <w:rPr>
                <w:rFonts w:eastAsia="仿宋_GB2312"/>
                <w:szCs w:val="21"/>
              </w:rPr>
              <w:t>主要工作内容</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47" w:hRule="atLeast"/>
          <w:jc w:val="center"/>
        </w:trPr>
        <w:tc>
          <w:tcPr>
            <w:tcW w:w="1190" w:type="dxa"/>
            <w:vAlign w:val="center"/>
          </w:tcPr>
          <w:p>
            <w:pPr>
              <w:spacing w:line="360" w:lineRule="auto"/>
              <w:jc w:val="left"/>
              <w:rPr>
                <w:rFonts w:eastAsia="仿宋_GB2312"/>
                <w:szCs w:val="21"/>
              </w:rPr>
            </w:pPr>
            <w:r>
              <w:rPr>
                <w:rFonts w:eastAsia="仿宋_GB2312"/>
                <w:szCs w:val="21"/>
              </w:rPr>
              <w:t xml:space="preserve">    1</w:t>
            </w:r>
          </w:p>
        </w:tc>
        <w:tc>
          <w:tcPr>
            <w:tcW w:w="1282" w:type="dxa"/>
            <w:vAlign w:val="center"/>
          </w:tcPr>
          <w:p>
            <w:pPr>
              <w:spacing w:line="360" w:lineRule="auto"/>
              <w:jc w:val="left"/>
              <w:rPr>
                <w:rFonts w:eastAsia="仿宋_GB2312"/>
                <w:szCs w:val="21"/>
              </w:rPr>
            </w:pPr>
            <w:r>
              <w:rPr>
                <w:rFonts w:eastAsia="仿宋_GB2312"/>
                <w:szCs w:val="21"/>
              </w:rPr>
              <w:t>谢 丹</w:t>
            </w:r>
            <w:r>
              <w:rPr>
                <w:rFonts w:hint="eastAsia" w:eastAsia="仿宋_GB2312"/>
                <w:szCs w:val="21"/>
              </w:rPr>
              <w:t>、高丽秋</w:t>
            </w:r>
          </w:p>
        </w:tc>
        <w:tc>
          <w:tcPr>
            <w:tcW w:w="2160" w:type="dxa"/>
            <w:vAlign w:val="center"/>
          </w:tcPr>
          <w:p>
            <w:pPr>
              <w:spacing w:line="360" w:lineRule="auto"/>
              <w:rPr>
                <w:rFonts w:eastAsia="仿宋_GB2312"/>
                <w:szCs w:val="21"/>
              </w:rPr>
            </w:pPr>
            <w:r>
              <w:rPr>
                <w:rFonts w:hint="eastAsia" w:eastAsia="仿宋_GB2312"/>
                <w:szCs w:val="21"/>
              </w:rPr>
              <w:t>质控部复核人员</w:t>
            </w:r>
          </w:p>
        </w:tc>
        <w:tc>
          <w:tcPr>
            <w:tcW w:w="4310" w:type="dxa"/>
            <w:vAlign w:val="center"/>
          </w:tcPr>
          <w:p>
            <w:pPr>
              <w:spacing w:line="360" w:lineRule="auto"/>
              <w:rPr>
                <w:rFonts w:eastAsia="仿宋_GB2312"/>
                <w:szCs w:val="21"/>
              </w:rPr>
            </w:pPr>
            <w:r>
              <w:rPr>
                <w:rFonts w:eastAsia="仿宋_GB2312"/>
                <w:szCs w:val="21"/>
              </w:rPr>
              <w:t>对项目的全过程实施组织、指挥、协调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6" w:hRule="atLeast"/>
          <w:jc w:val="center"/>
        </w:trPr>
        <w:tc>
          <w:tcPr>
            <w:tcW w:w="1190" w:type="dxa"/>
            <w:vAlign w:val="center"/>
          </w:tcPr>
          <w:p>
            <w:pPr>
              <w:spacing w:line="360" w:lineRule="auto"/>
              <w:jc w:val="center"/>
              <w:rPr>
                <w:rFonts w:eastAsia="仿宋_GB2312"/>
                <w:szCs w:val="21"/>
              </w:rPr>
            </w:pPr>
            <w:r>
              <w:rPr>
                <w:rFonts w:eastAsia="仿宋_GB2312"/>
                <w:szCs w:val="21"/>
              </w:rPr>
              <w:t>2</w:t>
            </w:r>
          </w:p>
        </w:tc>
        <w:tc>
          <w:tcPr>
            <w:tcW w:w="1282" w:type="dxa"/>
            <w:vAlign w:val="center"/>
          </w:tcPr>
          <w:p>
            <w:pPr>
              <w:spacing w:line="360" w:lineRule="auto"/>
              <w:jc w:val="left"/>
              <w:rPr>
                <w:rFonts w:eastAsia="仿宋_GB2312"/>
                <w:szCs w:val="21"/>
              </w:rPr>
            </w:pPr>
            <w:r>
              <w:rPr>
                <w:rFonts w:eastAsia="仿宋_GB2312"/>
                <w:szCs w:val="21"/>
              </w:rPr>
              <w:t>袁加志</w:t>
            </w:r>
          </w:p>
        </w:tc>
        <w:tc>
          <w:tcPr>
            <w:tcW w:w="2160" w:type="dxa"/>
            <w:vAlign w:val="center"/>
          </w:tcPr>
          <w:p>
            <w:pPr>
              <w:spacing w:line="360" w:lineRule="auto"/>
              <w:jc w:val="left"/>
              <w:rPr>
                <w:rFonts w:eastAsia="仿宋_GB2312"/>
                <w:szCs w:val="21"/>
              </w:rPr>
            </w:pPr>
            <w:r>
              <w:rPr>
                <w:rFonts w:eastAsia="仿宋_GB2312"/>
                <w:szCs w:val="21"/>
              </w:rPr>
              <w:t>项目组负责人</w:t>
            </w:r>
          </w:p>
        </w:tc>
        <w:tc>
          <w:tcPr>
            <w:tcW w:w="4310" w:type="dxa"/>
            <w:vAlign w:val="center"/>
          </w:tcPr>
          <w:p>
            <w:pPr>
              <w:spacing w:line="360" w:lineRule="auto"/>
              <w:jc w:val="left"/>
              <w:rPr>
                <w:rFonts w:eastAsia="仿宋_GB2312"/>
                <w:szCs w:val="21"/>
              </w:rPr>
            </w:pPr>
            <w:r>
              <w:rPr>
                <w:rFonts w:eastAsia="仿宋_GB2312"/>
                <w:szCs w:val="21"/>
              </w:rPr>
              <w:t>对项目的全过程实施组织、指挥、协调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3" w:hRule="atLeast"/>
          <w:jc w:val="center"/>
        </w:trPr>
        <w:tc>
          <w:tcPr>
            <w:tcW w:w="1190" w:type="dxa"/>
            <w:vAlign w:val="center"/>
          </w:tcPr>
          <w:p>
            <w:pPr>
              <w:spacing w:line="360" w:lineRule="auto"/>
              <w:jc w:val="center"/>
              <w:rPr>
                <w:rFonts w:eastAsia="仿宋_GB2312"/>
                <w:szCs w:val="21"/>
              </w:rPr>
            </w:pPr>
            <w:r>
              <w:rPr>
                <w:rFonts w:eastAsia="仿宋_GB2312"/>
                <w:szCs w:val="21"/>
              </w:rPr>
              <w:t>3</w:t>
            </w:r>
          </w:p>
        </w:tc>
        <w:tc>
          <w:tcPr>
            <w:tcW w:w="1282" w:type="dxa"/>
            <w:vAlign w:val="center"/>
          </w:tcPr>
          <w:p>
            <w:pPr>
              <w:spacing w:line="360" w:lineRule="auto"/>
              <w:jc w:val="left"/>
              <w:rPr>
                <w:rFonts w:eastAsia="仿宋_GB2312"/>
                <w:szCs w:val="21"/>
              </w:rPr>
            </w:pPr>
            <w:r>
              <w:rPr>
                <w:rFonts w:eastAsia="仿宋_GB2312"/>
                <w:szCs w:val="21"/>
              </w:rPr>
              <w:t>朱碧莹</w:t>
            </w:r>
          </w:p>
        </w:tc>
        <w:tc>
          <w:tcPr>
            <w:tcW w:w="2160" w:type="dxa"/>
            <w:vAlign w:val="center"/>
          </w:tcPr>
          <w:p>
            <w:pPr>
              <w:spacing w:line="360" w:lineRule="auto"/>
              <w:jc w:val="left"/>
              <w:rPr>
                <w:rFonts w:eastAsia="仿宋_GB2312"/>
                <w:szCs w:val="21"/>
              </w:rPr>
            </w:pPr>
            <w:r>
              <w:rPr>
                <w:rFonts w:eastAsia="仿宋_GB2312"/>
                <w:szCs w:val="21"/>
              </w:rPr>
              <w:t>项目组成员</w:t>
            </w:r>
          </w:p>
        </w:tc>
        <w:tc>
          <w:tcPr>
            <w:tcW w:w="4310" w:type="dxa"/>
            <w:vAlign w:val="center"/>
          </w:tcPr>
          <w:p>
            <w:pPr>
              <w:spacing w:line="360" w:lineRule="auto"/>
              <w:jc w:val="left"/>
              <w:rPr>
                <w:rFonts w:eastAsia="仿宋_GB2312"/>
                <w:szCs w:val="21"/>
              </w:rPr>
            </w:pPr>
            <w:r>
              <w:rPr>
                <w:rFonts w:eastAsia="仿宋_GB2312"/>
                <w:szCs w:val="21"/>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1190" w:type="dxa"/>
            <w:vAlign w:val="center"/>
          </w:tcPr>
          <w:p>
            <w:pPr>
              <w:spacing w:line="360" w:lineRule="auto"/>
              <w:jc w:val="center"/>
              <w:rPr>
                <w:rFonts w:eastAsia="仿宋_GB2312"/>
                <w:szCs w:val="21"/>
              </w:rPr>
            </w:pPr>
            <w:r>
              <w:rPr>
                <w:rFonts w:eastAsia="仿宋_GB2312"/>
                <w:szCs w:val="21"/>
              </w:rPr>
              <w:t>4</w:t>
            </w:r>
          </w:p>
        </w:tc>
        <w:tc>
          <w:tcPr>
            <w:tcW w:w="1282" w:type="dxa"/>
            <w:vAlign w:val="center"/>
          </w:tcPr>
          <w:p>
            <w:pPr>
              <w:spacing w:line="360" w:lineRule="auto"/>
              <w:jc w:val="left"/>
              <w:rPr>
                <w:rFonts w:eastAsia="仿宋_GB2312"/>
                <w:szCs w:val="21"/>
              </w:rPr>
            </w:pPr>
            <w:r>
              <w:rPr>
                <w:rFonts w:eastAsia="仿宋_GB2312"/>
                <w:szCs w:val="21"/>
              </w:rPr>
              <w:t>陈</w:t>
            </w:r>
            <w:r>
              <w:rPr>
                <w:rFonts w:hint="eastAsia" w:ascii="宋体" w:hAnsi="宋体" w:cs="宋体"/>
                <w:szCs w:val="21"/>
              </w:rPr>
              <w:t>玙璠</w:t>
            </w:r>
          </w:p>
        </w:tc>
        <w:tc>
          <w:tcPr>
            <w:tcW w:w="2160" w:type="dxa"/>
            <w:vAlign w:val="center"/>
          </w:tcPr>
          <w:p>
            <w:pPr>
              <w:spacing w:line="360" w:lineRule="auto"/>
              <w:jc w:val="left"/>
              <w:rPr>
                <w:rFonts w:eastAsia="仿宋_GB2312"/>
                <w:szCs w:val="21"/>
              </w:rPr>
            </w:pPr>
            <w:r>
              <w:rPr>
                <w:rFonts w:eastAsia="仿宋_GB2312"/>
                <w:szCs w:val="21"/>
              </w:rPr>
              <w:t>项目组成员</w:t>
            </w:r>
          </w:p>
        </w:tc>
        <w:tc>
          <w:tcPr>
            <w:tcW w:w="4310" w:type="dxa"/>
            <w:vAlign w:val="center"/>
          </w:tcPr>
          <w:p>
            <w:pPr>
              <w:spacing w:line="360" w:lineRule="auto"/>
              <w:jc w:val="left"/>
              <w:rPr>
                <w:rFonts w:eastAsia="仿宋_GB2312"/>
                <w:szCs w:val="21"/>
              </w:rPr>
            </w:pPr>
            <w:r>
              <w:rPr>
                <w:rFonts w:eastAsia="仿宋_GB2312"/>
                <w:szCs w:val="21"/>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190" w:type="dxa"/>
            <w:vAlign w:val="center"/>
          </w:tcPr>
          <w:p>
            <w:pPr>
              <w:spacing w:line="360" w:lineRule="auto"/>
              <w:jc w:val="center"/>
              <w:rPr>
                <w:rFonts w:eastAsia="仿宋_GB2312"/>
                <w:szCs w:val="21"/>
              </w:rPr>
            </w:pPr>
            <w:r>
              <w:rPr>
                <w:rFonts w:eastAsia="仿宋_GB2312"/>
                <w:szCs w:val="21"/>
              </w:rPr>
              <w:t>5</w:t>
            </w:r>
          </w:p>
        </w:tc>
        <w:tc>
          <w:tcPr>
            <w:tcW w:w="1282" w:type="dxa"/>
            <w:vAlign w:val="center"/>
          </w:tcPr>
          <w:p>
            <w:pPr>
              <w:spacing w:line="360" w:lineRule="auto"/>
              <w:jc w:val="left"/>
              <w:rPr>
                <w:rFonts w:eastAsia="仿宋_GB2312"/>
                <w:szCs w:val="21"/>
              </w:rPr>
            </w:pPr>
            <w:r>
              <w:rPr>
                <w:rFonts w:eastAsia="仿宋_GB2312"/>
                <w:szCs w:val="21"/>
              </w:rPr>
              <w:t>秦 雪</w:t>
            </w:r>
          </w:p>
        </w:tc>
        <w:tc>
          <w:tcPr>
            <w:tcW w:w="2160" w:type="dxa"/>
            <w:vAlign w:val="center"/>
          </w:tcPr>
          <w:p>
            <w:pPr>
              <w:spacing w:line="360" w:lineRule="auto"/>
              <w:jc w:val="left"/>
              <w:rPr>
                <w:rFonts w:eastAsia="仿宋_GB2312"/>
                <w:szCs w:val="21"/>
              </w:rPr>
            </w:pPr>
            <w:r>
              <w:rPr>
                <w:rFonts w:eastAsia="仿宋_GB2312"/>
                <w:szCs w:val="21"/>
              </w:rPr>
              <w:t>项目组成员</w:t>
            </w:r>
          </w:p>
        </w:tc>
        <w:tc>
          <w:tcPr>
            <w:tcW w:w="4310" w:type="dxa"/>
            <w:vAlign w:val="center"/>
          </w:tcPr>
          <w:p>
            <w:pPr>
              <w:spacing w:line="360" w:lineRule="auto"/>
              <w:jc w:val="left"/>
              <w:rPr>
                <w:rFonts w:eastAsia="仿宋_GB2312"/>
                <w:szCs w:val="21"/>
              </w:rPr>
            </w:pPr>
            <w:r>
              <w:rPr>
                <w:rFonts w:eastAsia="仿宋_GB2312"/>
                <w:szCs w:val="21"/>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190" w:type="dxa"/>
            <w:vAlign w:val="center"/>
          </w:tcPr>
          <w:p>
            <w:pPr>
              <w:spacing w:line="360" w:lineRule="auto"/>
              <w:jc w:val="center"/>
              <w:rPr>
                <w:rFonts w:eastAsia="仿宋_GB2312"/>
                <w:szCs w:val="21"/>
              </w:rPr>
            </w:pPr>
            <w:r>
              <w:rPr>
                <w:rFonts w:eastAsia="仿宋_GB2312"/>
                <w:szCs w:val="21"/>
              </w:rPr>
              <w:t>6</w:t>
            </w:r>
          </w:p>
        </w:tc>
        <w:tc>
          <w:tcPr>
            <w:tcW w:w="1282" w:type="dxa"/>
            <w:vAlign w:val="center"/>
          </w:tcPr>
          <w:p>
            <w:pPr>
              <w:spacing w:line="360" w:lineRule="auto"/>
              <w:jc w:val="left"/>
              <w:rPr>
                <w:rFonts w:eastAsia="仿宋_GB2312"/>
                <w:szCs w:val="21"/>
              </w:rPr>
            </w:pPr>
            <w:r>
              <w:rPr>
                <w:rFonts w:eastAsia="仿宋_GB2312"/>
                <w:szCs w:val="21"/>
              </w:rPr>
              <w:t>张琪雅</w:t>
            </w:r>
          </w:p>
        </w:tc>
        <w:tc>
          <w:tcPr>
            <w:tcW w:w="2160" w:type="dxa"/>
            <w:vAlign w:val="center"/>
          </w:tcPr>
          <w:p>
            <w:pPr>
              <w:spacing w:line="360" w:lineRule="auto"/>
              <w:jc w:val="left"/>
              <w:rPr>
                <w:rFonts w:eastAsia="仿宋_GB2312"/>
                <w:szCs w:val="21"/>
              </w:rPr>
            </w:pPr>
            <w:r>
              <w:rPr>
                <w:rFonts w:eastAsia="仿宋_GB2312"/>
                <w:szCs w:val="21"/>
              </w:rPr>
              <w:t>项目组成员</w:t>
            </w:r>
          </w:p>
        </w:tc>
        <w:tc>
          <w:tcPr>
            <w:tcW w:w="4310" w:type="dxa"/>
            <w:vAlign w:val="center"/>
          </w:tcPr>
          <w:p>
            <w:pPr>
              <w:spacing w:line="360" w:lineRule="auto"/>
              <w:jc w:val="left"/>
              <w:rPr>
                <w:rFonts w:eastAsia="仿宋_GB2312"/>
                <w:szCs w:val="21"/>
              </w:rPr>
            </w:pPr>
            <w:r>
              <w:rPr>
                <w:rFonts w:eastAsia="仿宋_GB2312"/>
                <w:szCs w:val="21"/>
              </w:rPr>
              <w:t>收集、核实、整理项目有关资料</w:t>
            </w:r>
          </w:p>
        </w:tc>
      </w:tr>
    </w:tbl>
    <w:p>
      <w:pPr>
        <w:spacing w:line="360" w:lineRule="auto"/>
        <w:ind w:firstLine="482" w:firstLineChars="200"/>
        <w:jc w:val="left"/>
        <w:outlineLvl w:val="1"/>
        <w:rPr>
          <w:rFonts w:eastAsia="仿宋_GB2312"/>
          <w:b/>
          <w:sz w:val="24"/>
        </w:rPr>
      </w:pPr>
      <w:r>
        <w:rPr>
          <w:rFonts w:eastAsia="仿宋_GB2312"/>
          <w:b/>
          <w:sz w:val="24"/>
        </w:rPr>
        <w:t xml:space="preserve">（四）绩效评价程序  </w:t>
      </w:r>
    </w:p>
    <w:p>
      <w:pPr>
        <w:spacing w:line="360" w:lineRule="auto"/>
        <w:ind w:firstLine="480" w:firstLineChars="200"/>
        <w:jc w:val="left"/>
        <w:outlineLvl w:val="1"/>
        <w:rPr>
          <w:rFonts w:eastAsia="仿宋_GB2312"/>
          <w:sz w:val="24"/>
        </w:rPr>
      </w:pPr>
      <w:r>
        <w:rPr>
          <w:rFonts w:eastAsia="仿宋_GB2312"/>
          <w:sz w:val="24"/>
        </w:rPr>
        <w:t>1.调查了解被评价项目的基本情况。</w:t>
      </w:r>
    </w:p>
    <w:p>
      <w:pPr>
        <w:spacing w:line="360" w:lineRule="auto"/>
        <w:ind w:firstLine="480" w:firstLineChars="200"/>
        <w:jc w:val="left"/>
        <w:outlineLvl w:val="1"/>
        <w:rPr>
          <w:rFonts w:eastAsia="仿宋_GB2312"/>
          <w:sz w:val="24"/>
        </w:rPr>
      </w:pPr>
      <w:r>
        <w:rPr>
          <w:rFonts w:eastAsia="仿宋_GB2312"/>
          <w:sz w:val="24"/>
        </w:rPr>
        <w:t>2.制定并发出绩效评价项目资料清单。</w:t>
      </w:r>
    </w:p>
    <w:p>
      <w:pPr>
        <w:spacing w:line="360" w:lineRule="auto"/>
        <w:ind w:firstLine="480" w:firstLineChars="200"/>
        <w:jc w:val="left"/>
        <w:outlineLvl w:val="1"/>
        <w:rPr>
          <w:rFonts w:eastAsia="仿宋_GB2312"/>
          <w:sz w:val="24"/>
        </w:rPr>
      </w:pPr>
      <w:r>
        <w:rPr>
          <w:rFonts w:eastAsia="仿宋_GB2312"/>
          <w:sz w:val="24"/>
        </w:rPr>
        <w:t>3.收集、整理、分析评价项目资料，确定评价重要领域。</w:t>
      </w:r>
    </w:p>
    <w:p>
      <w:pPr>
        <w:spacing w:line="360" w:lineRule="auto"/>
        <w:ind w:firstLine="480" w:firstLineChars="200"/>
        <w:jc w:val="left"/>
        <w:outlineLvl w:val="1"/>
        <w:rPr>
          <w:rFonts w:eastAsia="仿宋_GB2312"/>
          <w:sz w:val="24"/>
        </w:rPr>
      </w:pPr>
      <w:r>
        <w:rPr>
          <w:rFonts w:eastAsia="仿宋_GB2312"/>
          <w:sz w:val="24"/>
        </w:rPr>
        <w:t>4.根据被评价责任主体提供的资料和确定的评价重要领域，进行现场审核。</w:t>
      </w:r>
    </w:p>
    <w:p>
      <w:pPr>
        <w:spacing w:line="360" w:lineRule="auto"/>
        <w:ind w:firstLine="480" w:firstLineChars="200"/>
        <w:jc w:val="left"/>
        <w:outlineLvl w:val="1"/>
        <w:rPr>
          <w:rFonts w:eastAsia="仿宋_GB2312"/>
          <w:sz w:val="24"/>
        </w:rPr>
      </w:pPr>
      <w:r>
        <w:rPr>
          <w:rFonts w:eastAsia="仿宋_GB2312"/>
          <w:sz w:val="24"/>
        </w:rPr>
        <w:t>5.建立财政项目支出指标评价体系。</w:t>
      </w:r>
    </w:p>
    <w:p>
      <w:pPr>
        <w:spacing w:line="360" w:lineRule="auto"/>
        <w:ind w:firstLine="480" w:firstLineChars="200"/>
        <w:jc w:val="left"/>
        <w:outlineLvl w:val="1"/>
        <w:rPr>
          <w:rFonts w:eastAsia="仿宋_GB2312"/>
          <w:sz w:val="24"/>
        </w:rPr>
      </w:pPr>
      <w:r>
        <w:rPr>
          <w:rFonts w:eastAsia="仿宋_GB2312"/>
          <w:sz w:val="24"/>
        </w:rPr>
        <w:t>6.综合评价。对收集到的数据和依据进行甄别、汇总和分析，按绩效评价相关规定及要求运用科学合理的评价方法对项目绩效进行综合评价，对各项指标进行具体计算、分析并给出各指标的评价结果及项目的绩效评价结论，并提出建议。</w:t>
      </w:r>
    </w:p>
    <w:p>
      <w:pPr>
        <w:spacing w:line="360" w:lineRule="auto"/>
        <w:ind w:firstLine="480" w:firstLineChars="200"/>
        <w:jc w:val="left"/>
        <w:outlineLvl w:val="1"/>
        <w:rPr>
          <w:rFonts w:eastAsia="仿宋_GB2312"/>
          <w:sz w:val="24"/>
        </w:rPr>
      </w:pPr>
      <w:r>
        <w:rPr>
          <w:rFonts w:eastAsia="仿宋_GB2312"/>
          <w:sz w:val="24"/>
        </w:rPr>
        <w:t>7.绩效评价报告的编制和提交。</w:t>
      </w:r>
    </w:p>
    <w:p>
      <w:pPr>
        <w:spacing w:line="360" w:lineRule="auto"/>
        <w:ind w:firstLine="482" w:firstLineChars="200"/>
        <w:jc w:val="left"/>
        <w:outlineLvl w:val="1"/>
        <w:rPr>
          <w:rFonts w:eastAsia="仿宋_GB2312"/>
          <w:b/>
          <w:sz w:val="24"/>
        </w:rPr>
      </w:pPr>
      <w:r>
        <w:rPr>
          <w:rFonts w:eastAsia="仿宋_GB2312"/>
          <w:b/>
          <w:sz w:val="24"/>
        </w:rPr>
        <w:t>（五）数据的收集方法</w:t>
      </w:r>
    </w:p>
    <w:p>
      <w:pPr>
        <w:spacing w:line="360" w:lineRule="auto"/>
        <w:ind w:firstLine="480" w:firstLineChars="200"/>
        <w:jc w:val="left"/>
        <w:outlineLvl w:val="1"/>
        <w:rPr>
          <w:rFonts w:eastAsia="仿宋_GB2312"/>
          <w:sz w:val="24"/>
        </w:rPr>
      </w:pPr>
      <w:r>
        <w:rPr>
          <w:rFonts w:eastAsia="仿宋_GB2312"/>
          <w:sz w:val="24"/>
        </w:rPr>
        <w:t>通过审阅、观察、访谈和问卷调查等方法获取项目的相关证据资料。</w:t>
      </w:r>
    </w:p>
    <w:p>
      <w:pPr>
        <w:spacing w:line="360" w:lineRule="auto"/>
        <w:ind w:firstLine="482" w:firstLineChars="200"/>
        <w:rPr>
          <w:rFonts w:eastAsia="仿宋_GB2312"/>
          <w:b/>
          <w:sz w:val="24"/>
        </w:rPr>
      </w:pPr>
      <w:r>
        <w:rPr>
          <w:rFonts w:eastAsia="仿宋_GB2312"/>
          <w:b/>
          <w:sz w:val="24"/>
        </w:rPr>
        <w:t>（六）绩效评价方法、评价指标体系及评价标准</w:t>
      </w:r>
    </w:p>
    <w:p>
      <w:pPr>
        <w:spacing w:line="360" w:lineRule="auto"/>
        <w:ind w:right="29" w:rightChars="14" w:firstLine="480" w:firstLineChars="200"/>
        <w:rPr>
          <w:rFonts w:eastAsia="仿宋_GB2312"/>
          <w:sz w:val="24"/>
        </w:rPr>
      </w:pPr>
      <w:r>
        <w:rPr>
          <w:rFonts w:eastAsia="仿宋_GB2312"/>
          <w:sz w:val="24"/>
        </w:rPr>
        <w:t>1.本次采用的绩效评价方法有：成本效益分析法、目标比较法、因素分析法、现场核查法、查证法、公众评判法等，具体实施方法如下：</w:t>
      </w:r>
    </w:p>
    <w:p>
      <w:pPr>
        <w:spacing w:line="360" w:lineRule="auto"/>
        <w:ind w:right="29" w:rightChars="14" w:firstLine="480" w:firstLineChars="200"/>
        <w:rPr>
          <w:rFonts w:eastAsia="仿宋_GB2312"/>
          <w:sz w:val="24"/>
        </w:rPr>
      </w:pPr>
      <w:r>
        <w:rPr>
          <w:rFonts w:eastAsia="仿宋_GB2312"/>
          <w:sz w:val="24"/>
        </w:rPr>
        <w:t>（1）成本效益分析法：是指将一定时期内的支出与效益进行对比分析，以评价绩效目标实现程度。</w:t>
      </w:r>
    </w:p>
    <w:p>
      <w:pPr>
        <w:spacing w:line="360" w:lineRule="auto"/>
        <w:ind w:right="29" w:rightChars="14" w:firstLine="480" w:firstLineChars="200"/>
        <w:rPr>
          <w:rFonts w:eastAsia="仿宋_GB2312"/>
          <w:sz w:val="24"/>
        </w:rPr>
      </w:pPr>
      <w:r>
        <w:rPr>
          <w:rFonts w:eastAsia="仿宋_GB2312"/>
          <w:sz w:val="24"/>
        </w:rPr>
        <w:t>（2）项目比较法：是指通过对绩效目标与实施效果、历史与当期情况、不同部门和地区同类支出的比较，综合分析绩效目标实现程度。</w:t>
      </w:r>
    </w:p>
    <w:p>
      <w:pPr>
        <w:spacing w:line="360" w:lineRule="auto"/>
        <w:ind w:right="29" w:rightChars="14" w:firstLine="480" w:firstLineChars="200"/>
        <w:rPr>
          <w:rFonts w:eastAsia="仿宋_GB2312"/>
          <w:sz w:val="24"/>
        </w:rPr>
      </w:pPr>
      <w:r>
        <w:rPr>
          <w:rFonts w:eastAsia="仿宋_GB2312"/>
          <w:sz w:val="24"/>
        </w:rPr>
        <w:t>（3）因素分析法：是指通过综合分析影响绩效目标实现、实施效果的内外因素，评价绩效目标实现程度。</w:t>
      </w:r>
    </w:p>
    <w:p>
      <w:pPr>
        <w:spacing w:line="360" w:lineRule="auto"/>
        <w:ind w:right="29" w:rightChars="14" w:firstLine="480" w:firstLineChars="200"/>
        <w:rPr>
          <w:rFonts w:eastAsia="仿宋_GB2312"/>
          <w:sz w:val="24"/>
        </w:rPr>
      </w:pPr>
      <w:r>
        <w:rPr>
          <w:rFonts w:eastAsia="仿宋_GB2312"/>
          <w:sz w:val="24"/>
        </w:rPr>
        <w:t>（4）现场核查法：是指通过对项目现场实地查看，核实项目的建设情况及管理情况，从而对项目做出相应的判断和评价。</w:t>
      </w:r>
    </w:p>
    <w:p>
      <w:pPr>
        <w:spacing w:line="360" w:lineRule="auto"/>
        <w:ind w:right="29" w:rightChars="14" w:firstLine="480" w:firstLineChars="200"/>
        <w:rPr>
          <w:rFonts w:eastAsia="仿宋_GB2312"/>
          <w:sz w:val="24"/>
        </w:rPr>
      </w:pPr>
      <w:r>
        <w:rPr>
          <w:rFonts w:eastAsia="仿宋_GB2312"/>
          <w:sz w:val="24"/>
        </w:rPr>
        <w:t>（5）查证法：通过书面及口头，核查项目资料是否真实、合理，从而对项目做出相应的判断和评价。</w:t>
      </w:r>
    </w:p>
    <w:p>
      <w:pPr>
        <w:spacing w:line="360" w:lineRule="auto"/>
        <w:ind w:right="29" w:rightChars="14" w:firstLine="480" w:firstLineChars="200"/>
        <w:rPr>
          <w:rFonts w:eastAsia="仿宋_GB2312"/>
          <w:sz w:val="24"/>
        </w:rPr>
      </w:pPr>
      <w:r>
        <w:rPr>
          <w:rFonts w:eastAsia="仿宋_GB2312"/>
          <w:sz w:val="24"/>
        </w:rPr>
        <w:t>（6）公众评判法：是指通过专家评估、公众问卷等对专项资金使用效果进行评判，评价绩效目标实现程度。</w:t>
      </w:r>
    </w:p>
    <w:p>
      <w:pPr>
        <w:spacing w:line="360" w:lineRule="auto"/>
        <w:ind w:firstLine="480" w:firstLineChars="200"/>
        <w:jc w:val="left"/>
        <w:outlineLvl w:val="1"/>
        <w:rPr>
          <w:rFonts w:eastAsia="仿宋_GB2312"/>
          <w:sz w:val="24"/>
        </w:rPr>
      </w:pPr>
      <w:r>
        <w:rPr>
          <w:rFonts w:eastAsia="仿宋_GB2312"/>
          <w:sz w:val="24"/>
        </w:rPr>
        <w:t>2.评价指标体系根据相关性、重要性、可比性、系统性及经济性等设定原则，并参照《项目支出绩效管理办法》（财预［2020］10号）而设定。指标体系包括以下内容：一级指标4个：预算执行管理、项目产出、效益以及满意度；二级指标12个：</w:t>
      </w:r>
    </w:p>
    <w:p>
      <w:pPr>
        <w:spacing w:line="360" w:lineRule="auto"/>
        <w:jc w:val="left"/>
        <w:outlineLvl w:val="1"/>
        <w:rPr>
          <w:rFonts w:eastAsia="仿宋_GB2312"/>
          <w:sz w:val="24"/>
        </w:rPr>
      </w:pPr>
      <w:r>
        <w:rPr>
          <w:rFonts w:eastAsia="仿宋_GB2312"/>
          <w:sz w:val="24"/>
        </w:rPr>
        <w:t>项目立项、绩效目标、资金投入、资金管理、组织实施、产出数量、产出时效、产出质量、产出成本、社会效益、经济效益及满意度；三级指标20个。指标体系详见下表：</w:t>
      </w:r>
    </w:p>
    <w:tbl>
      <w:tblPr>
        <w:tblStyle w:val="6"/>
        <w:tblW w:w="8988"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2149"/>
        <w:gridCol w:w="780"/>
        <w:gridCol w:w="1656"/>
        <w:gridCol w:w="853"/>
        <w:gridCol w:w="2771"/>
        <w:gridCol w:w="779"/>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15" w:hRule="atLeast"/>
          <w:jc w:val="center"/>
        </w:trPr>
        <w:tc>
          <w:tcPr>
            <w:tcW w:w="2149" w:type="dxa"/>
            <w:tcMar>
              <w:top w:w="12" w:type="dxa"/>
              <w:left w:w="12" w:type="dxa"/>
              <w:right w:w="12" w:type="dxa"/>
            </w:tcMar>
            <w:vAlign w:val="center"/>
          </w:tcPr>
          <w:p>
            <w:pPr>
              <w:widowControl/>
              <w:spacing w:line="360" w:lineRule="auto"/>
              <w:jc w:val="center"/>
              <w:outlineLvl w:val="1"/>
              <w:rPr>
                <w:rFonts w:eastAsia="仿宋_GB2312"/>
                <w:b/>
                <w:color w:val="000000"/>
                <w:szCs w:val="21"/>
              </w:rPr>
            </w:pPr>
            <w:r>
              <w:rPr>
                <w:rFonts w:eastAsia="仿宋_GB2312"/>
                <w:b/>
                <w:color w:val="000000"/>
                <w:kern w:val="0"/>
                <w:szCs w:val="21"/>
              </w:rPr>
              <w:t>一级指标</w:t>
            </w:r>
          </w:p>
        </w:tc>
        <w:tc>
          <w:tcPr>
            <w:tcW w:w="780" w:type="dxa"/>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分值</w:t>
            </w:r>
          </w:p>
        </w:tc>
        <w:tc>
          <w:tcPr>
            <w:tcW w:w="1656" w:type="dxa"/>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二级指标</w:t>
            </w:r>
          </w:p>
        </w:tc>
        <w:tc>
          <w:tcPr>
            <w:tcW w:w="853" w:type="dxa"/>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分值</w:t>
            </w:r>
          </w:p>
        </w:tc>
        <w:tc>
          <w:tcPr>
            <w:tcW w:w="2771" w:type="dxa"/>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三级指标</w:t>
            </w:r>
          </w:p>
        </w:tc>
        <w:tc>
          <w:tcPr>
            <w:tcW w:w="779" w:type="dxa"/>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分值</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restart"/>
            <w:shd w:val="clear" w:color="auto" w:fill="auto"/>
            <w:tcMar>
              <w:top w:w="12" w:type="dxa"/>
              <w:left w:w="12" w:type="dxa"/>
              <w:right w:w="12" w:type="dxa"/>
            </w:tcMar>
            <w:textDirection w:val="tbRlV"/>
            <w:vAlign w:val="center"/>
          </w:tcPr>
          <w:p>
            <w:pPr>
              <w:widowControl/>
              <w:jc w:val="center"/>
              <w:textAlignment w:val="center"/>
              <w:rPr>
                <w:rFonts w:eastAsia="仿宋_GB2312"/>
                <w:color w:val="000000"/>
                <w:szCs w:val="21"/>
              </w:rPr>
            </w:pPr>
            <w:r>
              <w:rPr>
                <w:rFonts w:eastAsia="仿宋_GB2312"/>
                <w:color w:val="000000"/>
                <w:kern w:val="0"/>
                <w:szCs w:val="21"/>
              </w:rPr>
              <w:t>预算执行管理</w:t>
            </w:r>
          </w:p>
        </w:tc>
        <w:tc>
          <w:tcPr>
            <w:tcW w:w="780"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c>
          <w:tcPr>
            <w:tcW w:w="1656" w:type="dxa"/>
            <w:vMerge w:val="restart"/>
            <w:shd w:val="clear" w:color="auto" w:fill="FFFFFF"/>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项目</w:t>
            </w:r>
            <w:r>
              <w:rPr>
                <w:rFonts w:eastAsia="仿宋_GB2312"/>
                <w:color w:val="000000"/>
                <w:kern w:val="0"/>
                <w:szCs w:val="21"/>
              </w:rPr>
              <w:br w:type="textWrapping"/>
            </w:r>
            <w:r>
              <w:rPr>
                <w:rFonts w:eastAsia="仿宋_GB2312"/>
                <w:color w:val="000000"/>
                <w:kern w:val="0"/>
                <w:szCs w:val="21"/>
              </w:rPr>
              <w:t>立项</w:t>
            </w:r>
          </w:p>
        </w:tc>
        <w:tc>
          <w:tcPr>
            <w:tcW w:w="853"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立项依据充分性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continue"/>
            <w:shd w:val="clear" w:color="auto" w:fill="FFFFFF"/>
            <w:noWrap/>
            <w:tcMar>
              <w:top w:w="12" w:type="dxa"/>
              <w:left w:w="12" w:type="dxa"/>
              <w:right w:w="12" w:type="dxa"/>
            </w:tcMar>
            <w:vAlign w:val="center"/>
          </w:tcPr>
          <w:p>
            <w:pPr>
              <w:jc w:val="center"/>
              <w:rPr>
                <w:rFonts w:eastAsia="仿宋_GB2312"/>
                <w:color w:val="000000"/>
                <w:szCs w:val="21"/>
              </w:rPr>
            </w:pPr>
          </w:p>
        </w:tc>
        <w:tc>
          <w:tcPr>
            <w:tcW w:w="853"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项目立项规范性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绩效目标</w:t>
            </w:r>
          </w:p>
        </w:tc>
        <w:tc>
          <w:tcPr>
            <w:tcW w:w="853"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绩效目标合理性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853"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绩效指标明确性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资金投入</w:t>
            </w:r>
          </w:p>
        </w:tc>
        <w:tc>
          <w:tcPr>
            <w:tcW w:w="853" w:type="dxa"/>
            <w:vMerge w:val="restart"/>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预算编制科学性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853"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2771"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资金分配合理性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shd w:val="clear" w:color="auto" w:fill="auto"/>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资金管理</w:t>
            </w:r>
          </w:p>
        </w:tc>
        <w:tc>
          <w:tcPr>
            <w:tcW w:w="853" w:type="dxa"/>
            <w:shd w:val="clear" w:color="auto" w:fill="FFFFFF"/>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资金使用合规性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组织实施</w:t>
            </w:r>
          </w:p>
        </w:tc>
        <w:tc>
          <w:tcPr>
            <w:tcW w:w="853"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管理制度健全性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shd w:val="clear" w:color="auto" w:fill="auto"/>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shd w:val="clear" w:color="auto" w:fill="FFFFFF"/>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vMerge w:val="continue"/>
            <w:tcMar>
              <w:top w:w="12" w:type="dxa"/>
              <w:left w:w="12" w:type="dxa"/>
              <w:right w:w="12" w:type="dxa"/>
            </w:tcMar>
            <w:vAlign w:val="center"/>
          </w:tcPr>
          <w:p>
            <w:pPr>
              <w:jc w:val="center"/>
              <w:rPr>
                <w:rFonts w:eastAsia="仿宋_GB2312"/>
                <w:color w:val="000000"/>
                <w:szCs w:val="21"/>
              </w:rPr>
            </w:pP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制度执行的有效性</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restart"/>
            <w:tcMar>
              <w:top w:w="12" w:type="dxa"/>
              <w:left w:w="12" w:type="dxa"/>
              <w:right w:w="12" w:type="dxa"/>
            </w:tcMar>
            <w:textDirection w:val="tbRlV"/>
            <w:vAlign w:val="center"/>
          </w:tcPr>
          <w:p>
            <w:pPr>
              <w:widowControl/>
              <w:jc w:val="center"/>
              <w:textAlignment w:val="center"/>
              <w:rPr>
                <w:rFonts w:eastAsia="仿宋_GB2312"/>
                <w:color w:val="000000"/>
                <w:szCs w:val="21"/>
              </w:rPr>
            </w:pPr>
            <w:r>
              <w:rPr>
                <w:rFonts w:eastAsia="仿宋_GB2312"/>
                <w:color w:val="000000"/>
                <w:kern w:val="0"/>
                <w:szCs w:val="21"/>
              </w:rPr>
              <w:t>产出</w:t>
            </w:r>
          </w:p>
        </w:tc>
        <w:tc>
          <w:tcPr>
            <w:tcW w:w="780"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50</w:t>
            </w:r>
          </w:p>
        </w:tc>
        <w:tc>
          <w:tcPr>
            <w:tcW w:w="1656"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产出数量</w:t>
            </w: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保险覆盖率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产出时效</w:t>
            </w: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完成及时率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产出质量</w:t>
            </w: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项目招投标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赔付率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0"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质量达标率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理赔兑现率</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产出成本</w:t>
            </w:r>
          </w:p>
        </w:tc>
        <w:tc>
          <w:tcPr>
            <w:tcW w:w="853"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历史成本比较</w:t>
            </w:r>
          </w:p>
        </w:tc>
        <w:tc>
          <w:tcPr>
            <w:tcW w:w="77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10</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restart"/>
            <w:tcMar>
              <w:top w:w="12" w:type="dxa"/>
              <w:left w:w="12" w:type="dxa"/>
              <w:right w:w="12" w:type="dxa"/>
            </w:tcMar>
            <w:textDirection w:val="tbRlV"/>
            <w:vAlign w:val="center"/>
          </w:tcPr>
          <w:p>
            <w:pPr>
              <w:widowControl/>
              <w:jc w:val="center"/>
              <w:textAlignment w:val="center"/>
              <w:rPr>
                <w:rFonts w:eastAsia="仿宋_GB2312"/>
                <w:color w:val="000000"/>
                <w:szCs w:val="21"/>
              </w:rPr>
            </w:pPr>
            <w:r>
              <w:rPr>
                <w:rFonts w:eastAsia="仿宋_GB2312"/>
                <w:color w:val="000000"/>
                <w:kern w:val="0"/>
                <w:szCs w:val="21"/>
              </w:rPr>
              <w:t>效益</w:t>
            </w:r>
          </w:p>
        </w:tc>
        <w:tc>
          <w:tcPr>
            <w:tcW w:w="780"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20</w:t>
            </w:r>
          </w:p>
        </w:tc>
        <w:tc>
          <w:tcPr>
            <w:tcW w:w="1656"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社会效益</w:t>
            </w:r>
          </w:p>
        </w:tc>
        <w:tc>
          <w:tcPr>
            <w:tcW w:w="853"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完善公路风险保障体系</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保障公路安全畅通</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restart"/>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经济效益</w:t>
            </w:r>
          </w:p>
        </w:tc>
        <w:tc>
          <w:tcPr>
            <w:tcW w:w="853"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缓解财政资金压力</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149" w:type="dxa"/>
            <w:vMerge w:val="continue"/>
            <w:tcMar>
              <w:top w:w="12" w:type="dxa"/>
              <w:left w:w="12" w:type="dxa"/>
              <w:right w:w="12" w:type="dxa"/>
            </w:tcMar>
            <w:textDirection w:val="tbRlV"/>
            <w:vAlign w:val="center"/>
          </w:tcPr>
          <w:p>
            <w:pPr>
              <w:jc w:val="center"/>
              <w:rPr>
                <w:rFonts w:eastAsia="仿宋_GB2312"/>
                <w:color w:val="000000"/>
                <w:szCs w:val="21"/>
              </w:rPr>
            </w:pPr>
          </w:p>
        </w:tc>
        <w:tc>
          <w:tcPr>
            <w:tcW w:w="780" w:type="dxa"/>
            <w:vMerge w:val="continue"/>
            <w:tcMar>
              <w:top w:w="12" w:type="dxa"/>
              <w:left w:w="12" w:type="dxa"/>
              <w:right w:w="12" w:type="dxa"/>
            </w:tcMar>
            <w:vAlign w:val="center"/>
          </w:tcPr>
          <w:p>
            <w:pPr>
              <w:jc w:val="center"/>
              <w:rPr>
                <w:rFonts w:eastAsia="仿宋_GB2312"/>
                <w:color w:val="000000"/>
                <w:szCs w:val="21"/>
              </w:rPr>
            </w:pPr>
          </w:p>
        </w:tc>
        <w:tc>
          <w:tcPr>
            <w:tcW w:w="1656" w:type="dxa"/>
            <w:vMerge w:val="continue"/>
            <w:tcMar>
              <w:top w:w="12" w:type="dxa"/>
              <w:left w:w="12" w:type="dxa"/>
              <w:right w:w="12" w:type="dxa"/>
            </w:tcMar>
            <w:vAlign w:val="center"/>
          </w:tcPr>
          <w:p>
            <w:pPr>
              <w:jc w:val="center"/>
              <w:rPr>
                <w:rFonts w:eastAsia="仿宋_GB2312"/>
                <w:color w:val="000000"/>
                <w:szCs w:val="21"/>
              </w:rPr>
            </w:pPr>
          </w:p>
        </w:tc>
        <w:tc>
          <w:tcPr>
            <w:tcW w:w="853"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加强财政资金预算管理</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960" w:hRule="atLeast"/>
          <w:jc w:val="center"/>
        </w:trPr>
        <w:tc>
          <w:tcPr>
            <w:tcW w:w="2149" w:type="dxa"/>
            <w:tcMar>
              <w:top w:w="12" w:type="dxa"/>
              <w:left w:w="12" w:type="dxa"/>
              <w:right w:w="12" w:type="dxa"/>
            </w:tcMar>
            <w:textDirection w:val="tbRlV"/>
            <w:vAlign w:val="center"/>
          </w:tcPr>
          <w:p>
            <w:pPr>
              <w:widowControl/>
              <w:jc w:val="center"/>
              <w:textAlignment w:val="center"/>
              <w:rPr>
                <w:rFonts w:eastAsia="仿宋_GB2312"/>
                <w:color w:val="000000"/>
                <w:szCs w:val="21"/>
              </w:rPr>
            </w:pPr>
            <w:r>
              <w:rPr>
                <w:rFonts w:eastAsia="仿宋_GB2312"/>
                <w:color w:val="000000"/>
                <w:kern w:val="0"/>
                <w:szCs w:val="21"/>
              </w:rPr>
              <w:t>满意度</w:t>
            </w:r>
          </w:p>
        </w:tc>
        <w:tc>
          <w:tcPr>
            <w:tcW w:w="780"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20</w:t>
            </w:r>
          </w:p>
        </w:tc>
        <w:tc>
          <w:tcPr>
            <w:tcW w:w="1656"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受益对象满意度</w:t>
            </w:r>
          </w:p>
        </w:tc>
        <w:tc>
          <w:tcPr>
            <w:tcW w:w="853"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20</w:t>
            </w:r>
          </w:p>
        </w:tc>
        <w:tc>
          <w:tcPr>
            <w:tcW w:w="2771"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理赔对象满意度</w:t>
            </w:r>
          </w:p>
        </w:tc>
        <w:tc>
          <w:tcPr>
            <w:tcW w:w="779"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20</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760" w:hRule="atLeast"/>
          <w:jc w:val="center"/>
        </w:trPr>
        <w:tc>
          <w:tcPr>
            <w:tcW w:w="2149" w:type="dxa"/>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合计</w:t>
            </w:r>
          </w:p>
        </w:tc>
        <w:tc>
          <w:tcPr>
            <w:tcW w:w="780" w:type="dxa"/>
            <w:noWrap/>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100</w:t>
            </w:r>
          </w:p>
        </w:tc>
        <w:tc>
          <w:tcPr>
            <w:tcW w:w="1656" w:type="dxa"/>
            <w:noWrap/>
            <w:tcMar>
              <w:top w:w="12" w:type="dxa"/>
              <w:left w:w="12" w:type="dxa"/>
              <w:right w:w="12" w:type="dxa"/>
            </w:tcMar>
            <w:vAlign w:val="center"/>
          </w:tcPr>
          <w:p>
            <w:pPr>
              <w:jc w:val="center"/>
              <w:rPr>
                <w:rFonts w:eastAsia="仿宋_GB2312"/>
                <w:b/>
                <w:color w:val="000000"/>
                <w:szCs w:val="21"/>
              </w:rPr>
            </w:pPr>
          </w:p>
        </w:tc>
        <w:tc>
          <w:tcPr>
            <w:tcW w:w="853" w:type="dxa"/>
            <w:noWrap/>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100</w:t>
            </w:r>
          </w:p>
        </w:tc>
        <w:tc>
          <w:tcPr>
            <w:tcW w:w="2771" w:type="dxa"/>
            <w:noWrap/>
            <w:tcMar>
              <w:top w:w="12" w:type="dxa"/>
              <w:left w:w="12" w:type="dxa"/>
              <w:right w:w="12" w:type="dxa"/>
            </w:tcMar>
            <w:vAlign w:val="center"/>
          </w:tcPr>
          <w:p>
            <w:pPr>
              <w:jc w:val="center"/>
              <w:rPr>
                <w:rFonts w:eastAsia="仿宋_GB2312"/>
                <w:b/>
                <w:color w:val="000000"/>
                <w:szCs w:val="21"/>
              </w:rPr>
            </w:pPr>
          </w:p>
        </w:tc>
        <w:tc>
          <w:tcPr>
            <w:tcW w:w="779" w:type="dxa"/>
            <w:noWrap/>
            <w:tcMar>
              <w:top w:w="12" w:type="dxa"/>
              <w:left w:w="12" w:type="dxa"/>
              <w:right w:w="12" w:type="dxa"/>
            </w:tcMar>
            <w:vAlign w:val="center"/>
          </w:tcPr>
          <w:p>
            <w:pPr>
              <w:widowControl/>
              <w:jc w:val="center"/>
              <w:textAlignment w:val="center"/>
              <w:rPr>
                <w:rFonts w:eastAsia="仿宋_GB2312"/>
                <w:b/>
                <w:color w:val="000000"/>
                <w:szCs w:val="21"/>
              </w:rPr>
            </w:pPr>
            <w:r>
              <w:rPr>
                <w:rFonts w:eastAsia="仿宋_GB2312"/>
                <w:b/>
                <w:color w:val="000000"/>
                <w:kern w:val="0"/>
                <w:szCs w:val="21"/>
              </w:rPr>
              <w:t>100</w:t>
            </w:r>
          </w:p>
        </w:tc>
      </w:tr>
    </w:tbl>
    <w:p>
      <w:pPr>
        <w:spacing w:line="360" w:lineRule="auto"/>
        <w:ind w:firstLine="480" w:firstLineChars="200"/>
        <w:jc w:val="left"/>
        <w:outlineLvl w:val="1"/>
        <w:rPr>
          <w:rFonts w:eastAsia="仿宋_GB2312"/>
          <w:sz w:val="24"/>
        </w:rPr>
      </w:pPr>
      <w:r>
        <w:rPr>
          <w:rFonts w:eastAsia="仿宋_GB2312"/>
          <w:sz w:val="24"/>
        </w:rPr>
        <w:t>3.评价标准</w:t>
      </w:r>
    </w:p>
    <w:p>
      <w:pPr>
        <w:spacing w:line="360" w:lineRule="auto"/>
        <w:ind w:right="29" w:rightChars="14" w:firstLine="480" w:firstLineChars="200"/>
        <w:rPr>
          <w:rFonts w:eastAsia="仿宋_GB2312"/>
          <w:sz w:val="24"/>
        </w:rPr>
      </w:pPr>
      <w:r>
        <w:rPr>
          <w:rFonts w:eastAsia="仿宋_GB2312"/>
          <w:sz w:val="24"/>
        </w:rPr>
        <w:t>评价指标总分为100分，分4挡：评价得分90（含）-100分为优、评价得分80（含）-90分为良、评价得分60（含）-80分为中、60分以下为差。</w:t>
      </w:r>
    </w:p>
    <w:p>
      <w:pPr>
        <w:spacing w:line="360" w:lineRule="auto"/>
        <w:ind w:firstLine="482" w:firstLineChars="200"/>
        <w:rPr>
          <w:rFonts w:eastAsia="仿宋_GB2312"/>
          <w:b/>
          <w:sz w:val="24"/>
        </w:rPr>
      </w:pPr>
      <w:r>
        <w:rPr>
          <w:rFonts w:eastAsia="仿宋_GB2312"/>
          <w:b/>
          <w:sz w:val="24"/>
        </w:rPr>
        <w:t>（七）绩效评价工作过程</w:t>
      </w:r>
    </w:p>
    <w:p>
      <w:pPr>
        <w:spacing w:line="360" w:lineRule="auto"/>
        <w:ind w:firstLine="480" w:firstLineChars="200"/>
        <w:rPr>
          <w:rFonts w:eastAsia="仿宋_GB2312"/>
          <w:sz w:val="24"/>
        </w:rPr>
      </w:pPr>
      <w:r>
        <w:rPr>
          <w:rFonts w:eastAsia="仿宋_GB2312"/>
          <w:sz w:val="24"/>
        </w:rPr>
        <w:t>绩效评价工作由重庆市渝北区财政局统一组织，由注册会计师和专家等共同参与组成绩效评价工作组，具体负责绩效评价工作的实施。</w:t>
      </w:r>
    </w:p>
    <w:p>
      <w:pPr>
        <w:spacing w:line="360" w:lineRule="auto"/>
        <w:ind w:firstLine="480" w:firstLineChars="200"/>
        <w:rPr>
          <w:rFonts w:eastAsia="仿宋_GB2312"/>
          <w:sz w:val="24"/>
        </w:rPr>
      </w:pPr>
      <w:r>
        <w:rPr>
          <w:rFonts w:eastAsia="仿宋_GB2312"/>
          <w:sz w:val="24"/>
        </w:rPr>
        <w:t>2020年6月10日，绩效评价工作组在渝北区财政局召开绩效评价工作布置会，听取财政局对评价工作要求。</w:t>
      </w:r>
    </w:p>
    <w:p>
      <w:pPr>
        <w:widowControl/>
        <w:spacing w:line="360" w:lineRule="auto"/>
        <w:ind w:firstLine="480" w:firstLineChars="200"/>
        <w:jc w:val="left"/>
        <w:rPr>
          <w:rFonts w:eastAsia="仿宋_GB2312"/>
          <w:bCs/>
          <w:sz w:val="24"/>
        </w:rPr>
      </w:pPr>
      <w:r>
        <w:rPr>
          <w:rFonts w:eastAsia="仿宋_GB2312"/>
          <w:bCs/>
          <w:sz w:val="24"/>
        </w:rPr>
        <w:t>2020年6月10日-26日：与各被评价单位对接，收集基础资料，搭建指标体系及设置调查问卷。</w:t>
      </w:r>
    </w:p>
    <w:p>
      <w:pPr>
        <w:widowControl/>
        <w:spacing w:line="360" w:lineRule="auto"/>
        <w:ind w:firstLine="480" w:firstLineChars="200"/>
        <w:jc w:val="left"/>
        <w:rPr>
          <w:rFonts w:eastAsia="仿宋_GB2312"/>
          <w:bCs/>
          <w:sz w:val="24"/>
        </w:rPr>
      </w:pPr>
      <w:r>
        <w:rPr>
          <w:rFonts w:eastAsia="仿宋_GB2312"/>
          <w:bCs/>
          <w:sz w:val="24"/>
        </w:rPr>
        <w:t>2020年7月22日-7月23日：开展现场绩效评价工作。</w:t>
      </w:r>
    </w:p>
    <w:p>
      <w:pPr>
        <w:widowControl/>
        <w:spacing w:line="360" w:lineRule="auto"/>
        <w:ind w:firstLine="480" w:firstLineChars="200"/>
        <w:jc w:val="left"/>
        <w:rPr>
          <w:rFonts w:eastAsia="仿宋_GB2312"/>
          <w:bCs/>
          <w:sz w:val="24"/>
        </w:rPr>
      </w:pPr>
      <w:r>
        <w:rPr>
          <w:rFonts w:eastAsia="仿宋_GB2312"/>
          <w:bCs/>
          <w:sz w:val="24"/>
        </w:rPr>
        <w:t>2020年8月15日-31日：项目负责人对收集数据与现场评价情况进行综合分析，撰写绩效评价报告（征求意见稿），征求专家和委托单位意见，出具正式报告。</w:t>
      </w:r>
    </w:p>
    <w:p>
      <w:pPr>
        <w:widowControl/>
        <w:spacing w:line="360" w:lineRule="auto"/>
        <w:ind w:firstLine="480" w:firstLineChars="200"/>
        <w:jc w:val="left"/>
        <w:rPr>
          <w:rFonts w:eastAsia="仿宋_GB2312"/>
          <w:bCs/>
          <w:sz w:val="24"/>
        </w:rPr>
      </w:pPr>
    </w:p>
    <w:p>
      <w:pPr>
        <w:spacing w:line="360" w:lineRule="auto"/>
        <w:ind w:firstLine="472" w:firstLineChars="196"/>
        <w:rPr>
          <w:rFonts w:eastAsia="仿宋_GB2312"/>
          <w:b/>
          <w:sz w:val="24"/>
        </w:rPr>
      </w:pPr>
      <w:r>
        <w:rPr>
          <w:rFonts w:eastAsia="仿宋_GB2312"/>
          <w:b/>
          <w:bCs/>
          <w:sz w:val="24"/>
        </w:rPr>
        <w:t>三、综合</w:t>
      </w:r>
      <w:r>
        <w:rPr>
          <w:rFonts w:eastAsia="仿宋_GB2312"/>
          <w:b/>
          <w:sz w:val="24"/>
        </w:rPr>
        <w:t>评价情况及评价结论</w:t>
      </w:r>
    </w:p>
    <w:p>
      <w:pPr>
        <w:spacing w:line="360" w:lineRule="auto"/>
        <w:ind w:firstLine="480" w:firstLineChars="200"/>
        <w:rPr>
          <w:rFonts w:eastAsia="仿宋_GB2312"/>
          <w:sz w:val="24"/>
        </w:rPr>
      </w:pPr>
      <w:r>
        <w:rPr>
          <w:rFonts w:eastAsia="仿宋_GB2312"/>
          <w:sz w:val="24"/>
        </w:rPr>
        <w:t>通过评价，2016年至2019年渝北区公路综合保险项目综合得分</w:t>
      </w:r>
      <w:r>
        <w:rPr>
          <w:rFonts w:hint="eastAsia" w:eastAsia="仿宋_GB2312"/>
          <w:sz w:val="24"/>
        </w:rPr>
        <w:t>80.24</w:t>
      </w:r>
      <w:r>
        <w:rPr>
          <w:rFonts w:eastAsia="仿宋_GB2312"/>
          <w:sz w:val="24"/>
        </w:rPr>
        <w:t>分，绩效等级为</w:t>
      </w:r>
      <w:r>
        <w:rPr>
          <w:rFonts w:hint="eastAsia" w:eastAsia="仿宋_GB2312"/>
          <w:sz w:val="24"/>
        </w:rPr>
        <w:t>良</w:t>
      </w:r>
      <w:r>
        <w:rPr>
          <w:rFonts w:eastAsia="仿宋_GB2312"/>
          <w:sz w:val="24"/>
        </w:rPr>
        <w:t>。</w:t>
      </w:r>
    </w:p>
    <w:p>
      <w:pPr>
        <w:widowControl/>
        <w:spacing w:line="360" w:lineRule="auto"/>
        <w:ind w:firstLine="480"/>
        <w:jc w:val="left"/>
        <w:rPr>
          <w:rFonts w:eastAsia="仿宋_GB2312"/>
          <w:sz w:val="24"/>
        </w:rPr>
      </w:pPr>
      <w:r>
        <w:rPr>
          <w:rFonts w:eastAsia="仿宋_GB2312"/>
          <w:bCs/>
          <w:sz w:val="24"/>
        </w:rPr>
        <w:t>公路管理处</w:t>
      </w:r>
      <w:r>
        <w:rPr>
          <w:rFonts w:eastAsia="仿宋_GB2312"/>
          <w:sz w:val="24"/>
        </w:rPr>
        <w:t>坚持“正常年份保日常、灾害年份有保障”的总体思想，</w:t>
      </w:r>
      <w:r>
        <w:rPr>
          <w:rFonts w:eastAsia="仿宋_GB2312"/>
          <w:bCs/>
          <w:sz w:val="24"/>
        </w:rPr>
        <w:t>切实做好渝北区公路水毁理赔工作，积极开展公路综合保险业务培训，</w:t>
      </w:r>
      <w:r>
        <w:rPr>
          <w:rFonts w:eastAsia="仿宋_GB2312"/>
          <w:sz w:val="24"/>
        </w:rPr>
        <w:t>制定并建立一套较为完善的运行机制，保障公路综合保险项目顺利实施，有效构筑公路风险保障体系。但由于该期间属于</w:t>
      </w:r>
      <w:r>
        <w:rPr>
          <w:rFonts w:eastAsia="仿宋_GB2312"/>
          <w:bCs/>
          <w:sz w:val="24"/>
        </w:rPr>
        <w:t>一般年份（无大灾年份），公路受灾程度较小，且免赔金额较高，理赔范围较小，项目实施尚未达到</w:t>
      </w:r>
      <w:r>
        <w:rPr>
          <w:rFonts w:eastAsia="仿宋_GB2312"/>
          <w:sz w:val="24"/>
        </w:rPr>
        <w:t>缓解公路修复和养护管理资金压力、有利于财政资金预算管理、提高财政资金使用效益的效果。</w:t>
      </w:r>
    </w:p>
    <w:p>
      <w:pPr>
        <w:widowControl/>
        <w:spacing w:line="360" w:lineRule="auto"/>
        <w:ind w:firstLine="480"/>
        <w:jc w:val="left"/>
        <w:rPr>
          <w:rFonts w:eastAsia="仿宋_GB2312"/>
          <w:bCs/>
          <w:color w:val="FF0000"/>
          <w:sz w:val="24"/>
        </w:rPr>
      </w:pPr>
    </w:p>
    <w:p>
      <w:pPr>
        <w:numPr>
          <w:ilvl w:val="0"/>
          <w:numId w:val="5"/>
        </w:numPr>
        <w:spacing w:line="360" w:lineRule="auto"/>
        <w:ind w:firstLine="472" w:firstLineChars="196"/>
        <w:rPr>
          <w:rFonts w:eastAsia="仿宋_GB2312"/>
          <w:b/>
          <w:sz w:val="24"/>
        </w:rPr>
      </w:pPr>
      <w:r>
        <w:rPr>
          <w:rFonts w:eastAsia="仿宋_GB2312"/>
          <w:b/>
          <w:bCs/>
          <w:sz w:val="24"/>
        </w:rPr>
        <w:t>绩效评价指标</w:t>
      </w:r>
      <w:r>
        <w:rPr>
          <w:rFonts w:eastAsia="仿宋_GB2312"/>
          <w:b/>
          <w:sz w:val="24"/>
        </w:rPr>
        <w:t>分析</w:t>
      </w:r>
    </w:p>
    <w:p>
      <w:pPr>
        <w:spacing w:line="360" w:lineRule="auto"/>
        <w:ind w:firstLine="480" w:firstLineChars="200"/>
        <w:rPr>
          <w:rFonts w:eastAsia="仿宋_GB2312"/>
          <w:b/>
          <w:sz w:val="24"/>
        </w:rPr>
      </w:pPr>
      <w:r>
        <w:rPr>
          <w:rFonts w:eastAsia="仿宋_GB2312"/>
          <w:sz w:val="24"/>
        </w:rPr>
        <w:t>经绩效评价小组现场评价，并与专家讨论后，绩效评分详情如下：</w:t>
      </w:r>
    </w:p>
    <w:p>
      <w:pPr>
        <w:spacing w:line="360" w:lineRule="auto"/>
        <w:ind w:firstLine="482" w:firstLineChars="200"/>
        <w:rPr>
          <w:rFonts w:eastAsia="仿宋_GB2312"/>
          <w:sz w:val="24"/>
        </w:rPr>
      </w:pPr>
      <w:r>
        <w:rPr>
          <w:rFonts w:eastAsia="仿宋_GB2312"/>
          <w:b/>
          <w:sz w:val="24"/>
        </w:rPr>
        <w:t>（一）预算执行管理</w:t>
      </w:r>
    </w:p>
    <w:p>
      <w:pPr>
        <w:spacing w:line="360" w:lineRule="auto"/>
        <w:ind w:firstLine="480" w:firstLineChars="200"/>
        <w:rPr>
          <w:rFonts w:eastAsia="仿宋_GB2312"/>
          <w:sz w:val="24"/>
        </w:rPr>
      </w:pPr>
      <w:r>
        <w:rPr>
          <w:rFonts w:eastAsia="仿宋_GB2312"/>
          <w:sz w:val="24"/>
        </w:rPr>
        <w:t>1.项目立项</w:t>
      </w:r>
    </w:p>
    <w:p>
      <w:pPr>
        <w:spacing w:line="360" w:lineRule="auto"/>
        <w:ind w:firstLine="480" w:firstLineChars="200"/>
        <w:rPr>
          <w:rFonts w:eastAsia="仿宋_GB2312"/>
          <w:sz w:val="24"/>
        </w:rPr>
      </w:pPr>
      <w:r>
        <w:rPr>
          <w:rFonts w:eastAsia="仿宋_GB2312"/>
          <w:sz w:val="24"/>
        </w:rPr>
        <w:t>按照《重庆市渝北区人民政府第114次常务会议纪要》精神“鉴于购买公路综合保险系改进公共服务方式的有益探索，且我区地质条件相对复杂，近年来水毁灾害较多，公路修建难度大，购买公路综合保险很有必要。会议决定：（一）区交委牵头，区政府法制办、区财政局配合，按照会议审议意见与保险公司进一步洽谈保险条款明细、赔偿范围及单价等事宜，尽快开展我区公路综合保险试点工作。”确定由公路管理处实施全渝北区公路购买综合保险项目。</w:t>
      </w:r>
    </w:p>
    <w:p>
      <w:pPr>
        <w:spacing w:line="360" w:lineRule="auto"/>
        <w:ind w:firstLine="480" w:firstLineChars="200"/>
        <w:rPr>
          <w:rFonts w:eastAsia="仿宋_GB2312"/>
          <w:sz w:val="24"/>
        </w:rPr>
      </w:pPr>
      <w:r>
        <w:rPr>
          <w:rFonts w:eastAsia="仿宋_GB2312"/>
          <w:sz w:val="24"/>
        </w:rPr>
        <w:t>该项目为渝北区探索试点项目，无国家法律法规及相关政策规定；该项目立项与公路管理处职责范围相符，属于部门履职所需；该项目未与相关部门同类项目或部门内部相关项目重复；该项目按照规定的程序申请设立，并经过事前考察研究。</w:t>
      </w:r>
    </w:p>
    <w:p>
      <w:pPr>
        <w:spacing w:line="360" w:lineRule="auto"/>
        <w:ind w:firstLine="480" w:firstLineChars="200"/>
        <w:rPr>
          <w:rFonts w:eastAsia="仿宋_GB2312"/>
          <w:sz w:val="24"/>
        </w:rPr>
      </w:pPr>
      <w:r>
        <w:rPr>
          <w:rFonts w:eastAsia="仿宋_GB2312"/>
          <w:sz w:val="24"/>
        </w:rPr>
        <w:t>该指标设定分值2分，经综合评价，指标得分为1.6分。扣分原因为：该项目为渝北区探索试点项目，无国家法律法规及相关政策规定。</w:t>
      </w:r>
    </w:p>
    <w:p>
      <w:pPr>
        <w:spacing w:line="360" w:lineRule="auto"/>
        <w:ind w:left="480"/>
        <w:rPr>
          <w:rFonts w:eastAsia="仿宋_GB2312"/>
          <w:sz w:val="24"/>
        </w:rPr>
      </w:pPr>
      <w:r>
        <w:rPr>
          <w:rFonts w:eastAsia="仿宋_GB2312"/>
          <w:sz w:val="24"/>
        </w:rPr>
        <w:t>2.绩效目标</w:t>
      </w:r>
    </w:p>
    <w:p>
      <w:pPr>
        <w:spacing w:line="360" w:lineRule="auto"/>
        <w:ind w:firstLine="480" w:firstLineChars="200"/>
        <w:jc w:val="left"/>
        <w:rPr>
          <w:rFonts w:eastAsia="仿宋_GB2312"/>
          <w:sz w:val="24"/>
        </w:rPr>
      </w:pPr>
      <w:r>
        <w:rPr>
          <w:rFonts w:eastAsia="仿宋_GB2312"/>
          <w:sz w:val="24"/>
        </w:rPr>
        <w:t>公路管理处未设立相应的绩效目标。</w:t>
      </w:r>
    </w:p>
    <w:p>
      <w:pPr>
        <w:spacing w:line="360" w:lineRule="auto"/>
        <w:ind w:firstLine="480" w:firstLineChars="200"/>
        <w:jc w:val="left"/>
        <w:rPr>
          <w:rFonts w:eastAsia="仿宋_GB2312"/>
          <w:sz w:val="24"/>
        </w:rPr>
      </w:pPr>
      <w:r>
        <w:rPr>
          <w:rFonts w:eastAsia="仿宋_GB2312"/>
          <w:sz w:val="24"/>
        </w:rPr>
        <w:t>该指标设定分值2分，经综合评价，指标得分为0分。</w:t>
      </w:r>
    </w:p>
    <w:p>
      <w:pPr>
        <w:spacing w:line="360" w:lineRule="auto"/>
        <w:ind w:firstLine="480" w:firstLineChars="200"/>
        <w:rPr>
          <w:rFonts w:eastAsia="仿宋_GB2312"/>
          <w:sz w:val="24"/>
        </w:rPr>
      </w:pPr>
      <w:r>
        <w:rPr>
          <w:rFonts w:eastAsia="仿宋_GB2312"/>
          <w:sz w:val="24"/>
        </w:rPr>
        <w:t>3.资金投入</w:t>
      </w:r>
    </w:p>
    <w:p>
      <w:pPr>
        <w:spacing w:line="360" w:lineRule="auto"/>
        <w:ind w:firstLine="480" w:firstLineChars="200"/>
        <w:rPr>
          <w:rFonts w:eastAsia="仿宋_GB2312"/>
          <w:sz w:val="24"/>
        </w:rPr>
      </w:pPr>
      <w:r>
        <w:rPr>
          <w:rFonts w:eastAsia="仿宋_GB2312"/>
          <w:sz w:val="24"/>
        </w:rPr>
        <w:t>自2016年起，公路管理处通过估算的公路总资产，乘以保险费率，算得最高保费限价。经检查，渝北区公路综合保险项目2016年至2019年度实际执行资金较编制预算资金差异率均超30%以上。具体明细如下：</w:t>
      </w:r>
    </w:p>
    <w:tbl>
      <w:tblPr>
        <w:tblStyle w:val="6"/>
        <w:tblW w:w="8918"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1920"/>
        <w:gridCol w:w="2400"/>
        <w:gridCol w:w="2376"/>
        <w:gridCol w:w="2222"/>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年份</w:t>
            </w:r>
          </w:p>
        </w:tc>
        <w:tc>
          <w:tcPr>
            <w:tcW w:w="240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预算资金</w:t>
            </w:r>
          </w:p>
        </w:tc>
        <w:tc>
          <w:tcPr>
            <w:tcW w:w="2376"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中标价</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差异率</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2016</w:t>
            </w:r>
          </w:p>
        </w:tc>
        <w:tc>
          <w:tcPr>
            <w:tcW w:w="240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364.00</w:t>
            </w:r>
          </w:p>
        </w:tc>
        <w:tc>
          <w:tcPr>
            <w:tcW w:w="2376"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245.00</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33%</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2017</w:t>
            </w:r>
          </w:p>
        </w:tc>
        <w:tc>
          <w:tcPr>
            <w:tcW w:w="240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260.00</w:t>
            </w:r>
          </w:p>
        </w:tc>
        <w:tc>
          <w:tcPr>
            <w:tcW w:w="2376"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178.00</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32%</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2018</w:t>
            </w:r>
          </w:p>
        </w:tc>
        <w:tc>
          <w:tcPr>
            <w:tcW w:w="240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260.00</w:t>
            </w:r>
          </w:p>
        </w:tc>
        <w:tc>
          <w:tcPr>
            <w:tcW w:w="2376"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143.00</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45%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2019</w:t>
            </w:r>
          </w:p>
        </w:tc>
        <w:tc>
          <w:tcPr>
            <w:tcW w:w="2400"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245.00</w:t>
            </w:r>
          </w:p>
        </w:tc>
        <w:tc>
          <w:tcPr>
            <w:tcW w:w="2376" w:type="dxa"/>
            <w:noWrap/>
            <w:tcMar>
              <w:top w:w="12" w:type="dxa"/>
              <w:left w:w="12" w:type="dxa"/>
              <w:right w:w="12" w:type="dxa"/>
            </w:tcMar>
          </w:tcPr>
          <w:p>
            <w:pPr>
              <w:widowControl/>
              <w:jc w:val="center"/>
              <w:textAlignment w:val="top"/>
              <w:rPr>
                <w:rFonts w:eastAsia="仿宋_GB2312"/>
                <w:color w:val="000000"/>
                <w:szCs w:val="21"/>
              </w:rPr>
            </w:pPr>
            <w:r>
              <w:rPr>
                <w:rFonts w:eastAsia="仿宋_GB2312"/>
                <w:color w:val="000000"/>
                <w:kern w:val="0"/>
                <w:szCs w:val="21"/>
              </w:rPr>
              <w:t>120.00</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51%</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1920" w:type="dxa"/>
            <w:noWrap/>
            <w:tcMar>
              <w:top w:w="12" w:type="dxa"/>
              <w:left w:w="12" w:type="dxa"/>
              <w:right w:w="12" w:type="dxa"/>
            </w:tcMar>
          </w:tcPr>
          <w:p>
            <w:pPr>
              <w:widowControl/>
              <w:jc w:val="center"/>
              <w:textAlignment w:val="top"/>
              <w:rPr>
                <w:rFonts w:eastAsia="仿宋_GB2312"/>
                <w:b/>
                <w:color w:val="000000"/>
                <w:szCs w:val="21"/>
              </w:rPr>
            </w:pPr>
            <w:r>
              <w:rPr>
                <w:rFonts w:eastAsia="仿宋_GB2312"/>
                <w:b/>
                <w:color w:val="000000"/>
                <w:kern w:val="0"/>
                <w:szCs w:val="21"/>
              </w:rPr>
              <w:t>合计</w:t>
            </w:r>
          </w:p>
        </w:tc>
        <w:tc>
          <w:tcPr>
            <w:tcW w:w="2400" w:type="dxa"/>
            <w:noWrap/>
            <w:tcMar>
              <w:top w:w="12" w:type="dxa"/>
              <w:left w:w="12" w:type="dxa"/>
              <w:right w:w="12" w:type="dxa"/>
            </w:tcMar>
          </w:tcPr>
          <w:p>
            <w:pPr>
              <w:widowControl/>
              <w:jc w:val="center"/>
              <w:textAlignment w:val="top"/>
              <w:rPr>
                <w:rFonts w:eastAsia="仿宋_GB2312"/>
                <w:b/>
                <w:color w:val="000000"/>
                <w:szCs w:val="21"/>
              </w:rPr>
            </w:pPr>
            <w:r>
              <w:rPr>
                <w:rFonts w:eastAsia="仿宋_GB2312"/>
                <w:b/>
                <w:color w:val="000000"/>
                <w:kern w:val="0"/>
                <w:szCs w:val="21"/>
              </w:rPr>
              <w:t>1,129.00</w:t>
            </w:r>
          </w:p>
        </w:tc>
        <w:tc>
          <w:tcPr>
            <w:tcW w:w="2376" w:type="dxa"/>
            <w:noWrap/>
            <w:tcMar>
              <w:top w:w="12" w:type="dxa"/>
              <w:left w:w="12" w:type="dxa"/>
              <w:right w:w="12" w:type="dxa"/>
            </w:tcMar>
          </w:tcPr>
          <w:p>
            <w:pPr>
              <w:widowControl/>
              <w:jc w:val="center"/>
              <w:textAlignment w:val="top"/>
              <w:rPr>
                <w:rFonts w:eastAsia="仿宋_GB2312"/>
                <w:b/>
                <w:color w:val="000000"/>
                <w:szCs w:val="21"/>
              </w:rPr>
            </w:pPr>
            <w:r>
              <w:rPr>
                <w:rFonts w:eastAsia="仿宋_GB2312"/>
                <w:b/>
                <w:color w:val="000000"/>
                <w:kern w:val="0"/>
                <w:szCs w:val="21"/>
              </w:rPr>
              <w:t>686.00</w:t>
            </w:r>
          </w:p>
        </w:tc>
        <w:tc>
          <w:tcPr>
            <w:tcW w:w="2222" w:type="dxa"/>
            <w:noWrap/>
            <w:tcMar>
              <w:top w:w="12" w:type="dxa"/>
              <w:left w:w="12" w:type="dxa"/>
              <w:right w:w="12" w:type="dxa"/>
            </w:tcMar>
            <w:vAlign w:val="center"/>
          </w:tcPr>
          <w:p>
            <w:pPr>
              <w:widowControl/>
              <w:jc w:val="center"/>
              <w:textAlignment w:val="center"/>
              <w:rPr>
                <w:rFonts w:eastAsia="仿宋_GB2312"/>
                <w:color w:val="000000"/>
                <w:szCs w:val="21"/>
              </w:rPr>
            </w:pPr>
            <w:r>
              <w:rPr>
                <w:rFonts w:eastAsia="仿宋_GB2312"/>
                <w:color w:val="000000"/>
                <w:kern w:val="0"/>
                <w:szCs w:val="21"/>
              </w:rPr>
              <w:t>-</w:t>
            </w:r>
          </w:p>
        </w:tc>
      </w:tr>
    </w:tbl>
    <w:p>
      <w:pPr>
        <w:spacing w:line="360" w:lineRule="auto"/>
        <w:ind w:firstLine="480" w:firstLineChars="200"/>
        <w:rPr>
          <w:rFonts w:eastAsia="仿宋_GB2312"/>
          <w:sz w:val="24"/>
        </w:rPr>
      </w:pPr>
      <w:r>
        <w:rPr>
          <w:rFonts w:eastAsia="仿宋_GB2312"/>
          <w:sz w:val="24"/>
        </w:rPr>
        <w:t>该指标设定分值2分，经综合评价，指标得分为0分。扣分原因为：公路管理处预算编制不合理，渝北区公路综合保险项目2016年至2019年度实际执行资金较编制预算资金差异率均超30%以上，占用财政预算</w:t>
      </w:r>
      <w:r>
        <w:t>指标。</w:t>
      </w:r>
    </w:p>
    <w:p>
      <w:pPr>
        <w:spacing w:line="360" w:lineRule="auto"/>
        <w:ind w:firstLine="480" w:firstLineChars="200"/>
        <w:rPr>
          <w:rFonts w:eastAsia="仿宋_GB2312"/>
          <w:sz w:val="24"/>
        </w:rPr>
      </w:pPr>
      <w:r>
        <w:rPr>
          <w:rFonts w:eastAsia="仿宋_GB2312"/>
          <w:sz w:val="24"/>
        </w:rPr>
        <w:t>4.资金管理</w:t>
      </w:r>
    </w:p>
    <w:p>
      <w:pPr>
        <w:spacing w:line="360" w:lineRule="auto"/>
        <w:ind w:firstLine="480" w:firstLineChars="200"/>
        <w:jc w:val="left"/>
        <w:rPr>
          <w:rFonts w:eastAsia="仿宋_GB2312"/>
          <w:sz w:val="24"/>
        </w:rPr>
      </w:pPr>
      <w:r>
        <w:rPr>
          <w:rFonts w:eastAsia="仿宋_GB2312"/>
          <w:sz w:val="24"/>
        </w:rPr>
        <w:t>预算资金管理情况：渝北区公路综合保险项目资金，由财政局下达当年度预算指标，公路管理处根据签订的项目采购合同金额，经项目承办人、承办部门负责人、财务部门负责人逐一签字，单位分管领导、单位负责人审批后，财务人员向财政局提交项目资金拨付申请，财政局批准同意后，将项目资金支付给各中标保险机构。</w:t>
      </w:r>
    </w:p>
    <w:p>
      <w:pPr>
        <w:spacing w:line="360" w:lineRule="auto"/>
        <w:ind w:firstLine="480" w:firstLineChars="200"/>
        <w:jc w:val="left"/>
        <w:rPr>
          <w:rFonts w:eastAsia="仿宋_GB2312"/>
          <w:sz w:val="24"/>
        </w:rPr>
      </w:pPr>
      <w:r>
        <w:rPr>
          <w:rFonts w:eastAsia="仿宋_GB2312"/>
          <w:sz w:val="24"/>
        </w:rPr>
        <w:t>理赔资金管理情况：发现水毁后，由公路管理处统一报险，保险公司按约定时间赔付到公路管理处，公路管理处通知镇街提交重庆市行政事业单位资金往来结算票据、单位银行卡账号和签章完毕的《公路综合保险理赔申请表》，公路管理处审核后将理赔款转给理赔镇街。</w:t>
      </w:r>
    </w:p>
    <w:p>
      <w:pPr>
        <w:spacing w:line="360" w:lineRule="auto"/>
        <w:ind w:firstLine="480" w:firstLineChars="200"/>
        <w:jc w:val="left"/>
        <w:rPr>
          <w:rFonts w:eastAsia="仿宋_GB2312"/>
          <w:sz w:val="24"/>
        </w:rPr>
      </w:pPr>
      <w:r>
        <w:rPr>
          <w:rFonts w:eastAsia="仿宋_GB2312"/>
          <w:sz w:val="24"/>
        </w:rPr>
        <w:t>经检查发现，公路管理处财政资金监管不完善，内控制度执行不到位，理赔资金对账不及时，导致理赔资金重复打款给理赔乡镇，涉及金额25.12万元。</w:t>
      </w:r>
    </w:p>
    <w:p>
      <w:pPr>
        <w:spacing w:line="360" w:lineRule="auto"/>
        <w:ind w:firstLine="480" w:firstLineChars="200"/>
        <w:rPr>
          <w:rFonts w:eastAsia="仿宋_GB2312"/>
          <w:sz w:val="24"/>
        </w:rPr>
      </w:pPr>
      <w:r>
        <w:rPr>
          <w:rFonts w:eastAsia="仿宋_GB2312"/>
          <w:sz w:val="24"/>
        </w:rPr>
        <w:t>该指标设定分值2分，经综合评价，指标得分为0分。扣分原因为：公路管理处财政资金监管不完善，内控制度执行不到位。</w:t>
      </w:r>
    </w:p>
    <w:p>
      <w:pPr>
        <w:spacing w:line="360" w:lineRule="auto"/>
        <w:ind w:firstLine="480" w:firstLineChars="200"/>
        <w:rPr>
          <w:rFonts w:eastAsia="仿宋_GB2312"/>
          <w:sz w:val="24"/>
        </w:rPr>
      </w:pPr>
      <w:r>
        <w:rPr>
          <w:rFonts w:eastAsia="仿宋_GB2312"/>
          <w:sz w:val="24"/>
        </w:rPr>
        <w:t>5.组织实施</w:t>
      </w:r>
    </w:p>
    <w:p>
      <w:pPr>
        <w:spacing w:line="360" w:lineRule="auto"/>
        <w:ind w:firstLine="480" w:firstLineChars="200"/>
        <w:rPr>
          <w:rFonts w:eastAsia="仿宋_GB2312"/>
          <w:sz w:val="24"/>
        </w:rPr>
      </w:pPr>
      <w:r>
        <w:rPr>
          <w:rFonts w:eastAsia="仿宋_GB2312"/>
          <w:sz w:val="24"/>
        </w:rPr>
        <w:t>公路管理处为使各镇街进一步熟悉公路综合保险服务，切实做好我区公路水毁理赔工作，</w:t>
      </w:r>
      <w:r>
        <w:rPr>
          <w:rFonts w:eastAsia="仿宋_GB2312"/>
          <w:bCs/>
          <w:sz w:val="24"/>
        </w:rPr>
        <w:t>积极开展公路综合保险业务培训，</w:t>
      </w:r>
      <w:r>
        <w:rPr>
          <w:rFonts w:eastAsia="仿宋_GB2312"/>
          <w:sz w:val="24"/>
        </w:rPr>
        <w:t>制定并建立一套较为完善的运行机制，保障公路综合保险项目顺利实施。</w:t>
      </w:r>
    </w:p>
    <w:p>
      <w:pPr>
        <w:spacing w:line="360" w:lineRule="auto"/>
        <w:ind w:firstLine="480" w:firstLineChars="200"/>
        <w:rPr>
          <w:rFonts w:eastAsia="仿宋_GB2312"/>
          <w:sz w:val="24"/>
        </w:rPr>
      </w:pPr>
      <w:r>
        <w:rPr>
          <w:rFonts w:eastAsia="仿宋_GB2312"/>
          <w:sz w:val="24"/>
        </w:rPr>
        <w:t>经检查，公路管理处均遵守相关法律法规和相关管理规定实施项目，项目均通过公开招投标方式确定保险机构，项目合同书、招标文件、中标通知书等资料齐全并及时归档，项目实施的人员条件、场地设备、信息支撑等均落实到位。</w:t>
      </w:r>
    </w:p>
    <w:p>
      <w:pPr>
        <w:spacing w:line="360" w:lineRule="auto"/>
        <w:ind w:firstLine="480" w:firstLineChars="200"/>
        <w:rPr>
          <w:rFonts w:eastAsia="仿宋_GB2312"/>
          <w:sz w:val="24"/>
        </w:rPr>
      </w:pPr>
      <w:r>
        <w:rPr>
          <w:rFonts w:eastAsia="仿宋_GB2312"/>
          <w:sz w:val="24"/>
        </w:rPr>
        <w:t>该指标设定分值2分，经综合评价，指标得分为2分。</w:t>
      </w:r>
    </w:p>
    <w:p>
      <w:pPr>
        <w:spacing w:line="360" w:lineRule="auto"/>
        <w:ind w:firstLine="482" w:firstLineChars="200"/>
        <w:outlineLvl w:val="1"/>
        <w:rPr>
          <w:rFonts w:eastAsia="仿宋_GB2312"/>
          <w:b/>
          <w:sz w:val="24"/>
        </w:rPr>
      </w:pPr>
      <w:r>
        <w:rPr>
          <w:rFonts w:eastAsia="仿宋_GB2312"/>
          <w:b/>
          <w:sz w:val="24"/>
        </w:rPr>
        <w:t>（二）项目产出</w:t>
      </w:r>
    </w:p>
    <w:p>
      <w:pPr>
        <w:spacing w:line="360" w:lineRule="auto"/>
        <w:ind w:firstLine="480" w:firstLineChars="200"/>
        <w:outlineLvl w:val="1"/>
        <w:rPr>
          <w:rFonts w:eastAsia="仿宋_GB2312"/>
          <w:sz w:val="24"/>
        </w:rPr>
      </w:pPr>
      <w:r>
        <w:rPr>
          <w:rFonts w:eastAsia="仿宋_GB2312"/>
          <w:sz w:val="24"/>
        </w:rPr>
        <w:t>1.产出数量</w:t>
      </w:r>
    </w:p>
    <w:p>
      <w:pPr>
        <w:spacing w:line="360" w:lineRule="auto"/>
        <w:ind w:firstLine="480" w:firstLineChars="200"/>
        <w:rPr>
          <w:rFonts w:eastAsia="仿宋_GB2312"/>
          <w:sz w:val="24"/>
        </w:rPr>
      </w:pPr>
      <w:r>
        <w:rPr>
          <w:rFonts w:eastAsia="仿宋_GB2312"/>
          <w:sz w:val="24"/>
        </w:rPr>
        <w:t>保险覆盖率：2016年6月至2020年6月，公路管理处为渝北区境内全部公路的路基、路面、边沟、边坡挡墙(护坡)、涵洞、安保设施(含护栏、公路标志牌、防撞墩等)、桥梁、隧道，因自然灾害或意外事故造成的直接性损坏或灭失及产生残骸的清理进行投保，保险覆盖率为100%</w:t>
      </w:r>
    </w:p>
    <w:p>
      <w:pPr>
        <w:spacing w:line="360" w:lineRule="auto"/>
        <w:ind w:firstLine="480" w:firstLineChars="200"/>
        <w:rPr>
          <w:rFonts w:eastAsia="仿宋_GB2312"/>
          <w:sz w:val="24"/>
        </w:rPr>
      </w:pPr>
      <w:r>
        <w:rPr>
          <w:rFonts w:eastAsia="仿宋_GB2312"/>
          <w:sz w:val="24"/>
        </w:rPr>
        <w:t>该指标设定分值10分，经综合评价，指标得分为10分。</w:t>
      </w:r>
    </w:p>
    <w:p>
      <w:pPr>
        <w:spacing w:line="360" w:lineRule="auto"/>
        <w:ind w:firstLine="480" w:firstLineChars="200"/>
        <w:rPr>
          <w:rFonts w:eastAsia="仿宋_GB2312"/>
          <w:sz w:val="24"/>
        </w:rPr>
      </w:pPr>
      <w:r>
        <w:rPr>
          <w:rFonts w:eastAsia="仿宋_GB2312"/>
          <w:sz w:val="24"/>
        </w:rPr>
        <w:t>2.产出时效</w:t>
      </w:r>
    </w:p>
    <w:p>
      <w:pPr>
        <w:spacing w:line="360" w:lineRule="auto"/>
        <w:ind w:firstLine="480" w:firstLineChars="200"/>
        <w:rPr>
          <w:rFonts w:eastAsia="仿宋_GB2312"/>
          <w:sz w:val="24"/>
        </w:rPr>
      </w:pPr>
      <w:r>
        <w:rPr>
          <w:rFonts w:eastAsia="仿宋_GB2312"/>
          <w:sz w:val="24"/>
        </w:rPr>
        <w:t>2016年至2019年渝北区公路综合保险项目均按批复建设时间</w:t>
      </w:r>
      <w:r>
        <w:rPr>
          <w:rFonts w:hint="eastAsia" w:eastAsia="仿宋_GB2312"/>
          <w:sz w:val="24"/>
        </w:rPr>
        <w:t>及时投保</w:t>
      </w:r>
      <w:r>
        <w:rPr>
          <w:rFonts w:eastAsia="仿宋_GB2312"/>
          <w:sz w:val="24"/>
        </w:rPr>
        <w:t>，完成及时率为100%。</w:t>
      </w:r>
    </w:p>
    <w:p>
      <w:pPr>
        <w:spacing w:line="360" w:lineRule="auto"/>
        <w:ind w:firstLine="480" w:firstLineChars="200"/>
        <w:rPr>
          <w:rFonts w:eastAsia="仿宋_GB2312"/>
          <w:sz w:val="24"/>
        </w:rPr>
      </w:pPr>
      <w:r>
        <w:rPr>
          <w:rFonts w:eastAsia="仿宋_GB2312"/>
          <w:sz w:val="24"/>
        </w:rPr>
        <w:t>该指标设定分值5分，经综合评价，指标得分为5分。</w:t>
      </w:r>
    </w:p>
    <w:p>
      <w:pPr>
        <w:spacing w:line="360" w:lineRule="auto"/>
        <w:ind w:firstLine="480" w:firstLineChars="200"/>
        <w:rPr>
          <w:rFonts w:eastAsia="仿宋_GB2312"/>
          <w:sz w:val="24"/>
        </w:rPr>
      </w:pPr>
      <w:r>
        <w:rPr>
          <w:rFonts w:eastAsia="仿宋_GB2312"/>
          <w:sz w:val="24"/>
        </w:rPr>
        <w:t>3.产出质量</w:t>
      </w:r>
    </w:p>
    <w:p>
      <w:pPr>
        <w:spacing w:line="360" w:lineRule="auto"/>
        <w:ind w:firstLine="480" w:firstLineChars="200"/>
        <w:rPr>
          <w:rFonts w:eastAsia="仿宋_GB2312"/>
          <w:sz w:val="24"/>
        </w:rPr>
      </w:pPr>
      <w:r>
        <w:rPr>
          <w:rFonts w:eastAsia="仿宋_GB2312"/>
          <w:sz w:val="24"/>
        </w:rPr>
        <w:t>（1）赔付率</w:t>
      </w:r>
    </w:p>
    <w:p>
      <w:pPr>
        <w:spacing w:line="360" w:lineRule="auto"/>
        <w:ind w:firstLine="480" w:firstLineChars="200"/>
        <w:rPr>
          <w:rFonts w:eastAsia="仿宋_GB2312"/>
          <w:sz w:val="24"/>
        </w:rPr>
      </w:pPr>
      <w:r>
        <w:rPr>
          <w:rFonts w:eastAsia="仿宋_GB2312"/>
          <w:sz w:val="24"/>
        </w:rPr>
        <w:t>2016年至2019年渝北区公路综合保险项目，公路管理处支付保费共计686.00万元，收到赔款共计529.16万元，平均赔付率为77.14%。具体明细如下：</w:t>
      </w:r>
    </w:p>
    <w:p>
      <w:pPr>
        <w:spacing w:line="360" w:lineRule="auto"/>
        <w:ind w:firstLine="480"/>
        <w:jc w:val="center"/>
        <w:rPr>
          <w:rFonts w:eastAsia="仿宋_GB2312"/>
          <w:sz w:val="24"/>
        </w:rPr>
      </w:pPr>
      <w:r>
        <w:rPr>
          <w:rFonts w:eastAsia="仿宋_GB2312"/>
          <w:sz w:val="24"/>
        </w:rPr>
        <w:t xml:space="preserve">                                                 单位：万元</w:t>
      </w:r>
    </w:p>
    <w:tbl>
      <w:tblPr>
        <w:tblStyle w:val="6"/>
        <w:tblW w:w="8972"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2468"/>
        <w:gridCol w:w="2434"/>
        <w:gridCol w:w="2379"/>
        <w:gridCol w:w="1691"/>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482" w:hRule="atLeast"/>
          <w:jc w:val="center"/>
        </w:trPr>
        <w:tc>
          <w:tcPr>
            <w:tcW w:w="2468" w:type="dxa"/>
            <w:noWrap/>
            <w:tcMar>
              <w:top w:w="12" w:type="dxa"/>
              <w:left w:w="12" w:type="dxa"/>
              <w:right w:w="12" w:type="dxa"/>
            </w:tcMar>
            <w:vAlign w:val="center"/>
          </w:tcPr>
          <w:p>
            <w:pPr>
              <w:widowControl/>
              <w:spacing w:line="360" w:lineRule="auto"/>
              <w:jc w:val="center"/>
              <w:textAlignment w:val="top"/>
              <w:rPr>
                <w:rFonts w:eastAsia="仿宋_GB2312"/>
                <w:sz w:val="22"/>
              </w:rPr>
            </w:pPr>
            <w:r>
              <w:rPr>
                <w:rFonts w:eastAsia="仿宋_GB2312"/>
                <w:color w:val="000000"/>
                <w:kern w:val="0"/>
                <w:sz w:val="22"/>
              </w:rPr>
              <w:t>年度</w:t>
            </w:r>
          </w:p>
        </w:tc>
        <w:tc>
          <w:tcPr>
            <w:tcW w:w="2434" w:type="dxa"/>
            <w:noWrap/>
            <w:tcMar>
              <w:top w:w="12" w:type="dxa"/>
              <w:left w:w="12" w:type="dxa"/>
              <w:right w:w="12" w:type="dxa"/>
            </w:tcMar>
            <w:vAlign w:val="center"/>
          </w:tcPr>
          <w:p>
            <w:pPr>
              <w:widowControl/>
              <w:spacing w:line="360" w:lineRule="auto"/>
              <w:jc w:val="center"/>
              <w:textAlignment w:val="top"/>
              <w:rPr>
                <w:rFonts w:eastAsia="仿宋_GB2312"/>
                <w:sz w:val="22"/>
              </w:rPr>
            </w:pPr>
            <w:r>
              <w:rPr>
                <w:rFonts w:eastAsia="仿宋_GB2312"/>
                <w:color w:val="000000"/>
                <w:kern w:val="0"/>
                <w:sz w:val="22"/>
              </w:rPr>
              <w:t>保费金额</w:t>
            </w:r>
          </w:p>
        </w:tc>
        <w:tc>
          <w:tcPr>
            <w:tcW w:w="2379" w:type="dxa"/>
            <w:noWrap/>
            <w:tcMar>
              <w:top w:w="12" w:type="dxa"/>
              <w:left w:w="12" w:type="dxa"/>
              <w:right w:w="12" w:type="dxa"/>
            </w:tcMar>
            <w:vAlign w:val="center"/>
          </w:tcPr>
          <w:p>
            <w:pPr>
              <w:widowControl/>
              <w:spacing w:line="360" w:lineRule="auto"/>
              <w:jc w:val="center"/>
              <w:textAlignment w:val="top"/>
              <w:rPr>
                <w:rFonts w:eastAsia="仿宋_GB2312"/>
                <w:sz w:val="22"/>
              </w:rPr>
            </w:pPr>
            <w:r>
              <w:rPr>
                <w:rFonts w:eastAsia="仿宋_GB2312"/>
                <w:color w:val="000000"/>
                <w:kern w:val="0"/>
                <w:sz w:val="22"/>
              </w:rPr>
              <w:t>理赔金额</w:t>
            </w:r>
          </w:p>
        </w:tc>
        <w:tc>
          <w:tcPr>
            <w:tcW w:w="1691" w:type="dxa"/>
            <w:noWrap/>
            <w:tcMar>
              <w:top w:w="12" w:type="dxa"/>
              <w:left w:w="12" w:type="dxa"/>
              <w:right w:w="12" w:type="dxa"/>
            </w:tcMar>
            <w:vAlign w:val="center"/>
          </w:tcPr>
          <w:p>
            <w:pPr>
              <w:widowControl/>
              <w:spacing w:line="360" w:lineRule="auto"/>
              <w:jc w:val="center"/>
              <w:textAlignment w:val="top"/>
              <w:rPr>
                <w:rFonts w:eastAsia="仿宋_GB2312"/>
                <w:sz w:val="22"/>
              </w:rPr>
            </w:pPr>
            <w:r>
              <w:rPr>
                <w:rFonts w:eastAsia="仿宋_GB2312"/>
                <w:color w:val="000000"/>
                <w:kern w:val="0"/>
                <w:sz w:val="22"/>
              </w:rPr>
              <w:t>赔付率</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468"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2016年度</w:t>
            </w:r>
          </w:p>
        </w:tc>
        <w:tc>
          <w:tcPr>
            <w:tcW w:w="2434"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245.00</w:t>
            </w:r>
          </w:p>
        </w:tc>
        <w:tc>
          <w:tcPr>
            <w:tcW w:w="2379"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72.14</w:t>
            </w:r>
          </w:p>
        </w:tc>
        <w:tc>
          <w:tcPr>
            <w:tcW w:w="1691"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29%</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468"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2017年度</w:t>
            </w:r>
          </w:p>
        </w:tc>
        <w:tc>
          <w:tcPr>
            <w:tcW w:w="2434"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178.00</w:t>
            </w:r>
          </w:p>
        </w:tc>
        <w:tc>
          <w:tcPr>
            <w:tcW w:w="2379"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178.04</w:t>
            </w:r>
          </w:p>
        </w:tc>
        <w:tc>
          <w:tcPr>
            <w:tcW w:w="1691"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100%</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468"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2018年度</w:t>
            </w:r>
          </w:p>
        </w:tc>
        <w:tc>
          <w:tcPr>
            <w:tcW w:w="2434"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143.00</w:t>
            </w:r>
          </w:p>
        </w:tc>
        <w:tc>
          <w:tcPr>
            <w:tcW w:w="2379"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155.72</w:t>
            </w:r>
          </w:p>
        </w:tc>
        <w:tc>
          <w:tcPr>
            <w:tcW w:w="1691"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109%</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468"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2019年度</w:t>
            </w:r>
          </w:p>
        </w:tc>
        <w:tc>
          <w:tcPr>
            <w:tcW w:w="2434"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120.00</w:t>
            </w:r>
          </w:p>
        </w:tc>
        <w:tc>
          <w:tcPr>
            <w:tcW w:w="2379"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123.26</w:t>
            </w:r>
          </w:p>
        </w:tc>
        <w:tc>
          <w:tcPr>
            <w:tcW w:w="1691" w:type="dxa"/>
            <w:noWrap/>
            <w:tcMar>
              <w:top w:w="12" w:type="dxa"/>
              <w:left w:w="12" w:type="dxa"/>
              <w:right w:w="12" w:type="dxa"/>
            </w:tcMar>
          </w:tcPr>
          <w:p>
            <w:pPr>
              <w:widowControl/>
              <w:spacing w:line="360" w:lineRule="auto"/>
              <w:jc w:val="center"/>
              <w:textAlignment w:val="top"/>
              <w:rPr>
                <w:rFonts w:eastAsia="仿宋_GB2312"/>
                <w:sz w:val="22"/>
              </w:rPr>
            </w:pPr>
            <w:r>
              <w:rPr>
                <w:rFonts w:eastAsia="仿宋_GB2312"/>
                <w:color w:val="000000"/>
                <w:kern w:val="0"/>
                <w:sz w:val="22"/>
              </w:rPr>
              <w:t>103%</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288" w:hRule="atLeast"/>
          <w:jc w:val="center"/>
        </w:trPr>
        <w:tc>
          <w:tcPr>
            <w:tcW w:w="2468" w:type="dxa"/>
            <w:noWrap/>
            <w:tcMar>
              <w:top w:w="12" w:type="dxa"/>
              <w:left w:w="12" w:type="dxa"/>
              <w:right w:w="12" w:type="dxa"/>
            </w:tcMar>
          </w:tcPr>
          <w:p>
            <w:pPr>
              <w:widowControl/>
              <w:spacing w:line="360" w:lineRule="auto"/>
              <w:jc w:val="center"/>
              <w:textAlignment w:val="top"/>
              <w:rPr>
                <w:rFonts w:eastAsia="仿宋_GB2312"/>
                <w:color w:val="000000"/>
                <w:kern w:val="0"/>
                <w:sz w:val="22"/>
              </w:rPr>
            </w:pPr>
            <w:r>
              <w:rPr>
                <w:rFonts w:eastAsia="仿宋_GB2312"/>
                <w:color w:val="000000"/>
                <w:kern w:val="0"/>
                <w:sz w:val="22"/>
              </w:rPr>
              <w:t>合计</w:t>
            </w:r>
          </w:p>
        </w:tc>
        <w:tc>
          <w:tcPr>
            <w:tcW w:w="2434" w:type="dxa"/>
            <w:noWrap/>
            <w:tcMar>
              <w:top w:w="12" w:type="dxa"/>
              <w:left w:w="12" w:type="dxa"/>
              <w:right w:w="12" w:type="dxa"/>
            </w:tcMar>
          </w:tcPr>
          <w:p>
            <w:pPr>
              <w:widowControl/>
              <w:spacing w:line="360" w:lineRule="auto"/>
              <w:jc w:val="center"/>
              <w:textAlignment w:val="top"/>
              <w:rPr>
                <w:rFonts w:eastAsia="仿宋_GB2312"/>
                <w:color w:val="000000"/>
                <w:kern w:val="0"/>
                <w:sz w:val="22"/>
              </w:rPr>
            </w:pPr>
            <w:r>
              <w:rPr>
                <w:rFonts w:eastAsia="仿宋_GB2312"/>
                <w:color w:val="000000"/>
                <w:kern w:val="0"/>
                <w:sz w:val="22"/>
              </w:rPr>
              <w:t>686.00</w:t>
            </w:r>
          </w:p>
        </w:tc>
        <w:tc>
          <w:tcPr>
            <w:tcW w:w="2379" w:type="dxa"/>
            <w:noWrap/>
            <w:tcMar>
              <w:top w:w="12" w:type="dxa"/>
              <w:left w:w="12" w:type="dxa"/>
              <w:right w:w="12" w:type="dxa"/>
            </w:tcMar>
          </w:tcPr>
          <w:p>
            <w:pPr>
              <w:widowControl/>
              <w:spacing w:line="360" w:lineRule="auto"/>
              <w:jc w:val="center"/>
              <w:textAlignment w:val="top"/>
              <w:rPr>
                <w:rFonts w:eastAsia="仿宋_GB2312"/>
                <w:color w:val="000000"/>
                <w:kern w:val="0"/>
                <w:sz w:val="22"/>
              </w:rPr>
            </w:pPr>
            <w:r>
              <w:rPr>
                <w:rFonts w:eastAsia="仿宋_GB2312"/>
                <w:color w:val="000000"/>
                <w:kern w:val="0"/>
                <w:sz w:val="22"/>
              </w:rPr>
              <w:t>529.16</w:t>
            </w:r>
          </w:p>
        </w:tc>
        <w:tc>
          <w:tcPr>
            <w:tcW w:w="1691" w:type="dxa"/>
            <w:noWrap/>
            <w:tcMar>
              <w:top w:w="12" w:type="dxa"/>
              <w:left w:w="12" w:type="dxa"/>
              <w:right w:w="12" w:type="dxa"/>
            </w:tcMar>
          </w:tcPr>
          <w:p>
            <w:pPr>
              <w:widowControl/>
              <w:spacing w:line="360" w:lineRule="auto"/>
              <w:jc w:val="center"/>
              <w:textAlignment w:val="top"/>
              <w:rPr>
                <w:rFonts w:eastAsia="仿宋_GB2312"/>
                <w:color w:val="000000"/>
                <w:kern w:val="0"/>
                <w:sz w:val="22"/>
              </w:rPr>
            </w:pPr>
            <w:r>
              <w:rPr>
                <w:rFonts w:eastAsia="仿宋_GB2312"/>
                <w:color w:val="000000"/>
                <w:kern w:val="0"/>
                <w:sz w:val="22"/>
              </w:rPr>
              <w:t>-</w:t>
            </w:r>
          </w:p>
        </w:tc>
      </w:tr>
    </w:tbl>
    <w:p>
      <w:pPr>
        <w:spacing w:line="360" w:lineRule="auto"/>
        <w:ind w:firstLine="480" w:firstLineChars="200"/>
        <w:rPr>
          <w:rFonts w:eastAsia="仿宋_GB2312"/>
          <w:sz w:val="24"/>
        </w:rPr>
      </w:pPr>
      <w:r>
        <w:rPr>
          <w:rFonts w:eastAsia="仿宋_GB2312"/>
          <w:sz w:val="24"/>
        </w:rPr>
        <w:t>（2）质量达标率</w:t>
      </w:r>
    </w:p>
    <w:p>
      <w:pPr>
        <w:spacing w:line="360" w:lineRule="auto"/>
        <w:ind w:firstLine="480" w:firstLineChars="200"/>
        <w:rPr>
          <w:rFonts w:eastAsia="仿宋_GB2312"/>
          <w:sz w:val="24"/>
          <w:highlight w:val="yellow"/>
        </w:rPr>
      </w:pPr>
      <w:r>
        <w:rPr>
          <w:rFonts w:eastAsia="仿宋_GB2312"/>
          <w:sz w:val="24"/>
        </w:rPr>
        <w:t>经检查2016年6月至2020年6月保险期间保险赔付情况，实际赔付金额均按照合同约定的赔付标准要求进行赔付，质量达标率为100%。</w:t>
      </w:r>
    </w:p>
    <w:p>
      <w:pPr>
        <w:spacing w:line="360" w:lineRule="auto"/>
        <w:ind w:left="480"/>
        <w:rPr>
          <w:rFonts w:eastAsia="仿宋_GB2312"/>
          <w:sz w:val="24"/>
        </w:rPr>
      </w:pPr>
      <w:r>
        <w:rPr>
          <w:rFonts w:eastAsia="仿宋_GB2312"/>
          <w:sz w:val="24"/>
        </w:rPr>
        <w:t>（3）理赔兑现率</w:t>
      </w:r>
    </w:p>
    <w:p>
      <w:pPr>
        <w:spacing w:line="360" w:lineRule="auto"/>
        <w:ind w:firstLine="480" w:firstLineChars="200"/>
        <w:rPr>
          <w:rFonts w:eastAsia="仿宋_GB2312"/>
          <w:sz w:val="24"/>
        </w:rPr>
      </w:pPr>
      <w:r>
        <w:rPr>
          <w:rFonts w:eastAsia="仿宋_GB2312"/>
          <w:sz w:val="24"/>
        </w:rPr>
        <w:t>2016年6月至2020年6月，公路管理处申报案件367件，已结案件367件，申报赔款529.16万元，已结赔款529.16万元，理赔兑现率为100%。</w:t>
      </w:r>
    </w:p>
    <w:p>
      <w:pPr>
        <w:spacing w:line="360" w:lineRule="auto"/>
        <w:ind w:firstLine="480" w:firstLineChars="200"/>
        <w:rPr>
          <w:rFonts w:eastAsia="仿宋_GB2312"/>
          <w:sz w:val="24"/>
        </w:rPr>
      </w:pPr>
      <w:r>
        <w:rPr>
          <w:rFonts w:eastAsia="仿宋_GB2312"/>
          <w:sz w:val="24"/>
        </w:rPr>
        <w:t>该指标设定分值25分，经综合评价，指标得分为22.71分。</w:t>
      </w:r>
    </w:p>
    <w:p>
      <w:pPr>
        <w:spacing w:line="360" w:lineRule="auto"/>
        <w:ind w:firstLine="480" w:firstLineChars="200"/>
        <w:rPr>
          <w:rFonts w:eastAsia="仿宋_GB2312"/>
          <w:sz w:val="24"/>
        </w:rPr>
      </w:pPr>
      <w:r>
        <w:rPr>
          <w:rFonts w:eastAsia="仿宋_GB2312"/>
          <w:sz w:val="24"/>
        </w:rPr>
        <w:t>4.产出成本</w:t>
      </w:r>
    </w:p>
    <w:p>
      <w:pPr>
        <w:spacing w:line="360" w:lineRule="auto"/>
        <w:ind w:firstLine="480" w:firstLineChars="200"/>
        <w:rPr>
          <w:rFonts w:eastAsia="仿宋_GB2312"/>
          <w:sz w:val="24"/>
        </w:rPr>
      </w:pPr>
      <w:r>
        <w:rPr>
          <w:rFonts w:eastAsia="仿宋_GB2312"/>
          <w:sz w:val="24"/>
        </w:rPr>
        <w:t>2016年至2019年渝北区公路综合保险项目保费金额及保险费率逐年递减，节约了财政支出,提高了财政资金使用效益。具体情况如下:</w:t>
      </w:r>
    </w:p>
    <w:tbl>
      <w:tblPr>
        <w:tblStyle w:val="6"/>
        <w:tblW w:w="8971"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602"/>
        <w:gridCol w:w="1721"/>
        <w:gridCol w:w="2316"/>
        <w:gridCol w:w="1740"/>
        <w:gridCol w:w="1848"/>
        <w:gridCol w:w="744"/>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602"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年份</w:t>
            </w:r>
          </w:p>
        </w:tc>
        <w:tc>
          <w:tcPr>
            <w:tcW w:w="1721"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保费金额（万元）</w:t>
            </w:r>
          </w:p>
        </w:tc>
        <w:tc>
          <w:tcPr>
            <w:tcW w:w="2316"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投保公路里程数（公里）</w:t>
            </w:r>
          </w:p>
        </w:tc>
        <w:tc>
          <w:tcPr>
            <w:tcW w:w="1740"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保险金额（万元）</w:t>
            </w:r>
          </w:p>
        </w:tc>
        <w:tc>
          <w:tcPr>
            <w:tcW w:w="1848"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每公里保费（万元）</w:t>
            </w:r>
          </w:p>
        </w:tc>
        <w:tc>
          <w:tcPr>
            <w:tcW w:w="744"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费率</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602"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2016</w:t>
            </w:r>
          </w:p>
        </w:tc>
        <w:tc>
          <w:tcPr>
            <w:tcW w:w="1721"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 xml:space="preserve">245.00 </w:t>
            </w:r>
          </w:p>
        </w:tc>
        <w:tc>
          <w:tcPr>
            <w:tcW w:w="2316"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2700</w:t>
            </w:r>
          </w:p>
        </w:tc>
        <w:tc>
          <w:tcPr>
            <w:tcW w:w="1740"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100,000.00 </w:t>
            </w:r>
          </w:p>
        </w:tc>
        <w:tc>
          <w:tcPr>
            <w:tcW w:w="1848"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0.09 </w:t>
            </w:r>
          </w:p>
        </w:tc>
        <w:tc>
          <w:tcPr>
            <w:tcW w:w="744"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0.25%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602"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2017</w:t>
            </w:r>
          </w:p>
        </w:tc>
        <w:tc>
          <w:tcPr>
            <w:tcW w:w="1721"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 xml:space="preserve">178.00 </w:t>
            </w:r>
          </w:p>
        </w:tc>
        <w:tc>
          <w:tcPr>
            <w:tcW w:w="2316"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2800</w:t>
            </w:r>
          </w:p>
        </w:tc>
        <w:tc>
          <w:tcPr>
            <w:tcW w:w="1740"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292,900.00 </w:t>
            </w:r>
          </w:p>
        </w:tc>
        <w:tc>
          <w:tcPr>
            <w:tcW w:w="1848"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0.06 </w:t>
            </w:r>
          </w:p>
        </w:tc>
        <w:tc>
          <w:tcPr>
            <w:tcW w:w="744"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0.06%</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602"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2018</w:t>
            </w:r>
          </w:p>
        </w:tc>
        <w:tc>
          <w:tcPr>
            <w:tcW w:w="1721"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 xml:space="preserve">143.00 </w:t>
            </w:r>
          </w:p>
        </w:tc>
        <w:tc>
          <w:tcPr>
            <w:tcW w:w="2316"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2900</w:t>
            </w:r>
          </w:p>
        </w:tc>
        <w:tc>
          <w:tcPr>
            <w:tcW w:w="1740"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300,000.00 </w:t>
            </w:r>
          </w:p>
        </w:tc>
        <w:tc>
          <w:tcPr>
            <w:tcW w:w="1848"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0.05 </w:t>
            </w:r>
          </w:p>
        </w:tc>
        <w:tc>
          <w:tcPr>
            <w:tcW w:w="744"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0.05%</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03" w:hRule="atLeast"/>
          <w:jc w:val="center"/>
        </w:trPr>
        <w:tc>
          <w:tcPr>
            <w:tcW w:w="602"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2019</w:t>
            </w:r>
          </w:p>
        </w:tc>
        <w:tc>
          <w:tcPr>
            <w:tcW w:w="1721" w:type="dxa"/>
            <w:noWrap/>
            <w:tcMar>
              <w:top w:w="12" w:type="dxa"/>
              <w:left w:w="12" w:type="dxa"/>
              <w:right w:w="12" w:type="dxa"/>
            </w:tcMar>
          </w:tcPr>
          <w:p>
            <w:pPr>
              <w:widowControl/>
              <w:jc w:val="center"/>
              <w:textAlignment w:val="top"/>
              <w:rPr>
                <w:rFonts w:eastAsia="仿宋_GB2312"/>
                <w:szCs w:val="21"/>
              </w:rPr>
            </w:pPr>
            <w:r>
              <w:rPr>
                <w:rFonts w:eastAsia="仿宋_GB2312"/>
                <w:kern w:val="0"/>
                <w:szCs w:val="21"/>
              </w:rPr>
              <w:t xml:space="preserve">120.00 </w:t>
            </w:r>
          </w:p>
        </w:tc>
        <w:tc>
          <w:tcPr>
            <w:tcW w:w="2316"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3000</w:t>
            </w:r>
          </w:p>
        </w:tc>
        <w:tc>
          <w:tcPr>
            <w:tcW w:w="1740"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350,000.00 </w:t>
            </w:r>
          </w:p>
        </w:tc>
        <w:tc>
          <w:tcPr>
            <w:tcW w:w="1848"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 xml:space="preserve">0.04 </w:t>
            </w:r>
          </w:p>
        </w:tc>
        <w:tc>
          <w:tcPr>
            <w:tcW w:w="744" w:type="dxa"/>
            <w:noWrap/>
            <w:tcMar>
              <w:top w:w="12" w:type="dxa"/>
              <w:left w:w="12" w:type="dxa"/>
              <w:right w:w="12" w:type="dxa"/>
            </w:tcMar>
            <w:vAlign w:val="center"/>
          </w:tcPr>
          <w:p>
            <w:pPr>
              <w:widowControl/>
              <w:jc w:val="center"/>
              <w:textAlignment w:val="center"/>
              <w:rPr>
                <w:rFonts w:eastAsia="仿宋_GB2312"/>
                <w:szCs w:val="21"/>
              </w:rPr>
            </w:pPr>
            <w:r>
              <w:rPr>
                <w:rFonts w:eastAsia="仿宋_GB2312"/>
                <w:kern w:val="0"/>
                <w:szCs w:val="21"/>
              </w:rPr>
              <w:t>0.03%</w:t>
            </w:r>
          </w:p>
        </w:tc>
      </w:tr>
    </w:tbl>
    <w:p>
      <w:pPr>
        <w:spacing w:line="360" w:lineRule="auto"/>
        <w:ind w:firstLine="480" w:firstLineChars="200"/>
        <w:rPr>
          <w:rFonts w:eastAsia="仿宋_GB2312"/>
          <w:sz w:val="24"/>
        </w:rPr>
      </w:pPr>
      <w:r>
        <w:rPr>
          <w:rFonts w:eastAsia="仿宋_GB2312"/>
          <w:sz w:val="24"/>
        </w:rPr>
        <w:t>该指标设定分值10分，经综合评价，指标得分为10分。</w:t>
      </w:r>
    </w:p>
    <w:p>
      <w:pPr>
        <w:spacing w:line="360" w:lineRule="auto"/>
        <w:ind w:firstLine="482" w:firstLineChars="200"/>
        <w:rPr>
          <w:rFonts w:eastAsia="仿宋_GB2312"/>
          <w:b/>
          <w:sz w:val="24"/>
        </w:rPr>
      </w:pPr>
      <w:r>
        <w:rPr>
          <w:rFonts w:eastAsia="仿宋_GB2312"/>
          <w:b/>
          <w:sz w:val="24"/>
        </w:rPr>
        <w:t>（三）项目效益</w:t>
      </w:r>
    </w:p>
    <w:p>
      <w:pPr>
        <w:spacing w:line="360" w:lineRule="auto"/>
        <w:ind w:firstLine="480" w:firstLineChars="200"/>
        <w:jc w:val="left"/>
        <w:rPr>
          <w:rFonts w:eastAsia="仿宋_GB2312"/>
          <w:sz w:val="24"/>
        </w:rPr>
      </w:pPr>
      <w:r>
        <w:rPr>
          <w:rFonts w:eastAsia="仿宋_GB2312"/>
          <w:sz w:val="24"/>
        </w:rPr>
        <w:t>1.社会效益</w:t>
      </w:r>
    </w:p>
    <w:p>
      <w:pPr>
        <w:spacing w:line="360" w:lineRule="auto"/>
        <w:ind w:firstLine="480" w:firstLineChars="200"/>
        <w:jc w:val="left"/>
        <w:rPr>
          <w:rFonts w:eastAsia="仿宋_GB2312"/>
          <w:sz w:val="24"/>
        </w:rPr>
      </w:pPr>
      <w:r>
        <w:rPr>
          <w:rFonts w:eastAsia="仿宋_GB2312"/>
          <w:sz w:val="24"/>
        </w:rPr>
        <w:t>通过问卷调查向保险期间获得理赔的16个镇街相关负责人了解2016年</w:t>
      </w:r>
      <w:r>
        <w:rPr>
          <w:rFonts w:hint="eastAsia" w:eastAsia="仿宋_GB2312"/>
          <w:sz w:val="24"/>
        </w:rPr>
        <w:t>至</w:t>
      </w:r>
      <w:r>
        <w:rPr>
          <w:rFonts w:eastAsia="仿宋_GB2312"/>
          <w:sz w:val="24"/>
        </w:rPr>
        <w:t>2019年公路综合保险项目实施的社会效益影响程度。调查结果显示，认为项目实施提高了各级公路抗御风险能力，有效构筑公路风险保障体系占比为100%；认为项目实施确保了公路得到及时修复，保障了公路安全畅通占比为93.75%。</w:t>
      </w:r>
    </w:p>
    <w:p>
      <w:pPr>
        <w:spacing w:line="360" w:lineRule="auto"/>
        <w:ind w:firstLine="480" w:firstLineChars="200"/>
        <w:jc w:val="left"/>
        <w:rPr>
          <w:rFonts w:eastAsia="仿宋_GB2312"/>
          <w:sz w:val="24"/>
        </w:rPr>
      </w:pPr>
      <w:r>
        <w:rPr>
          <w:rFonts w:eastAsia="仿宋_GB2312"/>
          <w:sz w:val="24"/>
        </w:rPr>
        <w:t>该指标设定分值10分，经综合评价，指标得分为9.68分。</w:t>
      </w:r>
    </w:p>
    <w:p>
      <w:pPr>
        <w:spacing w:line="360" w:lineRule="auto"/>
        <w:ind w:firstLine="480" w:firstLineChars="200"/>
        <w:jc w:val="left"/>
        <w:rPr>
          <w:rFonts w:eastAsia="仿宋_GB2312"/>
          <w:sz w:val="24"/>
        </w:rPr>
      </w:pPr>
      <w:r>
        <w:rPr>
          <w:rFonts w:eastAsia="仿宋_GB2312"/>
          <w:sz w:val="24"/>
        </w:rPr>
        <w:t>2.经济效益</w:t>
      </w:r>
    </w:p>
    <w:p>
      <w:pPr>
        <w:spacing w:line="360" w:lineRule="auto"/>
        <w:ind w:firstLine="480" w:firstLineChars="200"/>
        <w:jc w:val="left"/>
        <w:rPr>
          <w:rFonts w:eastAsia="仿宋_GB2312"/>
          <w:sz w:val="24"/>
        </w:rPr>
      </w:pPr>
      <w:r>
        <w:rPr>
          <w:rFonts w:eastAsia="仿宋_GB2312"/>
          <w:sz w:val="24"/>
        </w:rPr>
        <w:t>2016年至2019渝北区公路综合保险项目实际支付保费金额共计686.00万元，截止到2020年6月，获得理赔款共计529.16万元，平均赔付率为77.14%。</w:t>
      </w:r>
    </w:p>
    <w:p>
      <w:pPr>
        <w:spacing w:line="360" w:lineRule="auto"/>
        <w:ind w:firstLine="480"/>
        <w:jc w:val="left"/>
        <w:rPr>
          <w:rFonts w:eastAsia="仿宋_GB2312"/>
          <w:sz w:val="24"/>
        </w:rPr>
      </w:pPr>
      <w:r>
        <w:rPr>
          <w:rFonts w:eastAsia="仿宋_GB2312"/>
          <w:sz w:val="24"/>
        </w:rPr>
        <w:t>经实地询问统景镇及石船镇相关负责人，据相关负责人反映：近几年属于</w:t>
      </w:r>
      <w:r>
        <w:rPr>
          <w:rFonts w:eastAsia="仿宋_GB2312"/>
          <w:bCs/>
          <w:sz w:val="24"/>
        </w:rPr>
        <w:t>一般年份（无大灾年份），公路受灾程度较小，且免赔金额较高，常因达不到理赔条件而免赔；公路水毁发生后，部分需新建挡土墙等结构物进行修复，该费用不在任何险种理赔范围内，导致理赔款无法覆盖修复费用。</w:t>
      </w:r>
    </w:p>
    <w:p>
      <w:pPr>
        <w:spacing w:line="360" w:lineRule="auto"/>
        <w:ind w:firstLine="480"/>
        <w:jc w:val="left"/>
        <w:rPr>
          <w:rFonts w:eastAsia="仿宋_GB2312"/>
          <w:sz w:val="24"/>
        </w:rPr>
      </w:pPr>
      <w:r>
        <w:rPr>
          <w:rFonts w:eastAsia="仿宋_GB2312"/>
          <w:sz w:val="24"/>
        </w:rPr>
        <w:t>综上所述，该项目的实施尚未能达到缓解公路修复和养护管理资金压力、有利于财政资金预算管理、提高财政资金使用效益的效果。</w:t>
      </w:r>
    </w:p>
    <w:p>
      <w:pPr>
        <w:spacing w:line="360" w:lineRule="auto"/>
        <w:ind w:firstLine="480" w:firstLineChars="200"/>
        <w:jc w:val="left"/>
        <w:rPr>
          <w:rFonts w:eastAsia="仿宋_GB2312"/>
          <w:sz w:val="24"/>
        </w:rPr>
      </w:pPr>
      <w:r>
        <w:rPr>
          <w:rFonts w:eastAsia="仿宋_GB2312"/>
          <w:sz w:val="24"/>
        </w:rPr>
        <w:t>该指标设定分值10分，经综合评价，指标得分为0分。</w:t>
      </w:r>
    </w:p>
    <w:p>
      <w:pPr>
        <w:numPr>
          <w:ilvl w:val="0"/>
          <w:numId w:val="3"/>
        </w:numPr>
        <w:spacing w:line="360" w:lineRule="auto"/>
        <w:ind w:firstLine="482" w:firstLineChars="200"/>
        <w:rPr>
          <w:rFonts w:eastAsia="仿宋_GB2312"/>
          <w:b/>
          <w:sz w:val="24"/>
        </w:rPr>
      </w:pPr>
      <w:r>
        <w:rPr>
          <w:rFonts w:eastAsia="仿宋_GB2312"/>
          <w:b/>
          <w:sz w:val="24"/>
        </w:rPr>
        <w:t>满意度</w:t>
      </w:r>
    </w:p>
    <w:p>
      <w:pPr>
        <w:spacing w:line="360" w:lineRule="auto"/>
        <w:ind w:firstLine="480" w:firstLineChars="200"/>
        <w:rPr>
          <w:rFonts w:eastAsia="仿宋_GB2312"/>
          <w:sz w:val="24"/>
        </w:rPr>
      </w:pPr>
      <w:r>
        <w:rPr>
          <w:rFonts w:eastAsia="仿宋_GB2312"/>
          <w:sz w:val="24"/>
        </w:rPr>
        <w:t>1.本次通过电访的方式向保险期间获得理赔的16个镇街相关负责人进行问卷调查，调查结果显示，对项目政策的满意率为100%，对项目运行效果的满意率为87.50%</w:t>
      </w:r>
    </w:p>
    <w:p>
      <w:pPr>
        <w:spacing w:line="360" w:lineRule="auto"/>
        <w:ind w:firstLine="480" w:firstLineChars="200"/>
        <w:rPr>
          <w:rFonts w:eastAsia="仿宋_GB2312"/>
          <w:sz w:val="24"/>
        </w:rPr>
      </w:pPr>
      <w:r>
        <w:rPr>
          <w:rFonts w:eastAsia="仿宋_GB2312"/>
          <w:sz w:val="24"/>
        </w:rPr>
        <w:t>2.经实地询问统景镇及石船镇相关负责人，均认为该项目仍有继续实施的必要性，虽近年来赔付率较低，但遇到大灾年份，如：截止到2020年上半年，仅统景镇就获得理赔款近47.00万元，能一定程度上缓解财政资金压力。</w:t>
      </w:r>
    </w:p>
    <w:p>
      <w:pPr>
        <w:spacing w:line="360" w:lineRule="auto"/>
        <w:ind w:firstLine="480" w:firstLineChars="200"/>
        <w:jc w:val="left"/>
        <w:rPr>
          <w:rFonts w:eastAsia="仿宋_GB2312"/>
          <w:sz w:val="24"/>
        </w:rPr>
      </w:pPr>
      <w:r>
        <w:rPr>
          <w:rFonts w:eastAsia="仿宋_GB2312"/>
          <w:sz w:val="24"/>
        </w:rPr>
        <w:t>该指标设定分值共计20分，经综合评价，指标得分为18.75分。</w:t>
      </w:r>
    </w:p>
    <w:p>
      <w:pPr>
        <w:spacing w:line="360" w:lineRule="auto"/>
        <w:ind w:firstLine="480" w:firstLineChars="200"/>
        <w:jc w:val="left"/>
        <w:rPr>
          <w:rFonts w:eastAsia="仿宋_GB2312"/>
          <w:sz w:val="24"/>
          <w:highlight w:val="yellow"/>
        </w:rPr>
      </w:pPr>
    </w:p>
    <w:p>
      <w:pPr>
        <w:spacing w:line="360" w:lineRule="auto"/>
        <w:ind w:firstLine="482" w:firstLineChars="200"/>
        <w:jc w:val="left"/>
        <w:rPr>
          <w:rFonts w:eastAsia="仿宋_GB2312"/>
          <w:b/>
          <w:sz w:val="24"/>
        </w:rPr>
      </w:pPr>
      <w:r>
        <w:rPr>
          <w:rFonts w:eastAsia="仿宋_GB2312"/>
          <w:b/>
          <w:sz w:val="24"/>
        </w:rPr>
        <w:t>五、主要经验与做法</w:t>
      </w:r>
    </w:p>
    <w:p>
      <w:pPr>
        <w:spacing w:line="360" w:lineRule="auto"/>
        <w:ind w:firstLine="555"/>
        <w:jc w:val="left"/>
        <w:rPr>
          <w:rFonts w:eastAsia="仿宋_GB2312"/>
          <w:b/>
          <w:bCs/>
          <w:sz w:val="24"/>
        </w:rPr>
      </w:pPr>
      <w:r>
        <w:rPr>
          <w:rFonts w:eastAsia="仿宋_GB2312"/>
          <w:b/>
          <w:bCs/>
          <w:sz w:val="24"/>
        </w:rPr>
        <w:t>（一）建立全新运行体系</w:t>
      </w:r>
    </w:p>
    <w:p>
      <w:pPr>
        <w:spacing w:line="360" w:lineRule="auto"/>
        <w:ind w:firstLine="480" w:firstLineChars="200"/>
        <w:jc w:val="left"/>
        <w:rPr>
          <w:rFonts w:eastAsia="仿宋_GB2312"/>
          <w:sz w:val="24"/>
        </w:rPr>
      </w:pPr>
      <w:r>
        <w:rPr>
          <w:rFonts w:eastAsia="仿宋_GB2312"/>
          <w:sz w:val="24"/>
        </w:rPr>
        <w:t>为确保公路保险顺利运行，提升服务水平，减少镇街工作量，公路管理处对接区财政局、镇街和保险公司，制定并建立了一套运行机制。</w:t>
      </w:r>
    </w:p>
    <w:p>
      <w:pPr>
        <w:spacing w:line="360" w:lineRule="auto"/>
        <w:ind w:firstLine="482" w:firstLineChars="200"/>
        <w:jc w:val="left"/>
        <w:rPr>
          <w:rFonts w:eastAsia="仿宋_GB2312"/>
          <w:b/>
          <w:bCs/>
          <w:sz w:val="24"/>
        </w:rPr>
      </w:pPr>
      <w:r>
        <w:rPr>
          <w:rFonts w:eastAsia="仿宋_GB2312"/>
          <w:b/>
          <w:bCs/>
          <w:sz w:val="24"/>
        </w:rPr>
        <w:t>（二）开展培训</w:t>
      </w:r>
    </w:p>
    <w:p>
      <w:pPr>
        <w:spacing w:line="360" w:lineRule="auto"/>
        <w:ind w:firstLine="480" w:firstLineChars="200"/>
        <w:jc w:val="left"/>
        <w:rPr>
          <w:rFonts w:eastAsia="仿宋_GB2312"/>
          <w:sz w:val="24"/>
        </w:rPr>
      </w:pPr>
      <w:r>
        <w:rPr>
          <w:rFonts w:eastAsia="仿宋_GB2312"/>
          <w:sz w:val="24"/>
        </w:rPr>
        <w:t>为让镇街更加了解公路综合保险的申报和理赔流程，公路管理处组织各镇街，召开了一次公路综合保险专题培训会，为各镇街答疑解惑。</w:t>
      </w:r>
    </w:p>
    <w:p>
      <w:pPr>
        <w:spacing w:line="360" w:lineRule="auto"/>
        <w:ind w:firstLine="482" w:firstLineChars="200"/>
        <w:jc w:val="left"/>
        <w:rPr>
          <w:rFonts w:eastAsia="仿宋_GB2312"/>
          <w:b/>
          <w:bCs/>
          <w:sz w:val="24"/>
        </w:rPr>
      </w:pPr>
      <w:r>
        <w:rPr>
          <w:rFonts w:eastAsia="仿宋_GB2312"/>
          <w:b/>
          <w:bCs/>
          <w:sz w:val="24"/>
        </w:rPr>
        <w:t>（三）强化指导和督促</w:t>
      </w:r>
    </w:p>
    <w:p>
      <w:pPr>
        <w:spacing w:line="360" w:lineRule="auto"/>
        <w:ind w:firstLine="480" w:firstLineChars="200"/>
        <w:jc w:val="left"/>
        <w:rPr>
          <w:rFonts w:eastAsia="仿宋_GB2312"/>
          <w:sz w:val="24"/>
        </w:rPr>
      </w:pPr>
      <w:r>
        <w:rPr>
          <w:rFonts w:eastAsia="仿宋_GB2312"/>
          <w:sz w:val="24"/>
        </w:rPr>
        <w:t>公路管理处明确专人负责公路综合保险工作，协助配合镇街踏勘现场和索赔，督促保险公司及时赔付到位。</w:t>
      </w:r>
    </w:p>
    <w:p>
      <w:pPr>
        <w:spacing w:line="360" w:lineRule="auto"/>
        <w:ind w:firstLine="555"/>
        <w:jc w:val="left"/>
        <w:rPr>
          <w:rFonts w:eastAsia="仿宋_GB2312"/>
          <w:sz w:val="24"/>
          <w:highlight w:val="yellow"/>
        </w:rPr>
      </w:pPr>
    </w:p>
    <w:p>
      <w:pPr>
        <w:spacing w:line="360" w:lineRule="auto"/>
        <w:ind w:firstLine="482" w:firstLineChars="200"/>
        <w:jc w:val="left"/>
        <w:rPr>
          <w:rFonts w:eastAsia="仿宋_GB2312"/>
          <w:b/>
          <w:sz w:val="24"/>
        </w:rPr>
      </w:pPr>
      <w:r>
        <w:rPr>
          <w:rFonts w:eastAsia="仿宋_GB2312"/>
          <w:b/>
          <w:sz w:val="24"/>
        </w:rPr>
        <w:t>六、存在的问题</w:t>
      </w:r>
    </w:p>
    <w:p>
      <w:pPr>
        <w:spacing w:line="360" w:lineRule="auto"/>
        <w:ind w:firstLine="482" w:firstLineChars="200"/>
        <w:jc w:val="left"/>
        <w:rPr>
          <w:rFonts w:eastAsia="仿宋_GB2312"/>
          <w:b/>
          <w:sz w:val="24"/>
        </w:rPr>
      </w:pPr>
      <w:r>
        <w:rPr>
          <w:rFonts w:eastAsia="仿宋_GB2312"/>
          <w:b/>
          <w:sz w:val="24"/>
        </w:rPr>
        <w:t>（一）资金监管不完善</w:t>
      </w:r>
    </w:p>
    <w:p>
      <w:pPr>
        <w:spacing w:line="360" w:lineRule="auto"/>
        <w:ind w:firstLine="480" w:firstLineChars="200"/>
        <w:jc w:val="left"/>
        <w:rPr>
          <w:rFonts w:eastAsia="仿宋_GB2312"/>
          <w:sz w:val="24"/>
        </w:rPr>
      </w:pPr>
      <w:r>
        <w:rPr>
          <w:rFonts w:eastAsia="仿宋_GB2312"/>
          <w:sz w:val="24"/>
        </w:rPr>
        <w:t>公路管理处财政资金监管不完善，内控制度执行不到位，理赔资金对账不及时，导致理赔资金重复打款给理赔乡镇，涉及金额25.12万元。</w:t>
      </w:r>
    </w:p>
    <w:p>
      <w:pPr>
        <w:spacing w:line="360" w:lineRule="auto"/>
        <w:ind w:firstLine="482" w:firstLineChars="200"/>
        <w:jc w:val="left"/>
        <w:rPr>
          <w:rFonts w:eastAsia="仿宋_GB2312"/>
          <w:b/>
          <w:sz w:val="24"/>
        </w:rPr>
      </w:pPr>
      <w:r>
        <w:rPr>
          <w:rFonts w:eastAsia="仿宋_GB2312"/>
          <w:b/>
          <w:sz w:val="24"/>
        </w:rPr>
        <w:t>（二）理赔范围较小</w:t>
      </w:r>
    </w:p>
    <w:p>
      <w:pPr>
        <w:spacing w:line="360" w:lineRule="auto"/>
        <w:ind w:firstLine="480" w:firstLineChars="200"/>
        <w:jc w:val="left"/>
        <w:rPr>
          <w:rFonts w:eastAsia="仿宋_GB2312"/>
          <w:bCs/>
          <w:sz w:val="24"/>
        </w:rPr>
      </w:pPr>
      <w:r>
        <w:rPr>
          <w:rFonts w:eastAsia="仿宋_GB2312"/>
          <w:bCs/>
          <w:sz w:val="24"/>
        </w:rPr>
        <w:t>1.一般年份（无大灾年份）时，因达不到理赔条件而免赔，导致理赔金额不理想，赔付率较低。</w:t>
      </w:r>
    </w:p>
    <w:p>
      <w:pPr>
        <w:spacing w:line="360" w:lineRule="auto"/>
        <w:ind w:firstLine="480" w:firstLineChars="200"/>
        <w:jc w:val="left"/>
        <w:rPr>
          <w:rFonts w:eastAsia="仿宋_GB2312"/>
          <w:bCs/>
          <w:sz w:val="24"/>
        </w:rPr>
      </w:pPr>
      <w:r>
        <w:rPr>
          <w:rFonts w:eastAsia="仿宋_GB2312"/>
          <w:bCs/>
          <w:sz w:val="24"/>
        </w:rPr>
        <w:t>2.公路综合保险是对已有公路财产的保险，但公路水毁发生后，常需新建挡土墙等结构物进行修复，该费用不在任何险种理赔范围内。</w:t>
      </w:r>
    </w:p>
    <w:p>
      <w:pPr>
        <w:spacing w:line="360" w:lineRule="auto"/>
        <w:ind w:firstLine="482" w:firstLineChars="200"/>
        <w:jc w:val="left"/>
        <w:rPr>
          <w:rFonts w:eastAsia="仿宋_GB2312"/>
          <w:b/>
          <w:sz w:val="24"/>
        </w:rPr>
      </w:pPr>
      <w:r>
        <w:rPr>
          <w:rFonts w:eastAsia="仿宋_GB2312"/>
          <w:b/>
          <w:sz w:val="24"/>
        </w:rPr>
        <w:t>（三）未设立绩效目标</w:t>
      </w:r>
    </w:p>
    <w:p>
      <w:pPr>
        <w:spacing w:line="360" w:lineRule="auto"/>
        <w:ind w:firstLine="480" w:firstLineChars="200"/>
        <w:jc w:val="left"/>
        <w:rPr>
          <w:rFonts w:eastAsia="仿宋_GB2312"/>
          <w:bCs/>
          <w:sz w:val="24"/>
        </w:rPr>
      </w:pPr>
      <w:r>
        <w:rPr>
          <w:rFonts w:eastAsia="仿宋_GB2312"/>
          <w:bCs/>
          <w:sz w:val="24"/>
        </w:rPr>
        <w:t>公路管理处未设立相应的绩效目标，不利于预算绩效管理及后期绩效评价考核。</w:t>
      </w:r>
    </w:p>
    <w:p>
      <w:pPr>
        <w:spacing w:line="360" w:lineRule="auto"/>
        <w:ind w:firstLine="482" w:firstLineChars="200"/>
        <w:jc w:val="left"/>
        <w:rPr>
          <w:rFonts w:eastAsia="仿宋_GB2312"/>
          <w:b/>
          <w:sz w:val="24"/>
        </w:rPr>
      </w:pPr>
      <w:r>
        <w:rPr>
          <w:rFonts w:eastAsia="仿宋_GB2312"/>
          <w:b/>
          <w:sz w:val="24"/>
        </w:rPr>
        <w:t>（四）预算编制不合理</w:t>
      </w:r>
    </w:p>
    <w:p>
      <w:pPr>
        <w:spacing w:line="360" w:lineRule="auto"/>
        <w:ind w:firstLine="480" w:firstLineChars="200"/>
        <w:jc w:val="left"/>
        <w:rPr>
          <w:rFonts w:eastAsia="仿宋_GB2312"/>
          <w:bCs/>
          <w:sz w:val="24"/>
        </w:rPr>
      </w:pPr>
      <w:r>
        <w:rPr>
          <w:rFonts w:eastAsia="仿宋_GB2312"/>
          <w:bCs/>
          <w:sz w:val="24"/>
        </w:rPr>
        <w:t>公路管理处预算编制不合理，渝北区公路综合保险项目2016年至2019年度实际执行资金较编制预算资金差异率均超30%以上，占用财政预算指标。</w:t>
      </w:r>
    </w:p>
    <w:p>
      <w:pPr>
        <w:spacing w:line="360" w:lineRule="auto"/>
        <w:ind w:firstLine="555"/>
        <w:jc w:val="left"/>
        <w:rPr>
          <w:rFonts w:eastAsia="仿宋_GB2312"/>
          <w:bCs/>
          <w:sz w:val="24"/>
        </w:rPr>
      </w:pPr>
    </w:p>
    <w:p>
      <w:pPr>
        <w:spacing w:line="360" w:lineRule="auto"/>
        <w:ind w:firstLine="482" w:firstLineChars="200"/>
        <w:jc w:val="left"/>
        <w:rPr>
          <w:rFonts w:eastAsia="仿宋_GB2312"/>
          <w:b/>
          <w:sz w:val="24"/>
        </w:rPr>
      </w:pPr>
      <w:r>
        <w:rPr>
          <w:rFonts w:eastAsia="仿宋_GB2312"/>
          <w:b/>
          <w:sz w:val="24"/>
        </w:rPr>
        <w:t>七、相关建议</w:t>
      </w:r>
    </w:p>
    <w:p>
      <w:pPr>
        <w:widowControl/>
        <w:snapToGrid w:val="0"/>
        <w:spacing w:line="360" w:lineRule="auto"/>
        <w:ind w:firstLine="480" w:firstLineChars="200"/>
        <w:jc w:val="left"/>
        <w:rPr>
          <w:rFonts w:eastAsia="仿宋_GB2312"/>
          <w:sz w:val="24"/>
        </w:rPr>
      </w:pPr>
      <w:r>
        <w:rPr>
          <w:rFonts w:eastAsia="仿宋_GB2312"/>
          <w:bCs/>
          <w:kern w:val="0"/>
          <w:sz w:val="24"/>
        </w:rPr>
        <w:t>（一）建议公路管理处进一步完善资金管理，对于获得的理赔款及时对账，</w:t>
      </w:r>
      <w:r>
        <w:rPr>
          <w:rFonts w:eastAsia="仿宋_GB2312"/>
          <w:sz w:val="24"/>
        </w:rPr>
        <w:t>规范资金管理，保障资金安全、高效运行。</w:t>
      </w:r>
    </w:p>
    <w:p>
      <w:pPr>
        <w:widowControl/>
        <w:snapToGrid w:val="0"/>
        <w:spacing w:line="360" w:lineRule="auto"/>
        <w:ind w:firstLine="480" w:firstLineChars="200"/>
        <w:jc w:val="left"/>
        <w:rPr>
          <w:rFonts w:eastAsia="仿宋_GB2312"/>
          <w:kern w:val="0"/>
          <w:sz w:val="24"/>
        </w:rPr>
      </w:pPr>
      <w:r>
        <w:rPr>
          <w:rFonts w:eastAsia="仿宋_GB2312"/>
          <w:kern w:val="0"/>
          <w:sz w:val="24"/>
        </w:rPr>
        <w:t>（二）建议公路管理处进一步调查研究，优化理赔条款，合理调整理赔单价，明确规定理赔程序，确保服务质量。</w:t>
      </w:r>
    </w:p>
    <w:p>
      <w:pPr>
        <w:widowControl/>
        <w:snapToGrid w:val="0"/>
        <w:spacing w:line="360" w:lineRule="auto"/>
        <w:ind w:firstLine="480" w:firstLineChars="200"/>
        <w:jc w:val="left"/>
        <w:rPr>
          <w:rFonts w:eastAsia="仿宋_GB2312"/>
          <w:kern w:val="0"/>
          <w:sz w:val="24"/>
        </w:rPr>
      </w:pPr>
      <w:r>
        <w:rPr>
          <w:rFonts w:eastAsia="仿宋_GB2312"/>
          <w:kern w:val="0"/>
          <w:sz w:val="24"/>
        </w:rPr>
        <w:t>（三）建议公路管理处设立项目绩效目标，注重产出分析，明确经济效益、社会效益和生态效益，保障项目建设的科学性，促进预算绩效管理，提高财政资金使用效益。</w:t>
      </w:r>
    </w:p>
    <w:p>
      <w:pPr>
        <w:widowControl/>
        <w:snapToGrid w:val="0"/>
        <w:spacing w:line="360" w:lineRule="auto"/>
        <w:ind w:firstLine="480" w:firstLineChars="200"/>
        <w:jc w:val="left"/>
        <w:rPr>
          <w:rFonts w:eastAsia="仿宋_GB2312"/>
          <w:kern w:val="0"/>
          <w:sz w:val="24"/>
        </w:rPr>
      </w:pPr>
      <w:r>
        <w:rPr>
          <w:rFonts w:eastAsia="仿宋_GB2312"/>
          <w:kern w:val="0"/>
          <w:sz w:val="24"/>
        </w:rPr>
        <w:t>（四）建议公路管理处合理编制预算，保障预算资金量与实际工作任务相匹配，充分发挥财政资金使用效益。</w:t>
      </w:r>
    </w:p>
    <w:p>
      <w:pPr>
        <w:widowControl/>
        <w:snapToGrid w:val="0"/>
        <w:spacing w:line="360" w:lineRule="auto"/>
        <w:ind w:firstLine="540"/>
        <w:jc w:val="left"/>
        <w:rPr>
          <w:rFonts w:eastAsia="仿宋_GB2312"/>
          <w:kern w:val="0"/>
          <w:sz w:val="24"/>
        </w:rPr>
      </w:pPr>
    </w:p>
    <w:p>
      <w:pPr>
        <w:spacing w:line="360" w:lineRule="auto"/>
        <w:ind w:firstLine="482" w:firstLineChars="200"/>
        <w:jc w:val="left"/>
        <w:rPr>
          <w:rFonts w:eastAsia="仿宋_GB2312"/>
          <w:b/>
          <w:sz w:val="24"/>
        </w:rPr>
      </w:pPr>
      <w:r>
        <w:rPr>
          <w:rFonts w:eastAsia="仿宋_GB2312"/>
          <w:b/>
          <w:sz w:val="24"/>
        </w:rPr>
        <w:t>八、其他需说明的事项</w:t>
      </w:r>
    </w:p>
    <w:p>
      <w:pPr>
        <w:spacing w:line="360" w:lineRule="auto"/>
        <w:ind w:firstLine="465"/>
        <w:jc w:val="left"/>
        <w:rPr>
          <w:rFonts w:eastAsia="仿宋_GB2312"/>
          <w:bCs/>
          <w:sz w:val="24"/>
        </w:rPr>
      </w:pPr>
      <w:r>
        <w:rPr>
          <w:rFonts w:eastAsia="仿宋_GB2312"/>
          <w:bCs/>
          <w:sz w:val="24"/>
        </w:rPr>
        <w:t>经查，2020年度公路综合保险下达预算资金160.00万元，该项目通过竞争性磋商的方式，确定中国太平洋财产保险股份有限公司重庆分公司为项目实施单位，采购金额为140.00万元。2020年6至2020年8月期间，申请理赔金额共计284.83万元，已获得理赔款共计111.87万元，赔付率达203.45%。</w:t>
      </w:r>
    </w:p>
    <w:p>
      <w:pPr>
        <w:spacing w:line="360" w:lineRule="auto"/>
        <w:ind w:firstLine="465"/>
        <w:jc w:val="left"/>
        <w:rPr>
          <w:rFonts w:eastAsia="仿宋_GB2312"/>
          <w:b/>
          <w:sz w:val="24"/>
        </w:rPr>
      </w:pPr>
    </w:p>
    <w:p>
      <w:pPr>
        <w:spacing w:line="360" w:lineRule="auto"/>
        <w:ind w:firstLine="465"/>
        <w:jc w:val="left"/>
        <w:rPr>
          <w:rFonts w:eastAsia="仿宋_GB2312"/>
          <w:b/>
          <w:sz w:val="24"/>
        </w:rPr>
      </w:pPr>
    </w:p>
    <w:p>
      <w:pPr>
        <w:widowControl/>
        <w:jc w:val="left"/>
        <w:rPr>
          <w:rFonts w:eastAsia="仿宋_GB2312"/>
          <w:b/>
          <w:sz w:val="24"/>
        </w:rPr>
      </w:pPr>
      <w:r>
        <w:rPr>
          <w:rFonts w:eastAsia="仿宋_GB2312"/>
          <w:b/>
          <w:sz w:val="24"/>
        </w:rPr>
        <w:br w:type="page"/>
      </w:r>
    </w:p>
    <w:p>
      <w:pPr>
        <w:spacing w:line="360" w:lineRule="auto"/>
        <w:ind w:firstLine="465"/>
        <w:jc w:val="left"/>
        <w:rPr>
          <w:rFonts w:eastAsia="仿宋_GB2312"/>
          <w:b/>
          <w:sz w:val="24"/>
        </w:rPr>
      </w:pPr>
      <w:r>
        <w:rPr>
          <w:rFonts w:eastAsia="仿宋_GB2312"/>
          <w:b/>
          <w:sz w:val="24"/>
        </w:rPr>
        <w:t>附件：</w:t>
      </w:r>
    </w:p>
    <w:p>
      <w:pPr>
        <w:numPr>
          <w:ilvl w:val="0"/>
          <w:numId w:val="6"/>
        </w:numPr>
        <w:spacing w:line="360" w:lineRule="auto"/>
        <w:ind w:firstLine="360" w:firstLineChars="150"/>
        <w:rPr>
          <w:rFonts w:eastAsia="仿宋_GB2312"/>
          <w:sz w:val="24"/>
        </w:rPr>
      </w:pPr>
      <w:r>
        <w:rPr>
          <w:rFonts w:eastAsia="仿宋_GB2312"/>
          <w:sz w:val="24"/>
        </w:rPr>
        <w:t>2016年</w:t>
      </w:r>
      <w:r>
        <w:rPr>
          <w:rFonts w:hint="eastAsia" w:eastAsia="仿宋_GB2312"/>
          <w:sz w:val="24"/>
        </w:rPr>
        <w:t>至</w:t>
      </w:r>
      <w:r>
        <w:rPr>
          <w:rFonts w:eastAsia="仿宋_GB2312"/>
          <w:sz w:val="24"/>
        </w:rPr>
        <w:t>2019年渝北区公路综合保险项目绩效评价指标体系；</w:t>
      </w:r>
    </w:p>
    <w:p>
      <w:pPr>
        <w:numPr>
          <w:ilvl w:val="0"/>
          <w:numId w:val="6"/>
        </w:numPr>
        <w:spacing w:line="360" w:lineRule="auto"/>
        <w:ind w:firstLine="360" w:firstLineChars="150"/>
        <w:rPr>
          <w:rFonts w:eastAsia="仿宋_GB2312"/>
          <w:sz w:val="24"/>
        </w:rPr>
      </w:pPr>
      <w:r>
        <w:rPr>
          <w:rFonts w:eastAsia="仿宋_GB2312"/>
          <w:sz w:val="24"/>
        </w:rPr>
        <w:t>重庆同辉会计师事务所《执业资格证书》复印件；</w:t>
      </w:r>
    </w:p>
    <w:p>
      <w:pPr>
        <w:numPr>
          <w:ilvl w:val="0"/>
          <w:numId w:val="6"/>
        </w:numPr>
        <w:spacing w:line="360" w:lineRule="auto"/>
        <w:ind w:firstLine="360" w:firstLineChars="150"/>
        <w:rPr>
          <w:rFonts w:eastAsia="仿宋_GB2312"/>
          <w:sz w:val="24"/>
        </w:rPr>
      </w:pPr>
      <w:r>
        <w:rPr>
          <w:rFonts w:eastAsia="仿宋_GB2312"/>
          <w:sz w:val="24"/>
        </w:rPr>
        <w:t>重庆同辉会计师事务所《营业执照》复印件；</w:t>
      </w:r>
    </w:p>
    <w:p>
      <w:pPr>
        <w:numPr>
          <w:ilvl w:val="0"/>
          <w:numId w:val="6"/>
        </w:numPr>
        <w:spacing w:line="360" w:lineRule="auto"/>
        <w:ind w:firstLine="360" w:firstLineChars="150"/>
        <w:rPr>
          <w:rFonts w:eastAsia="仿宋_GB2312"/>
          <w:sz w:val="24"/>
        </w:rPr>
      </w:pPr>
      <w:r>
        <w:rPr>
          <w:rFonts w:eastAsia="仿宋_GB2312"/>
          <w:sz w:val="24"/>
        </w:rPr>
        <w:t>执业注册会计师证书（复印件）。</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ind w:firstLine="785" w:firstLineChars="326"/>
        <w:rPr>
          <w:rFonts w:eastAsia="仿宋_GB2312"/>
          <w:b/>
          <w:bCs/>
          <w:sz w:val="24"/>
        </w:rPr>
      </w:pPr>
      <w:r>
        <w:rPr>
          <w:rFonts w:eastAsia="仿宋_GB2312"/>
          <w:b/>
          <w:bCs/>
          <w:sz w:val="24"/>
        </w:rPr>
        <w:t>重庆同辉会计师事务所</w:t>
      </w:r>
      <w:r>
        <w:rPr>
          <w:b/>
          <w:bCs/>
          <w:sz w:val="24"/>
        </w:rPr>
        <w:t xml:space="preserve">        </w:t>
      </w:r>
      <w:r>
        <w:rPr>
          <w:rFonts w:eastAsia="仿宋_GB2312"/>
          <w:b/>
          <w:bCs/>
          <w:sz w:val="24"/>
        </w:rPr>
        <w:t xml:space="preserve">  中国注册会计师：</w:t>
      </w:r>
    </w:p>
    <w:p>
      <w:pPr>
        <w:spacing w:line="360" w:lineRule="auto"/>
        <w:ind w:firstLine="1267" w:firstLineChars="526"/>
        <w:rPr>
          <w:rFonts w:eastAsia="仿宋_GB2312"/>
          <w:b/>
          <w:bCs/>
          <w:sz w:val="24"/>
        </w:rPr>
      </w:pPr>
      <w:r>
        <w:rPr>
          <w:rFonts w:eastAsia="仿宋_GB2312"/>
          <w:b/>
          <w:bCs/>
          <w:sz w:val="24"/>
        </w:rPr>
        <w:t>(普通合伙)</w:t>
      </w:r>
    </w:p>
    <w:p>
      <w:pPr>
        <w:spacing w:line="360" w:lineRule="auto"/>
        <w:rPr>
          <w:rFonts w:eastAsia="仿宋_GB2312"/>
          <w:b/>
          <w:bCs/>
          <w:sz w:val="24"/>
        </w:rPr>
      </w:pPr>
      <w:r>
        <w:rPr>
          <w:rFonts w:eastAsia="仿宋_GB2312"/>
          <w:b/>
          <w:bCs/>
          <w:sz w:val="24"/>
        </w:rPr>
        <w:t xml:space="preserve">           中国·重庆                中国注册会计师：</w:t>
      </w:r>
    </w:p>
    <w:p>
      <w:pPr>
        <w:spacing w:line="360" w:lineRule="auto"/>
        <w:rPr>
          <w:rFonts w:eastAsia="仿宋_GB2312"/>
          <w:b/>
          <w:bCs/>
          <w:sz w:val="24"/>
        </w:rPr>
      </w:pPr>
    </w:p>
    <w:p>
      <w:pPr>
        <w:spacing w:line="360" w:lineRule="auto"/>
        <w:jc w:val="center"/>
        <w:rPr>
          <w:b/>
          <w:bCs/>
          <w:sz w:val="24"/>
        </w:rPr>
      </w:pPr>
      <w:r>
        <w:rPr>
          <w:b/>
          <w:bCs/>
          <w:sz w:val="24"/>
        </w:rPr>
        <w:t xml:space="preserve">                        </w:t>
      </w:r>
    </w:p>
    <w:p>
      <w:pPr>
        <w:spacing w:line="360" w:lineRule="auto"/>
        <w:jc w:val="center"/>
        <w:rPr>
          <w:rFonts w:eastAsia="仿宋_GB2312"/>
          <w:b/>
          <w:bCs/>
          <w:sz w:val="24"/>
        </w:rPr>
      </w:pPr>
      <w:r>
        <w:rPr>
          <w:b/>
          <w:bCs/>
          <w:sz w:val="24"/>
        </w:rPr>
        <w:t xml:space="preserve">              </w:t>
      </w:r>
      <w:r>
        <w:rPr>
          <w:rFonts w:eastAsia="仿宋_GB2312"/>
          <w:b/>
          <w:bCs/>
          <w:sz w:val="24"/>
        </w:rPr>
        <w:t>2020年 8月 22 日</w:t>
      </w:r>
    </w:p>
    <w:p>
      <w:pPr>
        <w:widowControl/>
        <w:jc w:val="left"/>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90405"/>
    <w:multiLevelType w:val="singleLevel"/>
    <w:tmpl w:val="C4B90405"/>
    <w:lvl w:ilvl="0" w:tentative="0">
      <w:start w:val="1"/>
      <w:numFmt w:val="chineseCounting"/>
      <w:suff w:val="nothing"/>
      <w:lvlText w:val="（%1）"/>
      <w:lvlJc w:val="left"/>
      <w:rPr>
        <w:rFonts w:hint="eastAsia"/>
      </w:rPr>
    </w:lvl>
  </w:abstractNum>
  <w:abstractNum w:abstractNumId="1">
    <w:nsid w:val="FB2CFAA4"/>
    <w:multiLevelType w:val="singleLevel"/>
    <w:tmpl w:val="FB2CFAA4"/>
    <w:lvl w:ilvl="0" w:tentative="0">
      <w:start w:val="2"/>
      <w:numFmt w:val="chineseCounting"/>
      <w:suff w:val="nothing"/>
      <w:lvlText w:val="（%1）"/>
      <w:lvlJc w:val="left"/>
      <w:rPr>
        <w:rFonts w:hint="eastAsia"/>
      </w:rPr>
    </w:lvl>
  </w:abstractNum>
  <w:abstractNum w:abstractNumId="2">
    <w:nsid w:val="FB693430"/>
    <w:multiLevelType w:val="singleLevel"/>
    <w:tmpl w:val="FB693430"/>
    <w:lvl w:ilvl="0" w:tentative="0">
      <w:start w:val="1"/>
      <w:numFmt w:val="chineseCounting"/>
      <w:suff w:val="nothing"/>
      <w:lvlText w:val="%1、"/>
      <w:lvlJc w:val="left"/>
      <w:rPr>
        <w:rFonts w:hint="eastAsia"/>
      </w:rPr>
    </w:lvl>
  </w:abstractNum>
  <w:abstractNum w:abstractNumId="3">
    <w:nsid w:val="0EFE5978"/>
    <w:multiLevelType w:val="singleLevel"/>
    <w:tmpl w:val="0EFE5978"/>
    <w:lvl w:ilvl="0" w:tentative="0">
      <w:start w:val="1"/>
      <w:numFmt w:val="decimal"/>
      <w:suff w:val="nothing"/>
      <w:lvlText w:val="（%1）"/>
      <w:lvlJc w:val="left"/>
    </w:lvl>
  </w:abstractNum>
  <w:abstractNum w:abstractNumId="4">
    <w:nsid w:val="2FF40A5E"/>
    <w:multiLevelType w:val="singleLevel"/>
    <w:tmpl w:val="2FF40A5E"/>
    <w:lvl w:ilvl="0" w:tentative="0">
      <w:start w:val="1"/>
      <w:numFmt w:val="decimal"/>
      <w:suff w:val="nothing"/>
      <w:lvlText w:val="%1．"/>
      <w:lvlJc w:val="left"/>
    </w:lvl>
  </w:abstractNum>
  <w:abstractNum w:abstractNumId="5">
    <w:nsid w:val="5911E301"/>
    <w:multiLevelType w:val="singleLevel"/>
    <w:tmpl w:val="5911E301"/>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429"/>
    <w:rsid w:val="00036648"/>
    <w:rsid w:val="000C2690"/>
    <w:rsid w:val="000E0FED"/>
    <w:rsid w:val="00140417"/>
    <w:rsid w:val="001618EF"/>
    <w:rsid w:val="001718B0"/>
    <w:rsid w:val="0031629C"/>
    <w:rsid w:val="00347E47"/>
    <w:rsid w:val="0043743A"/>
    <w:rsid w:val="004A02AD"/>
    <w:rsid w:val="004B1A72"/>
    <w:rsid w:val="004E255B"/>
    <w:rsid w:val="00516095"/>
    <w:rsid w:val="005F22C9"/>
    <w:rsid w:val="006031A5"/>
    <w:rsid w:val="006775AE"/>
    <w:rsid w:val="006F2E0E"/>
    <w:rsid w:val="0081677F"/>
    <w:rsid w:val="008D3C73"/>
    <w:rsid w:val="00932D39"/>
    <w:rsid w:val="009705BB"/>
    <w:rsid w:val="009903C7"/>
    <w:rsid w:val="009D620D"/>
    <w:rsid w:val="009E77AD"/>
    <w:rsid w:val="00A54C5A"/>
    <w:rsid w:val="00A5743A"/>
    <w:rsid w:val="00BB7429"/>
    <w:rsid w:val="00BC5B40"/>
    <w:rsid w:val="00CA3985"/>
    <w:rsid w:val="00CE19A6"/>
    <w:rsid w:val="00D00E13"/>
    <w:rsid w:val="00D4069F"/>
    <w:rsid w:val="00D408E9"/>
    <w:rsid w:val="00E610D8"/>
    <w:rsid w:val="00EB3331"/>
    <w:rsid w:val="00F534CD"/>
    <w:rsid w:val="3A23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autoSpaceDE w:val="0"/>
      <w:autoSpaceDN w:val="0"/>
      <w:spacing w:before="214"/>
      <w:ind w:left="232"/>
      <w:jc w:val="left"/>
    </w:pPr>
    <w:rPr>
      <w:rFonts w:ascii="宋体" w:hAnsi="宋体" w:eastAsia="宋体" w:cs="宋体"/>
      <w:kern w:val="0"/>
      <w:sz w:val="32"/>
      <w:szCs w:val="32"/>
      <w:lang w:eastAsia="en-US"/>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semiHidden/>
    <w:qFormat/>
    <w:uiPriority w:val="99"/>
  </w:style>
  <w:style w:type="character" w:customStyle="1" w:styleId="12">
    <w:name w:val="正文文本 Char1"/>
    <w:basedOn w:val="7"/>
    <w:link w:val="2"/>
    <w:semiHidden/>
    <w:qFormat/>
    <w:locked/>
    <w:uiPriority w:val="99"/>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2924</Words>
  <Characters>16667</Characters>
  <Lines>138</Lines>
  <Paragraphs>39</Paragraphs>
  <TotalTime>41</TotalTime>
  <ScaleCrop>false</ScaleCrop>
  <LinksUpToDate>false</LinksUpToDate>
  <CharactersWithSpaces>19552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2021-08-27T01:44:00Z</dcterms:created>
  <dc:creator>Dell-Liu</dc:creator>
  <cp:lastModifiedBy>杨倩怡</cp:lastModifiedBy>
  <cp:lastPrinted>2021-08-27T02:21:00Z</cp:lastPrinted>
  <dcterms:modified xsi:type="dcterms:W3CDTF">2024-12-04T02:04:22Z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