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11.odttf" ContentType="application/vnd.openxmlformats-officedocument.obfuscatedFont"/>
  <Override PartName="/word/fonts/font12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268F7">
      <w:pPr>
        <w:spacing w:line="560" w:lineRule="exact"/>
        <w:jc w:val="center"/>
        <w:rPr>
          <w:rFonts w:hint="eastAsia" w:ascii="方正小标宋_GBK" w:hAnsi="方正小标宋简体" w:eastAsia="方正小标宋_GBK" w:cs="方正小标宋简体"/>
          <w:sz w:val="44"/>
          <w:szCs w:val="32"/>
        </w:rPr>
      </w:pPr>
    </w:p>
    <w:p w14:paraId="46E4A2E2">
      <w:pPr>
        <w:spacing w:line="560" w:lineRule="exact"/>
        <w:jc w:val="center"/>
        <w:rPr>
          <w:rFonts w:hint="eastAsia" w:ascii="方正小标宋_GBK" w:hAnsi="方正小标宋简体" w:eastAsia="方正小标宋_GBK" w:cs="方正小标宋简体"/>
          <w:sz w:val="44"/>
          <w:szCs w:val="32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32"/>
        </w:rPr>
        <w:t>重庆市渝北区经济和信息化委员会</w:t>
      </w:r>
    </w:p>
    <w:p w14:paraId="67A928D2">
      <w:pPr>
        <w:spacing w:line="560" w:lineRule="exact"/>
        <w:jc w:val="center"/>
        <w:rPr>
          <w:rFonts w:ascii="方正小标宋_GBK" w:hAnsi="方正小标宋简体" w:eastAsia="方正小标宋_GBK" w:cs="方正小标宋简体"/>
          <w:sz w:val="44"/>
          <w:szCs w:val="32"/>
        </w:rPr>
      </w:pPr>
      <w:r>
        <w:rPr>
          <w:rFonts w:hint="eastAsia" w:ascii="方正小标宋_GBK" w:hAnsi="方正小标宋简体" w:eastAsia="方正小标宋_GBK" w:cs="方正小标宋简体"/>
          <w:sz w:val="44"/>
          <w:szCs w:val="32"/>
        </w:rPr>
        <w:t>关于</w:t>
      </w:r>
      <w:r>
        <w:rPr>
          <w:rFonts w:hint="eastAsia" w:ascii="方正小标宋_GBK" w:hAnsi="方正小标宋简体" w:eastAsia="方正小标宋_GBK" w:cs="方正小标宋简体"/>
          <w:sz w:val="44"/>
          <w:szCs w:val="32"/>
          <w:lang w:val="en-US" w:eastAsia="zh-CN"/>
        </w:rPr>
        <w:t>动态优化</w:t>
      </w:r>
      <w:r>
        <w:rPr>
          <w:rFonts w:hint="eastAsia" w:ascii="方正小标宋_GBK" w:hAnsi="方正小标宋简体" w:eastAsia="方正小标宋_GBK" w:cs="方正小标宋简体"/>
          <w:sz w:val="44"/>
          <w:szCs w:val="32"/>
        </w:rPr>
        <w:t>渝北区中小企业数字化转型服务商</w:t>
      </w:r>
      <w:r>
        <w:rPr>
          <w:rFonts w:hint="eastAsia" w:ascii="方正小标宋_GBK" w:hAnsi="方正小标宋简体" w:eastAsia="方正小标宋_GBK" w:cs="方正小标宋简体"/>
          <w:sz w:val="44"/>
          <w:szCs w:val="32"/>
          <w:lang w:val="en-US" w:eastAsia="zh-CN"/>
        </w:rPr>
        <w:t>资源池</w:t>
      </w:r>
      <w:r>
        <w:rPr>
          <w:rFonts w:hint="eastAsia" w:ascii="方正小标宋_GBK" w:hAnsi="方正小标宋简体" w:eastAsia="方正小标宋_GBK" w:cs="方正小标宋简体"/>
          <w:sz w:val="44"/>
          <w:szCs w:val="32"/>
        </w:rPr>
        <w:t>的通知</w:t>
      </w:r>
    </w:p>
    <w:p w14:paraId="5F8FE451">
      <w:pPr>
        <w:pStyle w:val="5"/>
        <w:spacing w:after="0"/>
        <w:ind w:firstLine="640" w:firstLineChars="200"/>
      </w:pPr>
    </w:p>
    <w:p w14:paraId="2E36E413">
      <w:pPr>
        <w:pStyle w:val="19"/>
        <w:ind w:firstLine="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各有关</w:t>
      </w:r>
      <w:r>
        <w:rPr>
          <w:rFonts w:hint="default" w:ascii="Times New Roman" w:hAnsi="Times New Roman" w:cs="Times New Roman"/>
          <w:lang w:val="en-US" w:eastAsia="zh-CN"/>
        </w:rPr>
        <w:t>单位</w:t>
      </w:r>
      <w:r>
        <w:rPr>
          <w:rFonts w:hint="default" w:ascii="Times New Roman" w:hAnsi="Times New Roman" w:cs="Times New Roman"/>
        </w:rPr>
        <w:t>：</w:t>
      </w:r>
    </w:p>
    <w:p w14:paraId="0AD86EEB">
      <w:pPr>
        <w:pStyle w:val="1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为深入贯彻落实党中央、国务院关于支持中小企业创新发展、加快中小企业数字化转型系列决策部署，</w:t>
      </w:r>
      <w:r>
        <w:rPr>
          <w:rFonts w:hint="eastAsia" w:ascii="Times New Roman" w:hAnsi="Times New Roman" w:cs="Times New Roman"/>
          <w:lang w:val="en-US" w:eastAsia="zh-CN"/>
        </w:rPr>
        <w:t>完善</w:t>
      </w:r>
      <w:r>
        <w:rPr>
          <w:rFonts w:hint="default" w:ascii="Times New Roman" w:hAnsi="Times New Roman" w:cs="Times New Roman"/>
          <w:lang w:val="en-US" w:eastAsia="zh-CN"/>
        </w:rPr>
        <w:t>渝北区中小企业数字化转型服务商资源体系建设</w:t>
      </w:r>
      <w:r>
        <w:rPr>
          <w:rFonts w:hint="default" w:ascii="Times New Roman" w:hAnsi="Times New Roman" w:cs="Times New Roman"/>
        </w:rPr>
        <w:t>，拟围绕渝北区汽车零配件、智能装备、消费电子、服装及其他日用品4个试点行业细分领域，</w:t>
      </w:r>
      <w:r>
        <w:rPr>
          <w:rFonts w:hint="eastAsia" w:ascii="Times New Roman" w:hAnsi="Times New Roman" w:cs="Times New Roman"/>
          <w:lang w:val="en-US" w:eastAsia="zh-CN"/>
        </w:rPr>
        <w:t>动态优化</w:t>
      </w:r>
      <w:r>
        <w:rPr>
          <w:rFonts w:hint="default" w:ascii="Times New Roman" w:hAnsi="Times New Roman" w:cs="Times New Roman"/>
        </w:rPr>
        <w:t>中小企业数字化转型服务商</w:t>
      </w:r>
      <w:r>
        <w:rPr>
          <w:rFonts w:hint="eastAsia" w:ascii="Times New Roman" w:hAnsi="Times New Roman" w:cs="Times New Roman"/>
          <w:lang w:val="en-US" w:eastAsia="zh-CN"/>
        </w:rPr>
        <w:t>资源池</w:t>
      </w:r>
      <w:r>
        <w:rPr>
          <w:rFonts w:hint="default" w:ascii="Times New Roman" w:hAnsi="Times New Roman" w:cs="Times New Roman"/>
        </w:rPr>
        <w:t>，现将有关事项通知如下：</w:t>
      </w:r>
    </w:p>
    <w:p w14:paraId="33D12847">
      <w:pPr>
        <w:pStyle w:val="20"/>
        <w:rPr>
          <w:rFonts w:hint="default" w:ascii="Times New Roman" w:hAnsi="Times New Roman" w:eastAsia="方正黑体_GBK" w:cs="Times New Roman"/>
          <w:lang w:val="en-US" w:eastAsia="zh-CN"/>
        </w:rPr>
      </w:pPr>
      <w:bookmarkStart w:id="0" w:name="_Toc23903"/>
      <w:r>
        <w:rPr>
          <w:rFonts w:hint="eastAsia" w:ascii="Times New Roman" w:hAnsi="Times New Roman" w:eastAsia="方正黑体_GBK" w:cs="Times New Roman"/>
          <w:lang w:val="en-US" w:eastAsia="zh-CN"/>
        </w:rPr>
        <w:t>一</w:t>
      </w:r>
      <w:r>
        <w:rPr>
          <w:rFonts w:hint="default" w:ascii="Times New Roman" w:hAnsi="Times New Roman" w:eastAsia="方正黑体_GBK" w:cs="Times New Roman"/>
        </w:rPr>
        <w:t>、</w:t>
      </w:r>
      <w:r>
        <w:rPr>
          <w:rFonts w:hint="eastAsia" w:ascii="Times New Roman" w:hAnsi="Times New Roman" w:eastAsia="方正黑体_GBK" w:cs="Times New Roman"/>
          <w:lang w:val="en-US" w:eastAsia="zh-CN"/>
        </w:rPr>
        <w:t>资源池管理</w:t>
      </w:r>
    </w:p>
    <w:p w14:paraId="6C6BA7B2">
      <w:pPr>
        <w:pStyle w:val="19"/>
        <w:rPr>
          <w:rFonts w:hint="eastAsia" w:eastAsia="方正仿宋_GBK"/>
          <w:lang w:eastAsia="zh-CN"/>
        </w:rPr>
      </w:pPr>
      <w:r>
        <w:rPr>
          <w:rFonts w:hint="eastAsia"/>
          <w:lang w:val="en-US" w:eastAsia="zh-CN"/>
        </w:rPr>
        <w:t>根据</w:t>
      </w:r>
      <w:r>
        <w:rPr>
          <w:rFonts w:hint="eastAsia"/>
        </w:rPr>
        <w:t>《关于重庆市渝北区中小企业数字化转型服务商遴选结果的公告》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渝北区形成了“6+36”的服务商资源池，将</w:t>
      </w:r>
      <w:r>
        <w:rPr>
          <w:rFonts w:hint="eastAsia"/>
        </w:rPr>
        <w:t>实行动态管理及退出机制</w:t>
      </w:r>
      <w:r>
        <w:rPr>
          <w:rFonts w:hint="eastAsia"/>
          <w:lang w:eastAsia="zh-CN"/>
        </w:rPr>
        <w:t>。</w:t>
      </w:r>
      <w:r>
        <w:rPr>
          <w:rFonts w:hint="eastAsia"/>
        </w:rPr>
        <w:t>对进入失信黑名单的服务商，将公开通报和取消资源池资格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对自愿退出资源池的服务商，服务商自行提交退出申请书（格式自拟），</w:t>
      </w:r>
      <w:r>
        <w:rPr>
          <w:rFonts w:hint="default" w:ascii="Times New Roman" w:hAnsi="Times New Roman" w:cs="Times New Roman"/>
        </w:rPr>
        <w:t>于202</w:t>
      </w:r>
      <w:r>
        <w:rPr>
          <w:rFonts w:hint="default" w:ascii="Times New Roman" w:hAnsi="Times New Roman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</w:rPr>
        <w:t>年</w:t>
      </w:r>
      <w:r>
        <w:rPr>
          <w:rFonts w:hint="default" w:ascii="Times New Roman" w:hAnsi="Times New Roman" w:cs="Times New Roman"/>
          <w:lang w:val="en-US" w:eastAsia="zh-CN"/>
        </w:rPr>
        <w:t>8</w:t>
      </w:r>
      <w:r>
        <w:rPr>
          <w:rFonts w:hint="default" w:ascii="Times New Roman" w:hAnsi="Times New Roman" w:cs="Times New Roman"/>
        </w:rPr>
        <w:t>月</w:t>
      </w:r>
      <w:r>
        <w:rPr>
          <w:rFonts w:hint="default" w:ascii="Times New Roman" w:hAnsi="Times New Roman" w:cs="Times New Roman"/>
          <w:lang w:val="en-US" w:eastAsia="zh-CN"/>
        </w:rPr>
        <w:t>30</w:t>
      </w:r>
      <w:r>
        <w:rPr>
          <w:rFonts w:hint="default" w:ascii="Times New Roman" w:hAnsi="Times New Roman" w:cs="Times New Roman"/>
        </w:rPr>
        <w:t>日18:00前将</w:t>
      </w:r>
      <w:r>
        <w:rPr>
          <w:rFonts w:hint="eastAsia"/>
          <w:lang w:val="en-US" w:eastAsia="zh-CN"/>
        </w:rPr>
        <w:t>退出申请书</w:t>
      </w:r>
      <w:r>
        <w:rPr>
          <w:rFonts w:hint="default" w:ascii="Times New Roman" w:hAnsi="Times New Roman" w:cs="Times New Roman"/>
        </w:rPr>
        <w:t>盖章扫描件电子版发送至指定电子邮箱</w:t>
      </w:r>
      <w:r>
        <w:rPr>
          <w:rFonts w:hint="eastAsia" w:ascii="Times New Roman" w:hAnsi="Times New Roman" w:cs="Times New Roman"/>
          <w:lang w:eastAsia="zh-CN"/>
        </w:rPr>
        <w:t>。</w:t>
      </w:r>
    </w:p>
    <w:p w14:paraId="2C23E1D3">
      <w:pPr>
        <w:pStyle w:val="20"/>
        <w:rPr>
          <w:rFonts w:hint="default" w:ascii="Times New Roman" w:hAnsi="Times New Roman" w:eastAsia="方正黑体_GBK" w:cs="Times New Roman"/>
          <w:lang w:val="en-US" w:eastAsia="zh-CN"/>
        </w:rPr>
      </w:pPr>
      <w:r>
        <w:rPr>
          <w:rFonts w:hint="eastAsia" w:ascii="Times New Roman" w:hAnsi="Times New Roman" w:eastAsia="方正黑体_GBK" w:cs="Times New Roman"/>
          <w:lang w:val="en-US" w:eastAsia="zh-CN"/>
        </w:rPr>
        <w:t>二</w:t>
      </w:r>
      <w:r>
        <w:rPr>
          <w:rFonts w:hint="default" w:ascii="Times New Roman" w:hAnsi="Times New Roman" w:eastAsia="方正黑体_GBK" w:cs="Times New Roman"/>
        </w:rPr>
        <w:t>、</w:t>
      </w:r>
      <w:bookmarkEnd w:id="0"/>
      <w:r>
        <w:rPr>
          <w:rFonts w:hint="eastAsia" w:ascii="Times New Roman" w:hAnsi="Times New Roman" w:eastAsia="方正黑体_GBK" w:cs="Times New Roman"/>
          <w:lang w:val="en-US" w:eastAsia="zh-CN"/>
        </w:rPr>
        <w:t>服务商增选</w:t>
      </w:r>
      <w:bookmarkStart w:id="3" w:name="_GoBack"/>
      <w:bookmarkEnd w:id="3"/>
    </w:p>
    <w:p w14:paraId="1BFB7756">
      <w:pPr>
        <w:pStyle w:val="19"/>
        <w:rPr>
          <w:rFonts w:hint="eastAsia" w:ascii="方正楷体_GBK" w:hAnsi="方正楷体_GBK" w:eastAsia="方正楷体_GBK" w:cs="方正楷体_GBK"/>
          <w:lang w:val="en-US" w:eastAsia="zh-CN"/>
        </w:rPr>
      </w:pPr>
      <w:r>
        <w:rPr>
          <w:rFonts w:hint="eastAsia" w:ascii="方正楷体_GBK" w:hAnsi="方正楷体_GBK" w:eastAsia="方正楷体_GBK" w:cs="方正楷体_GBK"/>
        </w:rPr>
        <w:t>（一）</w:t>
      </w:r>
      <w:r>
        <w:rPr>
          <w:rFonts w:hint="eastAsia" w:ascii="方正楷体_GBK" w:hAnsi="方正楷体_GBK" w:eastAsia="方正楷体_GBK" w:cs="方正楷体_GBK"/>
          <w:lang w:val="en-US" w:eastAsia="zh-CN"/>
        </w:rPr>
        <w:t>征集条件</w:t>
      </w:r>
    </w:p>
    <w:p w14:paraId="3AC6933C">
      <w:pPr>
        <w:pStyle w:val="19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1.</w:t>
      </w:r>
      <w:r>
        <w:rPr>
          <w:rFonts w:hint="default" w:ascii="Times New Roman" w:hAnsi="Times New Roman" w:cs="Times New Roman"/>
        </w:rPr>
        <w:t>申报主体为国内注册成立单位，运营、财务状况及信用良好，未违反国家、市联合惩戒政策和制度规定，未被相关部门列为失信联合惩戒对象。</w:t>
      </w:r>
    </w:p>
    <w:p w14:paraId="0D001302">
      <w:pPr>
        <w:pStyle w:val="19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2.</w:t>
      </w:r>
      <w:r>
        <w:rPr>
          <w:rFonts w:hint="default" w:ascii="Times New Roman" w:hAnsi="Times New Roman" w:cs="Times New Roman"/>
        </w:rPr>
        <w:t>具有本地服务能力，需提供能够证明具有本地服务能力的相关材料。技术团队健全稳定，专业服务能力强，沟通能力好，具备保障其工作开展的技术和服务团队及人员配备。</w:t>
      </w:r>
    </w:p>
    <w:p w14:paraId="50FF432A">
      <w:pPr>
        <w:pStyle w:val="19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3.</w:t>
      </w:r>
      <w:r>
        <w:rPr>
          <w:rFonts w:hint="default" w:ascii="Times New Roman" w:hAnsi="Times New Roman" w:cs="Times New Roman"/>
        </w:rPr>
        <w:t>能准确理解并运用《中小企业数字化转型指南》《中小企业数字化水平评测指标》等标准</w:t>
      </w:r>
      <w:r>
        <w:rPr>
          <w:rFonts w:hint="default" w:ascii="Times New Roman" w:hAnsi="Times New Roman" w:cs="Times New Roman"/>
          <w:lang w:eastAsia="zh-CN"/>
        </w:rPr>
        <w:t>（根据工业和信息化部办公厅发布的最新版本确定）</w:t>
      </w:r>
      <w:r>
        <w:rPr>
          <w:rFonts w:hint="default" w:ascii="Times New Roman" w:hAnsi="Times New Roman" w:cs="Times New Roman"/>
        </w:rPr>
        <w:t>，并能够依据标准为中小企业开展数字化转型服务。</w:t>
      </w:r>
    </w:p>
    <w:p w14:paraId="2CCAD579">
      <w:pPr>
        <w:pStyle w:val="19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4.</w:t>
      </w:r>
      <w:r>
        <w:rPr>
          <w:rFonts w:hint="default" w:ascii="Times New Roman" w:hAnsi="Times New Roman" w:cs="Times New Roman"/>
        </w:rPr>
        <w:t>具备较强的中小企业数字化转型服务能力，能提供“小快轻准”型服务或产品，具有丰富的项目实践经验和典型应用案例。</w:t>
      </w:r>
    </w:p>
    <w:p w14:paraId="09EEB378">
      <w:pPr>
        <w:pStyle w:val="19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5.</w:t>
      </w:r>
      <w:r>
        <w:rPr>
          <w:rFonts w:hint="default" w:ascii="Times New Roman" w:hAnsi="Times New Roman" w:cs="Times New Roman"/>
        </w:rPr>
        <w:t>同一单位原则上最多可以申报2个细分行业方向。</w:t>
      </w:r>
    </w:p>
    <w:p w14:paraId="085BD8B5">
      <w:pPr>
        <w:pStyle w:val="19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6.已入围资源池的专业服务商不再重复申报。</w:t>
      </w:r>
    </w:p>
    <w:p w14:paraId="2567AFDA">
      <w:pPr>
        <w:pStyle w:val="19"/>
        <w:rPr>
          <w:rFonts w:hint="default" w:ascii="方正楷体_GBK" w:hAnsi="方正楷体_GBK" w:eastAsia="方正楷体_GBK" w:cs="方正楷体_GBK"/>
        </w:rPr>
      </w:pPr>
      <w:bookmarkStart w:id="1" w:name="_Toc23517"/>
      <w:r>
        <w:rPr>
          <w:rFonts w:hint="eastAsia" w:ascii="方正楷体_GBK" w:hAnsi="方正楷体_GBK" w:eastAsia="方正楷体_GBK" w:cs="方正楷体_GBK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lang w:eastAsia="zh-CN"/>
        </w:rPr>
        <w:t>）</w:t>
      </w:r>
      <w:r>
        <w:rPr>
          <w:rFonts w:hint="eastAsia" w:ascii="方正楷体_GBK" w:hAnsi="方正楷体_GBK" w:eastAsia="方正楷体_GBK" w:cs="方正楷体_GBK"/>
          <w:lang w:val="en-US" w:eastAsia="zh-CN"/>
        </w:rPr>
        <w:t>征集</w:t>
      </w:r>
      <w:r>
        <w:rPr>
          <w:rFonts w:hint="default" w:ascii="方正楷体_GBK" w:hAnsi="方正楷体_GBK" w:eastAsia="方正楷体_GBK" w:cs="方正楷体_GBK"/>
        </w:rPr>
        <w:t>程序</w:t>
      </w:r>
      <w:bookmarkEnd w:id="1"/>
    </w:p>
    <w:p w14:paraId="45AF3550">
      <w:pPr>
        <w:pStyle w:val="19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1.</w:t>
      </w:r>
      <w:r>
        <w:rPr>
          <w:rFonts w:hint="default" w:ascii="Times New Roman" w:hAnsi="Times New Roman" w:cs="Times New Roman"/>
        </w:rPr>
        <w:t>申报机构应按要求准备申报材料，具体填报要求详见《重庆市渝北区中小企业数字化转型</w:t>
      </w:r>
      <w:r>
        <w:rPr>
          <w:rFonts w:hint="default" w:ascii="Times New Roman" w:hAnsi="Times New Roman" w:cs="Times New Roman"/>
          <w:lang w:val="en-US" w:eastAsia="zh-CN"/>
        </w:rPr>
        <w:t>专业</w:t>
      </w:r>
      <w:r>
        <w:rPr>
          <w:rFonts w:hint="default" w:ascii="Times New Roman" w:hAnsi="Times New Roman" w:cs="Times New Roman"/>
        </w:rPr>
        <w:t>服务商申报书》（附件1）。</w:t>
      </w:r>
    </w:p>
    <w:p w14:paraId="673963F6">
      <w:pPr>
        <w:pStyle w:val="19"/>
        <w:rPr>
          <w:rFonts w:hint="default"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>2.</w:t>
      </w:r>
      <w:r>
        <w:rPr>
          <w:rFonts w:hint="default" w:ascii="Times New Roman" w:hAnsi="Times New Roman" w:cs="Times New Roman"/>
        </w:rPr>
        <w:t>申报材料盖章后于202</w:t>
      </w:r>
      <w:r>
        <w:rPr>
          <w:rFonts w:hint="default" w:ascii="Times New Roman" w:hAnsi="Times New Roman" w:cs="Times New Roman"/>
          <w:lang w:val="en-US" w:eastAsia="zh-CN"/>
        </w:rPr>
        <w:t>4</w:t>
      </w:r>
      <w:r>
        <w:rPr>
          <w:rFonts w:hint="default" w:ascii="Times New Roman" w:hAnsi="Times New Roman" w:cs="Times New Roman"/>
        </w:rPr>
        <w:t>年</w:t>
      </w:r>
      <w:r>
        <w:rPr>
          <w:rFonts w:hint="default" w:ascii="Times New Roman" w:hAnsi="Times New Roman" w:cs="Times New Roman"/>
          <w:lang w:val="en-US" w:eastAsia="zh-CN"/>
        </w:rPr>
        <w:t>8</w:t>
      </w:r>
      <w:r>
        <w:rPr>
          <w:rFonts w:hint="default" w:ascii="Times New Roman" w:hAnsi="Times New Roman" w:cs="Times New Roman"/>
        </w:rPr>
        <w:t>月</w:t>
      </w:r>
      <w:r>
        <w:rPr>
          <w:rFonts w:hint="default" w:ascii="Times New Roman" w:hAnsi="Times New Roman" w:cs="Times New Roman"/>
          <w:lang w:val="en-US" w:eastAsia="zh-CN"/>
        </w:rPr>
        <w:t>30</w:t>
      </w:r>
      <w:r>
        <w:rPr>
          <w:rFonts w:hint="default" w:ascii="Times New Roman" w:hAnsi="Times New Roman" w:cs="Times New Roman"/>
        </w:rPr>
        <w:t>日18:00前将申报材料盖章扫描件电子版发送至指定电子邮箱，逾期不予受理，申报机构对所报材料的真实性负责。</w:t>
      </w:r>
    </w:p>
    <w:p w14:paraId="44D86F9D">
      <w:pPr>
        <w:pStyle w:val="19"/>
        <w:rPr>
          <w:rFonts w:hint="eastAsia"/>
        </w:rPr>
      </w:pPr>
      <w:r>
        <w:rPr>
          <w:rFonts w:hint="eastAsia" w:ascii="Times New Roman" w:hAnsi="Times New Roman" w:cs="Times New Roman"/>
          <w:lang w:val="en-US" w:eastAsia="zh-CN"/>
        </w:rPr>
        <w:t>3.</w:t>
      </w:r>
      <w:r>
        <w:rPr>
          <w:rFonts w:hint="default" w:ascii="Times New Roman" w:hAnsi="Times New Roman" w:cs="Times New Roman"/>
        </w:rPr>
        <w:t>渝北区经济信息委将组织</w:t>
      </w:r>
      <w:r>
        <w:rPr>
          <w:rFonts w:hint="eastAsia"/>
        </w:rPr>
        <w:t>专家对申报单位进行综合评估，择优评选一批技术基础好、行业服务经验丰富、数字化改造能力强、服务保障完善的</w:t>
      </w:r>
      <w:r>
        <w:rPr>
          <w:rFonts w:hint="eastAsia"/>
          <w:lang w:val="en-US" w:eastAsia="zh-CN"/>
        </w:rPr>
        <w:t>专业</w:t>
      </w:r>
      <w:r>
        <w:rPr>
          <w:rFonts w:hint="eastAsia"/>
        </w:rPr>
        <w:t>服务商</w:t>
      </w:r>
      <w:r>
        <w:rPr>
          <w:rFonts w:hint="eastAsia"/>
          <w:lang w:val="en-US" w:eastAsia="zh-CN"/>
        </w:rPr>
        <w:t>增补</w:t>
      </w:r>
      <w:r>
        <w:rPr>
          <w:rFonts w:hint="eastAsia"/>
        </w:rPr>
        <w:t>纳入服务商资源池。</w:t>
      </w:r>
    </w:p>
    <w:p w14:paraId="20556926">
      <w:pPr>
        <w:pStyle w:val="20"/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eastAsia="方正黑体_GBK" w:cs="Times New Roman"/>
          <w:lang w:val="en-US" w:eastAsia="zh-CN"/>
        </w:rPr>
        <w:t>三</w:t>
      </w:r>
      <w:r>
        <w:rPr>
          <w:rFonts w:hint="default" w:ascii="Times New Roman" w:hAnsi="Times New Roman" w:eastAsia="方正黑体_GBK" w:cs="Times New Roman"/>
        </w:rPr>
        <w:t>、</w:t>
      </w:r>
      <w:r>
        <w:rPr>
          <w:rFonts w:hint="eastAsia" w:ascii="Times New Roman" w:hAnsi="Times New Roman" w:eastAsia="方正黑体_GBK" w:cs="Times New Roman"/>
          <w:lang w:val="en-US" w:eastAsia="zh-CN"/>
        </w:rPr>
        <w:t>公告公示</w:t>
      </w:r>
    </w:p>
    <w:p w14:paraId="6C643DF8">
      <w:pPr>
        <w:pStyle w:val="19"/>
        <w:rPr>
          <w:rFonts w:hint="eastAsia"/>
        </w:rPr>
      </w:pPr>
      <w:r>
        <w:rPr>
          <w:rFonts w:hint="eastAsia" w:ascii="Times New Roman" w:hAnsi="Times New Roman" w:cs="Times New Roman"/>
          <w:lang w:val="en-US" w:eastAsia="zh-CN"/>
        </w:rPr>
        <w:t>动态调整后的</w:t>
      </w:r>
      <w:r>
        <w:rPr>
          <w:rFonts w:hint="eastAsia"/>
        </w:rPr>
        <w:t>服务商名单</w:t>
      </w:r>
      <w:r>
        <w:rPr>
          <w:rFonts w:hint="eastAsia"/>
          <w:lang w:val="en-US" w:eastAsia="zh-CN"/>
        </w:rPr>
        <w:t>将</w:t>
      </w:r>
      <w:r>
        <w:rPr>
          <w:rFonts w:hint="eastAsia"/>
        </w:rPr>
        <w:t>在渝北区经济信息委官网上进行公示。</w:t>
      </w:r>
    </w:p>
    <w:p w14:paraId="657DB69F">
      <w:pPr>
        <w:pStyle w:val="20"/>
        <w:rPr>
          <w:rFonts w:hint="default" w:ascii="Times New Roman" w:hAnsi="Times New Roman" w:eastAsia="方正黑体_GBK" w:cs="Times New Roman"/>
          <w:lang w:val="en-US" w:eastAsia="zh-CN"/>
        </w:rPr>
      </w:pPr>
      <w:r>
        <w:rPr>
          <w:rFonts w:hint="eastAsia" w:ascii="Times New Roman" w:hAnsi="Times New Roman" w:eastAsia="方正黑体_GBK" w:cs="Times New Roman"/>
          <w:lang w:val="en-US" w:eastAsia="zh-CN"/>
        </w:rPr>
        <w:t>四</w:t>
      </w:r>
      <w:r>
        <w:rPr>
          <w:rFonts w:hint="default" w:ascii="Times New Roman" w:hAnsi="Times New Roman" w:eastAsia="方正黑体_GBK" w:cs="Times New Roman"/>
        </w:rPr>
        <w:t>、</w:t>
      </w:r>
      <w:r>
        <w:rPr>
          <w:rFonts w:hint="eastAsia" w:ascii="Times New Roman" w:hAnsi="Times New Roman" w:eastAsia="方正黑体_GBK" w:cs="Times New Roman"/>
          <w:lang w:val="en-US" w:eastAsia="zh-CN"/>
        </w:rPr>
        <w:t>联系方式</w:t>
      </w:r>
    </w:p>
    <w:p w14:paraId="0E232B2B">
      <w:pPr>
        <w:pStyle w:val="19"/>
        <w:rPr>
          <w:rFonts w:hint="eastAsia" w:eastAsia="仿宋_GB2312"/>
          <w:lang w:eastAsia="zh-CN"/>
        </w:rPr>
      </w:pPr>
      <w:r>
        <w:rPr>
          <w:rFonts w:hint="eastAsia"/>
        </w:rPr>
        <w:t>联 系 人：</w:t>
      </w:r>
      <w:r>
        <w:rPr>
          <w:rFonts w:hint="eastAsia"/>
          <w:lang w:val="en-US" w:eastAsia="zh-CN"/>
        </w:rPr>
        <w:t>刘娇</w:t>
      </w:r>
    </w:p>
    <w:p w14:paraId="75137D61">
      <w:pPr>
        <w:pStyle w:val="19"/>
        <w:rPr>
          <w:rFonts w:hint="default" w:ascii="Times New Roman" w:hAnsi="Times New Roman" w:cs="Times New Roman"/>
        </w:rPr>
      </w:pPr>
      <w:r>
        <w:rPr>
          <w:rFonts w:hint="eastAsia"/>
        </w:rPr>
        <w:t>联系电话：</w:t>
      </w:r>
      <w:r>
        <w:rPr>
          <w:rFonts w:hint="default" w:ascii="Times New Roman" w:hAnsi="Times New Roman" w:cs="Times New Roman"/>
          <w:lang w:val="en-US" w:eastAsia="zh-CN"/>
        </w:rPr>
        <w:t>18623051558</w:t>
      </w:r>
      <w:r>
        <w:rPr>
          <w:rFonts w:hint="default" w:ascii="Times New Roman" w:hAnsi="Times New Roman" w:cs="Times New Roman"/>
        </w:rPr>
        <w:t>、67810277</w:t>
      </w:r>
    </w:p>
    <w:p w14:paraId="62DE51F3">
      <w:pPr>
        <w:pStyle w:val="1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电子邮箱：</w:t>
      </w:r>
      <w:r>
        <w:rPr>
          <w:rFonts w:hint="default" w:ascii="Times New Roman" w:hAnsi="Times New Roman" w:cs="Times New Roman"/>
          <w:lang w:val="en-US" w:eastAsia="zh-CN"/>
        </w:rPr>
        <w:t>357765559@qq</w:t>
      </w:r>
      <w:r>
        <w:rPr>
          <w:rFonts w:hint="default" w:ascii="Times New Roman" w:hAnsi="Times New Roman" w:cs="Times New Roman"/>
        </w:rPr>
        <w:t>.com。</w:t>
      </w:r>
    </w:p>
    <w:p w14:paraId="018C9A45">
      <w:pPr>
        <w:pStyle w:val="11"/>
        <w:spacing w:after="0" w:line="560" w:lineRule="exact"/>
        <w:ind w:left="0" w:leftChars="0" w:firstLine="0" w:firstLineChars="0"/>
        <w:rPr>
          <w:sz w:val="28"/>
          <w:szCs w:val="28"/>
        </w:rPr>
      </w:pPr>
    </w:p>
    <w:p w14:paraId="0A070008">
      <w:pPr>
        <w:pStyle w:val="11"/>
        <w:spacing w:after="0" w:line="560" w:lineRule="exact"/>
        <w:ind w:firstLine="56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附件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1：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重庆市渝北区中小企业数字化转型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专业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服务商申报书</w:t>
      </w:r>
    </w:p>
    <w:p w14:paraId="03438FE5">
      <w:pPr>
        <w:pStyle w:val="11"/>
        <w:spacing w:after="0" w:line="560" w:lineRule="exact"/>
        <w:ind w:firstLine="0" w:firstLineChars="0"/>
      </w:pPr>
    </w:p>
    <w:p w14:paraId="51F4060D">
      <w:pPr>
        <w:pStyle w:val="11"/>
        <w:spacing w:after="0" w:line="560" w:lineRule="exact"/>
        <w:ind w:firstLine="0" w:firstLineChars="0"/>
      </w:pPr>
    </w:p>
    <w:p w14:paraId="199913F8">
      <w:pPr>
        <w:pStyle w:val="11"/>
        <w:spacing w:after="0" w:line="560" w:lineRule="exact"/>
        <w:ind w:left="0" w:leftChars="0" w:firstLine="3840" w:firstLineChars="1200"/>
        <w:jc w:val="right"/>
      </w:pPr>
      <w:r>
        <w:rPr>
          <w:rFonts w:hint="eastAsia"/>
        </w:rPr>
        <w:t>重庆市渝北区经济和信息化委员会</w:t>
      </w:r>
    </w:p>
    <w:p w14:paraId="209FC326">
      <w:pPr>
        <w:pStyle w:val="11"/>
        <w:spacing w:after="0" w:line="560" w:lineRule="exact"/>
        <w:ind w:left="0" w:leftChars="0" w:firstLine="4160" w:firstLineChars="1300"/>
        <w:jc w:val="center"/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15</w:t>
      </w:r>
      <w:r>
        <w:rPr>
          <w:rFonts w:hint="eastAsia"/>
        </w:rPr>
        <w:t>日</w:t>
      </w:r>
    </w:p>
    <w:p w14:paraId="2C0E492B">
      <w:pPr>
        <w:tabs>
          <w:tab w:val="left" w:pos="673"/>
        </w:tabs>
        <w:rPr>
          <w:rFonts w:ascii="黑体" w:hAnsi="黑体" w:eastAsia="黑体" w:cs="仿宋_GB2312"/>
          <w:szCs w:val="32"/>
        </w:rPr>
      </w:pPr>
      <w:r>
        <w:br w:type="page"/>
      </w:r>
      <w:r>
        <w:rPr>
          <w:rFonts w:hint="eastAsia" w:ascii="黑体" w:hAnsi="黑体" w:eastAsia="黑体" w:cs="仿宋_GB2312"/>
          <w:szCs w:val="32"/>
        </w:rPr>
        <w:t>附件1</w:t>
      </w:r>
    </w:p>
    <w:p w14:paraId="3B19D196">
      <w:pPr>
        <w:spacing w:before="156" w:beforeLines="50" w:line="660" w:lineRule="exact"/>
        <w:contextualSpacing/>
        <w:jc w:val="center"/>
        <w:rPr>
          <w:rFonts w:ascii="仿宋_GB2312" w:hAnsi="仿宋_GB2312" w:cs="仿宋_GB2312"/>
          <w:b/>
          <w:bCs/>
          <w:sz w:val="36"/>
          <w:szCs w:val="36"/>
          <w:lang w:bidi="ar"/>
        </w:rPr>
      </w:pPr>
    </w:p>
    <w:p w14:paraId="688A2E99">
      <w:pPr>
        <w:spacing w:before="156" w:beforeLines="50" w:line="660" w:lineRule="exact"/>
        <w:contextualSpacing/>
        <w:jc w:val="center"/>
        <w:rPr>
          <w:rFonts w:ascii="仿宋_GB2312" w:hAnsi="仿宋_GB2312" w:cs="仿宋_GB2312"/>
          <w:b/>
          <w:bCs/>
          <w:sz w:val="36"/>
          <w:szCs w:val="36"/>
          <w:lang w:bidi="ar"/>
        </w:rPr>
      </w:pPr>
    </w:p>
    <w:p w14:paraId="182A8BE3">
      <w:pPr>
        <w:spacing w:before="156" w:beforeLines="50" w:line="660" w:lineRule="exact"/>
        <w:contextualSpacing/>
        <w:jc w:val="center"/>
        <w:rPr>
          <w:rFonts w:ascii="仿宋_GB2312" w:hAnsi="仿宋_GB2312" w:cs="仿宋_GB2312"/>
          <w:b/>
          <w:bCs/>
          <w:sz w:val="36"/>
          <w:szCs w:val="36"/>
          <w:lang w:bidi="ar"/>
        </w:rPr>
      </w:pPr>
    </w:p>
    <w:p w14:paraId="334530F3">
      <w:pPr>
        <w:spacing w:line="580" w:lineRule="exact"/>
        <w:jc w:val="center"/>
        <w:rPr>
          <w:rFonts w:ascii="方正小标宋简体" w:hAnsi="方正小标宋简体" w:eastAsia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/>
          <w:sz w:val="52"/>
          <w:szCs w:val="52"/>
        </w:rPr>
        <w:t>重庆市渝北区中小企业数字化转型</w:t>
      </w:r>
    </w:p>
    <w:p w14:paraId="00739793">
      <w:pPr>
        <w:spacing w:line="580" w:lineRule="exact"/>
        <w:jc w:val="center"/>
        <w:rPr>
          <w:rFonts w:ascii="方正小标宋简体" w:hAnsi="方正小标宋简体" w:eastAsia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/>
          <w:sz w:val="52"/>
          <w:szCs w:val="52"/>
          <w:lang w:val="en-US" w:eastAsia="zh-CN"/>
        </w:rPr>
        <w:t>专业</w:t>
      </w:r>
      <w:r>
        <w:rPr>
          <w:rFonts w:hint="eastAsia" w:ascii="方正小标宋简体" w:hAnsi="方正小标宋简体" w:eastAsia="方正小标宋简体"/>
          <w:sz w:val="52"/>
          <w:szCs w:val="52"/>
        </w:rPr>
        <w:t>服务商申报书</w:t>
      </w:r>
    </w:p>
    <w:p w14:paraId="6D8A85D7">
      <w:pPr>
        <w:pStyle w:val="5"/>
      </w:pPr>
    </w:p>
    <w:p w14:paraId="763D8616">
      <w:pPr>
        <w:pStyle w:val="12"/>
        <w:ind w:left="640"/>
      </w:pPr>
    </w:p>
    <w:p w14:paraId="314DDE79"/>
    <w:p w14:paraId="135C91C4">
      <w:pPr>
        <w:pStyle w:val="5"/>
      </w:pPr>
    </w:p>
    <w:p w14:paraId="6150BC75">
      <w:pPr>
        <w:pStyle w:val="12"/>
        <w:ind w:left="640"/>
      </w:pPr>
    </w:p>
    <w:p w14:paraId="715AAD71"/>
    <w:p w14:paraId="3EBCB931">
      <w:pPr>
        <w:pStyle w:val="5"/>
      </w:pPr>
    </w:p>
    <w:p w14:paraId="6919716D">
      <w:pPr>
        <w:spacing w:line="560" w:lineRule="exact"/>
        <w:ind w:firstLine="640" w:firstLineChars="200"/>
        <w:contextualSpacing/>
        <w:rPr>
          <w:rFonts w:ascii="仿宋_GB2312" w:hAnsi="宋体" w:cs="黑体"/>
          <w:color w:val="000000"/>
          <w:szCs w:val="32"/>
          <w:lang w:bidi="ar"/>
        </w:rPr>
      </w:pPr>
    </w:p>
    <w:tbl>
      <w:tblPr>
        <w:tblStyle w:val="13"/>
        <w:tblW w:w="0" w:type="auto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6379"/>
      </w:tblGrid>
      <w:tr w14:paraId="5FF57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bottom w:val="nil"/>
            </w:tcBorders>
          </w:tcPr>
          <w:p w14:paraId="102160A1">
            <w:pPr>
              <w:spacing w:before="160" w:line="560" w:lineRule="exact"/>
              <w:ind w:firstLine="640" w:firstLineChars="200"/>
              <w:textAlignment w:val="bottom"/>
              <w:rPr>
                <w:rFonts w:ascii="Times New Roman" w:hAnsi="Times New Roman" w:eastAsia="仿宋"/>
                <w:szCs w:val="32"/>
                <w:lang w:val="zh-CN"/>
              </w:rPr>
            </w:pPr>
            <w:r>
              <w:rPr>
                <w:rFonts w:ascii="仿宋_GB2312" w:hAnsi="仿宋_GB2312" w:cs="仿宋_GB2312"/>
                <w:color w:val="000000"/>
                <w:szCs w:val="32"/>
                <w:lang w:val="zh-CN" w:bidi="ar"/>
              </w:rPr>
              <w:t>申报单位：</w:t>
            </w:r>
          </w:p>
        </w:tc>
        <w:tc>
          <w:tcPr>
            <w:tcW w:w="6379" w:type="dxa"/>
            <w:tcBorders>
              <w:bottom w:val="single" w:color="auto" w:sz="4" w:space="0"/>
            </w:tcBorders>
          </w:tcPr>
          <w:p w14:paraId="6B84C7E5">
            <w:pPr>
              <w:spacing w:before="160" w:line="560" w:lineRule="exact"/>
              <w:ind w:firstLine="1920" w:firstLineChars="600"/>
              <w:textAlignment w:val="bottom"/>
              <w:rPr>
                <w:rFonts w:ascii="Times New Roman" w:hAnsi="Times New Roman" w:eastAsia="仿宋"/>
                <w:szCs w:val="32"/>
                <w:lang w:val="zh-CN"/>
              </w:rPr>
            </w:pPr>
            <w:r>
              <w:rPr>
                <w:rFonts w:ascii="Times New Roman" w:hAnsi="Times New Roman" w:eastAsia="仿宋"/>
                <w:szCs w:val="32"/>
                <w:lang w:val="zh-CN"/>
              </w:rPr>
              <w:t>（加盖公章）</w:t>
            </w:r>
          </w:p>
        </w:tc>
      </w:tr>
      <w:tr w14:paraId="519364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nil"/>
              <w:bottom w:val="nil"/>
            </w:tcBorders>
          </w:tcPr>
          <w:p w14:paraId="67563BB9">
            <w:pPr>
              <w:spacing w:before="160" w:line="560" w:lineRule="exact"/>
              <w:ind w:firstLine="640" w:firstLineChars="200"/>
              <w:textAlignment w:val="bottom"/>
              <w:rPr>
                <w:rFonts w:ascii="Times New Roman" w:hAnsi="Times New Roman" w:eastAsia="仿宋"/>
                <w:szCs w:val="32"/>
                <w:lang w:val="zh-CN"/>
              </w:rPr>
            </w:pPr>
            <w:r>
              <w:rPr>
                <w:rFonts w:ascii="仿宋_GB2312" w:hAnsi="仿宋_GB2312" w:cs="仿宋_GB2312"/>
                <w:color w:val="000000"/>
                <w:szCs w:val="32"/>
                <w:lang w:val="zh-CN" w:bidi="ar"/>
              </w:rPr>
              <w:t>联 系 人：</w:t>
            </w:r>
          </w:p>
        </w:tc>
        <w:tc>
          <w:tcPr>
            <w:tcW w:w="6379" w:type="dxa"/>
            <w:tcBorders>
              <w:top w:val="single" w:color="auto" w:sz="4" w:space="0"/>
              <w:bottom w:val="single" w:color="auto" w:sz="4" w:space="0"/>
            </w:tcBorders>
          </w:tcPr>
          <w:p w14:paraId="723E0D5C">
            <w:pPr>
              <w:spacing w:before="160" w:line="560" w:lineRule="exact"/>
              <w:ind w:firstLine="640" w:firstLineChars="200"/>
              <w:textAlignment w:val="bottom"/>
              <w:rPr>
                <w:rFonts w:ascii="Times New Roman" w:hAnsi="Times New Roman" w:eastAsia="仿宋"/>
                <w:szCs w:val="32"/>
                <w:lang w:val="zh-CN"/>
              </w:rPr>
            </w:pPr>
          </w:p>
        </w:tc>
      </w:tr>
      <w:tr w14:paraId="166C4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nil"/>
              <w:bottom w:val="nil"/>
            </w:tcBorders>
          </w:tcPr>
          <w:p w14:paraId="1E8379DD">
            <w:pPr>
              <w:spacing w:before="160" w:line="560" w:lineRule="exact"/>
              <w:ind w:firstLine="640" w:firstLineChars="200"/>
              <w:textAlignment w:val="bottom"/>
              <w:rPr>
                <w:rFonts w:ascii="Times New Roman" w:hAnsi="Times New Roman" w:eastAsia="仿宋"/>
                <w:szCs w:val="32"/>
                <w:lang w:val="zh-CN"/>
              </w:rPr>
            </w:pPr>
            <w:r>
              <w:rPr>
                <w:rFonts w:ascii="仿宋_GB2312" w:hAnsi="仿宋_GB2312" w:cs="仿宋_GB2312"/>
                <w:color w:val="000000"/>
                <w:szCs w:val="32"/>
                <w:lang w:val="zh-CN" w:bidi="ar"/>
              </w:rPr>
              <w:t>联系电话：</w:t>
            </w:r>
          </w:p>
        </w:tc>
        <w:tc>
          <w:tcPr>
            <w:tcW w:w="6379" w:type="dxa"/>
            <w:tcBorders>
              <w:top w:val="single" w:color="auto" w:sz="4" w:space="0"/>
              <w:bottom w:val="single" w:color="auto" w:sz="4" w:space="0"/>
            </w:tcBorders>
          </w:tcPr>
          <w:p w14:paraId="34E6D453">
            <w:pPr>
              <w:spacing w:before="160" w:line="560" w:lineRule="exact"/>
              <w:ind w:firstLine="640" w:firstLineChars="200"/>
              <w:textAlignment w:val="bottom"/>
              <w:rPr>
                <w:rFonts w:ascii="Times New Roman" w:hAnsi="Times New Roman" w:eastAsia="仿宋"/>
                <w:szCs w:val="32"/>
                <w:lang w:val="zh-CN"/>
              </w:rPr>
            </w:pPr>
          </w:p>
        </w:tc>
      </w:tr>
      <w:tr w14:paraId="5C4D4E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2" w:type="dxa"/>
            <w:tcBorders>
              <w:top w:val="nil"/>
              <w:bottom w:val="nil"/>
            </w:tcBorders>
          </w:tcPr>
          <w:p w14:paraId="520A7130">
            <w:pPr>
              <w:spacing w:before="160" w:line="560" w:lineRule="exact"/>
              <w:ind w:firstLine="640" w:firstLineChars="200"/>
              <w:textAlignment w:val="bottom"/>
              <w:rPr>
                <w:rFonts w:ascii="Times New Roman" w:hAnsi="Times New Roman" w:eastAsia="仿宋"/>
                <w:szCs w:val="32"/>
                <w:lang w:val="zh-CN"/>
              </w:rPr>
            </w:pPr>
            <w:r>
              <w:rPr>
                <w:rFonts w:ascii="仿宋_GB2312" w:hAnsi="仿宋_GB2312" w:cs="仿宋_GB2312"/>
                <w:color w:val="000000"/>
                <w:szCs w:val="32"/>
                <w:lang w:val="zh-CN" w:bidi="ar"/>
              </w:rPr>
              <w:t>填报日期</w:t>
            </w:r>
            <w:r>
              <w:rPr>
                <w:rFonts w:hint="eastAsia" w:ascii="仿宋_GB2312" w:hAnsi="仿宋_GB2312" w:cs="仿宋_GB2312"/>
                <w:color w:val="000000"/>
                <w:szCs w:val="32"/>
                <w:lang w:val="zh-CN" w:bidi="ar"/>
              </w:rPr>
              <w:t>：</w:t>
            </w:r>
          </w:p>
        </w:tc>
        <w:tc>
          <w:tcPr>
            <w:tcW w:w="6379" w:type="dxa"/>
            <w:tcBorders>
              <w:top w:val="single" w:color="auto" w:sz="4" w:space="0"/>
              <w:bottom w:val="single" w:color="auto" w:sz="4" w:space="0"/>
            </w:tcBorders>
          </w:tcPr>
          <w:p w14:paraId="75A52A1B">
            <w:pPr>
              <w:spacing w:before="160" w:line="560" w:lineRule="exact"/>
              <w:ind w:firstLine="640" w:firstLineChars="200"/>
              <w:textAlignment w:val="bottom"/>
              <w:rPr>
                <w:rFonts w:ascii="Times New Roman" w:hAnsi="Times New Roman" w:eastAsia="仿宋"/>
                <w:szCs w:val="32"/>
                <w:lang w:val="zh-CN"/>
              </w:rPr>
            </w:pPr>
          </w:p>
        </w:tc>
      </w:tr>
    </w:tbl>
    <w:p w14:paraId="1CD0799A">
      <w:pPr>
        <w:spacing w:line="560" w:lineRule="exact"/>
        <w:ind w:firstLine="640" w:firstLineChars="200"/>
        <w:contextualSpacing/>
        <w:rPr>
          <w:rFonts w:ascii="仿宋_GB2312" w:hAnsi="宋体" w:cs="黑体"/>
          <w:color w:val="000000"/>
          <w:szCs w:val="32"/>
          <w:lang w:bidi="ar"/>
        </w:rPr>
      </w:pPr>
    </w:p>
    <w:p w14:paraId="04D5BD40">
      <w:pPr>
        <w:rPr>
          <w:rFonts w:ascii="黑体" w:hAnsi="黑体" w:eastAsia="黑体" w:cs="楷体_GB2312"/>
          <w:szCs w:val="32"/>
          <w:lang w:bidi="ar"/>
        </w:rPr>
      </w:pPr>
      <w:r>
        <w:rPr>
          <w:rFonts w:hint="eastAsia" w:ascii="黑体" w:hAnsi="黑体" w:eastAsia="黑体" w:cs="楷体_GB2312"/>
          <w:szCs w:val="32"/>
          <w:lang w:bidi="ar"/>
        </w:rPr>
        <w:br w:type="page"/>
      </w:r>
    </w:p>
    <w:p w14:paraId="16C9EB7D">
      <w:pPr>
        <w:widowControl/>
        <w:jc w:val="center"/>
        <w:rPr>
          <w:rFonts w:ascii="Times New Roman" w:hAnsi="Times New Roman" w:eastAsia="黑体"/>
          <w:sz w:val="36"/>
          <w:szCs w:val="36"/>
        </w:rPr>
      </w:pPr>
      <w:r>
        <w:rPr>
          <w:rFonts w:hint="eastAsia" w:ascii="Times New Roman" w:hAnsi="Times New Roman" w:eastAsia="黑体"/>
          <w:sz w:val="36"/>
          <w:szCs w:val="36"/>
        </w:rPr>
        <w:t>填报说明</w:t>
      </w:r>
    </w:p>
    <w:p w14:paraId="5B5BC677">
      <w:pPr>
        <w:widowControl/>
        <w:jc w:val="center"/>
        <w:rPr>
          <w:rFonts w:ascii="Times New Roman" w:hAnsi="Times New Roman" w:eastAsia="黑体"/>
          <w:sz w:val="36"/>
          <w:szCs w:val="36"/>
        </w:rPr>
      </w:pPr>
    </w:p>
    <w:p w14:paraId="6AD9BBF0">
      <w:pPr>
        <w:widowControl/>
        <w:ind w:firstLine="640" w:firstLineChars="200"/>
        <w:rPr>
          <w:rFonts w:ascii="仿宋_GB2312" w:hAnsi="Times New Roman"/>
          <w:szCs w:val="32"/>
        </w:rPr>
      </w:pPr>
      <w:r>
        <w:rPr>
          <w:rFonts w:hint="eastAsia" w:ascii="仿宋_GB2312" w:hAnsi="Times New Roman"/>
          <w:szCs w:val="32"/>
        </w:rPr>
        <w:t>1.提交材料包括申报书纸质版材料和电子文档，申报单位必须确保纸质材料和电子文档一致性。</w:t>
      </w:r>
    </w:p>
    <w:p w14:paraId="3E0BD7EE">
      <w:pPr>
        <w:widowControl/>
        <w:ind w:firstLine="640" w:firstLineChars="200"/>
        <w:rPr>
          <w:rFonts w:ascii="仿宋_GB2312" w:hAnsi="Times New Roman"/>
          <w:szCs w:val="32"/>
        </w:rPr>
      </w:pPr>
      <w:r>
        <w:rPr>
          <w:rFonts w:hint="eastAsia" w:ascii="仿宋_GB2312" w:hAnsi="Times New Roman"/>
          <w:szCs w:val="32"/>
        </w:rPr>
        <w:t>2.纸质版材料采用A</w:t>
      </w:r>
      <w:r>
        <w:rPr>
          <w:rFonts w:ascii="仿宋_GB2312" w:hAnsi="Times New Roman"/>
          <w:szCs w:val="32"/>
        </w:rPr>
        <w:t>4</w:t>
      </w:r>
      <w:r>
        <w:rPr>
          <w:rFonts w:hint="eastAsia" w:ascii="仿宋_GB2312" w:hAnsi="Times New Roman"/>
          <w:szCs w:val="32"/>
        </w:rPr>
        <w:t>纸双面打印，以普通纸质材料作为封面，并于左侧装订成册（采用普通胶粘装订方式），加盖骑缝章，一正四副。</w:t>
      </w:r>
    </w:p>
    <w:p w14:paraId="6767951C">
      <w:pPr>
        <w:widowControl/>
        <w:ind w:firstLine="640" w:firstLineChars="200"/>
        <w:rPr>
          <w:rFonts w:ascii="仿宋_GB2312" w:hAnsi="Times New Roman"/>
          <w:szCs w:val="32"/>
        </w:rPr>
      </w:pPr>
      <w:r>
        <w:rPr>
          <w:rFonts w:hint="eastAsia" w:ascii="仿宋_GB2312" w:hAnsi="Times New Roman"/>
          <w:szCs w:val="32"/>
        </w:rPr>
        <w:t>3.申报单位根据所选行业如实填报申报书相关内容。申报书需加盖申报单位公章，并由法人代表或其授权代表签名。</w:t>
      </w:r>
    </w:p>
    <w:p w14:paraId="0BD0303C">
      <w:pPr>
        <w:widowControl/>
        <w:jc w:val="center"/>
        <w:rPr>
          <w:rFonts w:ascii="Times New Roman" w:hAnsi="Times New Roman" w:eastAsia="黑体"/>
          <w:szCs w:val="32"/>
        </w:rPr>
      </w:pPr>
    </w:p>
    <w:p w14:paraId="4CD73833">
      <w:pPr>
        <w:widowControl/>
        <w:jc w:val="center"/>
        <w:rPr>
          <w:rFonts w:ascii="Times New Roman" w:hAnsi="Times New Roman" w:eastAsia="黑体"/>
          <w:szCs w:val="32"/>
        </w:rPr>
      </w:pPr>
    </w:p>
    <w:p w14:paraId="7793E486">
      <w:pPr>
        <w:widowControl/>
        <w:jc w:val="center"/>
        <w:rPr>
          <w:rFonts w:ascii="Times New Roman" w:hAnsi="Times New Roman" w:eastAsia="黑体"/>
          <w:szCs w:val="32"/>
        </w:rPr>
      </w:pPr>
    </w:p>
    <w:p w14:paraId="7FB2ED60">
      <w:pPr>
        <w:widowControl/>
        <w:jc w:val="center"/>
        <w:rPr>
          <w:rFonts w:ascii="Times New Roman" w:hAnsi="Times New Roman" w:eastAsia="黑体"/>
          <w:szCs w:val="32"/>
        </w:rPr>
      </w:pPr>
    </w:p>
    <w:p w14:paraId="0E497018">
      <w:pPr>
        <w:widowControl/>
        <w:jc w:val="center"/>
        <w:rPr>
          <w:rFonts w:ascii="Times New Roman" w:hAnsi="Times New Roman" w:eastAsia="黑体"/>
          <w:szCs w:val="32"/>
        </w:rPr>
      </w:pPr>
    </w:p>
    <w:p w14:paraId="325DF1B5">
      <w:pPr>
        <w:widowControl/>
        <w:jc w:val="center"/>
        <w:rPr>
          <w:rFonts w:ascii="Times New Roman" w:hAnsi="Times New Roman" w:eastAsia="黑体"/>
          <w:szCs w:val="32"/>
        </w:rPr>
      </w:pPr>
    </w:p>
    <w:p w14:paraId="590E6DF1">
      <w:pPr>
        <w:widowControl/>
        <w:jc w:val="center"/>
        <w:rPr>
          <w:rFonts w:ascii="Times New Roman" w:hAnsi="Times New Roman" w:eastAsia="黑体"/>
          <w:szCs w:val="32"/>
        </w:rPr>
      </w:pPr>
    </w:p>
    <w:p w14:paraId="199C9171">
      <w:pPr>
        <w:widowControl/>
        <w:jc w:val="center"/>
        <w:rPr>
          <w:rFonts w:ascii="Times New Roman" w:hAnsi="Times New Roman" w:eastAsia="黑体"/>
          <w:szCs w:val="32"/>
        </w:rPr>
      </w:pPr>
    </w:p>
    <w:p w14:paraId="26845C31">
      <w:pPr>
        <w:widowControl/>
        <w:jc w:val="center"/>
        <w:rPr>
          <w:rFonts w:ascii="Times New Roman" w:hAnsi="Times New Roman" w:eastAsia="黑体"/>
          <w:szCs w:val="32"/>
        </w:rPr>
      </w:pPr>
    </w:p>
    <w:p w14:paraId="3ED189DC">
      <w:pPr>
        <w:widowControl/>
        <w:jc w:val="center"/>
        <w:rPr>
          <w:rFonts w:ascii="Times New Roman" w:hAnsi="Times New Roman" w:eastAsia="黑体"/>
          <w:szCs w:val="32"/>
        </w:rPr>
      </w:pPr>
    </w:p>
    <w:p w14:paraId="07A29065">
      <w:pPr>
        <w:widowControl/>
        <w:jc w:val="center"/>
        <w:rPr>
          <w:rFonts w:ascii="Times New Roman" w:hAnsi="Times New Roman" w:eastAsia="黑体"/>
          <w:szCs w:val="32"/>
        </w:rPr>
      </w:pPr>
    </w:p>
    <w:p w14:paraId="0AE6BA47">
      <w:pPr>
        <w:widowControl/>
        <w:jc w:val="left"/>
        <w:rPr>
          <w:rFonts w:ascii="Times New Roman" w:hAnsi="Times New Roman" w:eastAsia="黑体"/>
          <w:szCs w:val="32"/>
        </w:rPr>
      </w:pPr>
      <w:r>
        <w:rPr>
          <w:rFonts w:ascii="Times New Roman" w:hAnsi="Times New Roman" w:eastAsia="黑体"/>
          <w:szCs w:val="32"/>
        </w:rPr>
        <w:br w:type="page"/>
      </w:r>
    </w:p>
    <w:p w14:paraId="5084E42D">
      <w:pPr>
        <w:widowControl/>
        <w:jc w:val="left"/>
        <w:rPr>
          <w:rFonts w:ascii="Times New Roman" w:hAnsi="Times New Roman" w:eastAsia="黑体"/>
          <w:sz w:val="40"/>
          <w:szCs w:val="40"/>
        </w:rPr>
      </w:pPr>
    </w:p>
    <w:p w14:paraId="15326D87">
      <w:pPr>
        <w:tabs>
          <w:tab w:val="left" w:pos="9072"/>
        </w:tabs>
        <w:spacing w:line="360" w:lineRule="auto"/>
        <w:ind w:right="531" w:rightChars="166" w:firstLine="800" w:firstLineChars="200"/>
        <w:jc w:val="center"/>
        <w:rPr>
          <w:rFonts w:ascii="Times New Roman" w:hAnsi="Times New Roman" w:eastAsia="黑体"/>
          <w:sz w:val="40"/>
          <w:szCs w:val="40"/>
        </w:rPr>
      </w:pPr>
      <w:r>
        <w:rPr>
          <w:rFonts w:hint="eastAsia" w:ascii="Times New Roman" w:hAnsi="Times New Roman" w:eastAsia="黑体"/>
          <w:sz w:val="40"/>
          <w:szCs w:val="40"/>
        </w:rPr>
        <w:t>承诺书</w:t>
      </w:r>
    </w:p>
    <w:p w14:paraId="4AA0A0C5">
      <w:pPr>
        <w:tabs>
          <w:tab w:val="left" w:pos="9072"/>
        </w:tabs>
        <w:spacing w:line="360" w:lineRule="auto"/>
        <w:ind w:right="531" w:rightChars="166" w:firstLine="480" w:firstLineChars="200"/>
        <w:rPr>
          <w:rFonts w:ascii="Times New Roman" w:hAnsi="Times New Roman" w:eastAsia="宋体"/>
          <w:sz w:val="24"/>
          <w:szCs w:val="20"/>
        </w:rPr>
      </w:pPr>
    </w:p>
    <w:p w14:paraId="0F447F69">
      <w:pPr>
        <w:tabs>
          <w:tab w:val="left" w:pos="9072"/>
        </w:tabs>
        <w:spacing w:line="360" w:lineRule="auto"/>
        <w:ind w:right="531" w:rightChars="166" w:firstLine="480" w:firstLineChars="200"/>
        <w:rPr>
          <w:rFonts w:ascii="Times New Roman" w:hAnsi="Times New Roman" w:eastAsia="宋体"/>
          <w:sz w:val="24"/>
          <w:szCs w:val="20"/>
        </w:rPr>
      </w:pPr>
    </w:p>
    <w:p w14:paraId="51D88A74">
      <w:pPr>
        <w:widowControl/>
        <w:rPr>
          <w:rFonts w:ascii="仿宋_GB2312" w:hAnsi="Times New Roman"/>
          <w:szCs w:val="32"/>
        </w:rPr>
      </w:pPr>
      <w:r>
        <w:rPr>
          <w:rFonts w:hint="eastAsia" w:ascii="仿宋_GB2312" w:hAnsi="Times New Roman"/>
          <w:szCs w:val="32"/>
        </w:rPr>
        <w:t>我公司（单位）承诺：</w:t>
      </w:r>
    </w:p>
    <w:p w14:paraId="7B445D87">
      <w:pPr>
        <w:widowControl/>
        <w:ind w:firstLine="640" w:firstLineChars="200"/>
        <w:rPr>
          <w:rFonts w:ascii="仿宋_GB2312" w:hAnsi="Times New Roman"/>
          <w:szCs w:val="32"/>
        </w:rPr>
      </w:pPr>
      <w:r>
        <w:rPr>
          <w:rFonts w:hint="eastAsia" w:ascii="仿宋_GB2312" w:hAnsi="Times New Roman"/>
          <w:szCs w:val="32"/>
        </w:rPr>
        <w:t>1.我公司（单位）以往已承担财政资金项目在绩效评价、专项审计等工作中未出现严重问题。</w:t>
      </w:r>
    </w:p>
    <w:p w14:paraId="08C4F8A3">
      <w:pPr>
        <w:widowControl/>
        <w:ind w:firstLine="640" w:firstLineChars="200"/>
        <w:rPr>
          <w:rFonts w:ascii="仿宋_GB2312" w:hAnsi="Times New Roman"/>
          <w:szCs w:val="32"/>
        </w:rPr>
      </w:pPr>
      <w:r>
        <w:rPr>
          <w:rFonts w:ascii="仿宋_GB2312" w:hAnsi="Times New Roman"/>
          <w:szCs w:val="32"/>
        </w:rPr>
        <w:t>2</w:t>
      </w:r>
      <w:r>
        <w:rPr>
          <w:rFonts w:hint="eastAsia" w:ascii="仿宋_GB2312" w:hAnsi="Times New Roman"/>
          <w:szCs w:val="32"/>
        </w:rPr>
        <w:t>.我公司（单位）提交的申报材料真实可靠，且对申报材料真实性可靠性负责。</w:t>
      </w:r>
    </w:p>
    <w:p w14:paraId="07832A9C">
      <w:pPr>
        <w:widowControl/>
        <w:ind w:firstLine="640" w:firstLineChars="200"/>
        <w:rPr>
          <w:rFonts w:ascii="仿宋_GB2312" w:hAnsi="Times New Roman"/>
          <w:szCs w:val="32"/>
        </w:rPr>
      </w:pPr>
      <w:r>
        <w:rPr>
          <w:rFonts w:ascii="仿宋_GB2312" w:hAnsi="Times New Roman"/>
          <w:szCs w:val="32"/>
        </w:rPr>
        <w:t>3</w:t>
      </w:r>
      <w:r>
        <w:rPr>
          <w:rFonts w:hint="eastAsia" w:ascii="仿宋_GB2312" w:hAnsi="Times New Roman"/>
          <w:szCs w:val="32"/>
        </w:rPr>
        <w:t>.我公司（单位）支持配合智库机构开展行业数字化转型相关工作，保证实现所申报细分行业的改造目标。</w:t>
      </w:r>
    </w:p>
    <w:p w14:paraId="4E064849">
      <w:pPr>
        <w:tabs>
          <w:tab w:val="left" w:pos="9072"/>
        </w:tabs>
        <w:spacing w:line="360" w:lineRule="auto"/>
        <w:ind w:right="531" w:rightChars="166" w:firstLine="640" w:firstLineChars="200"/>
        <w:rPr>
          <w:rFonts w:ascii="Times New Roman" w:hAnsi="Times New Roman" w:eastAsia="仿宋"/>
          <w:szCs w:val="32"/>
        </w:rPr>
      </w:pPr>
    </w:p>
    <w:p w14:paraId="620FF966">
      <w:pPr>
        <w:tabs>
          <w:tab w:val="left" w:pos="9072"/>
        </w:tabs>
        <w:spacing w:line="360" w:lineRule="auto"/>
        <w:ind w:right="531" w:rightChars="166" w:firstLine="640" w:firstLineChars="200"/>
        <w:jc w:val="right"/>
        <w:rPr>
          <w:rFonts w:ascii="Times New Roman" w:hAnsi="Times New Roman" w:eastAsia="仿宋"/>
          <w:szCs w:val="32"/>
        </w:rPr>
      </w:pPr>
    </w:p>
    <w:p w14:paraId="19DFB8F1">
      <w:pPr>
        <w:tabs>
          <w:tab w:val="left" w:pos="9072"/>
        </w:tabs>
        <w:spacing w:line="360" w:lineRule="auto"/>
        <w:ind w:right="531" w:rightChars="166" w:firstLine="5120" w:firstLineChars="1600"/>
        <w:rPr>
          <w:rFonts w:ascii="仿宋_GB2312" w:hAnsi="Times New Roman"/>
          <w:szCs w:val="32"/>
        </w:rPr>
      </w:pPr>
      <w:r>
        <w:rPr>
          <w:rFonts w:hint="eastAsia" w:ascii="仿宋_GB2312" w:hAnsi="Times New Roman"/>
          <w:szCs w:val="32"/>
        </w:rPr>
        <w:t>法人代表：（签字）</w:t>
      </w:r>
    </w:p>
    <w:p w14:paraId="36C6A4D5">
      <w:pPr>
        <w:tabs>
          <w:tab w:val="left" w:pos="9072"/>
        </w:tabs>
        <w:spacing w:line="360" w:lineRule="auto"/>
        <w:ind w:right="531" w:rightChars="166" w:firstLine="5120" w:firstLineChars="1600"/>
        <w:rPr>
          <w:rFonts w:ascii="仿宋_GB2312" w:hAnsi="Times New Roman"/>
          <w:szCs w:val="32"/>
        </w:rPr>
      </w:pPr>
      <w:r>
        <w:rPr>
          <w:rFonts w:hint="eastAsia" w:ascii="仿宋_GB2312" w:hAnsi="Times New Roman"/>
          <w:szCs w:val="32"/>
        </w:rPr>
        <w:t>申报单位（盖章）</w:t>
      </w:r>
    </w:p>
    <w:p w14:paraId="7DAE4A74">
      <w:pPr>
        <w:tabs>
          <w:tab w:val="left" w:pos="9072"/>
        </w:tabs>
        <w:wordWrap w:val="0"/>
        <w:spacing w:line="360" w:lineRule="auto"/>
        <w:ind w:right="531" w:rightChars="166" w:firstLine="5760" w:firstLineChars="1800"/>
        <w:rPr>
          <w:rFonts w:ascii="仿宋_GB2312" w:hAnsi="Times New Roman"/>
          <w:szCs w:val="32"/>
        </w:rPr>
      </w:pPr>
      <w:r>
        <w:rPr>
          <w:rFonts w:hint="eastAsia" w:ascii="仿宋_GB2312" w:hAnsi="Times New Roman"/>
          <w:szCs w:val="32"/>
        </w:rPr>
        <w:t>年  月  日</w:t>
      </w:r>
    </w:p>
    <w:p w14:paraId="226B447F">
      <w:pPr>
        <w:tabs>
          <w:tab w:val="left" w:pos="9072"/>
        </w:tabs>
        <w:spacing w:line="360" w:lineRule="auto"/>
        <w:ind w:right="531" w:rightChars="166" w:firstLine="480" w:firstLineChars="200"/>
        <w:rPr>
          <w:rFonts w:ascii="Times New Roman" w:hAnsi="Times New Roman" w:eastAsia="宋体"/>
          <w:sz w:val="24"/>
          <w:szCs w:val="20"/>
        </w:rPr>
      </w:pPr>
    </w:p>
    <w:p w14:paraId="082F7576">
      <w:pPr>
        <w:widowControl/>
        <w:jc w:val="left"/>
        <w:rPr>
          <w:rFonts w:ascii="Times New Roman" w:hAnsi="Times New Roman" w:eastAsia="楷体"/>
        </w:rPr>
      </w:pPr>
    </w:p>
    <w:p w14:paraId="1FB9E19F">
      <w:pPr>
        <w:spacing w:line="600" w:lineRule="exact"/>
        <w:ind w:firstLine="640" w:firstLineChars="200"/>
        <w:rPr>
          <w:rFonts w:ascii="Times New Roman" w:hAnsi="Times New Roman"/>
        </w:rPr>
      </w:pPr>
    </w:p>
    <w:p w14:paraId="39115B9E">
      <w:pPr>
        <w:spacing w:line="580" w:lineRule="exact"/>
        <w:ind w:firstLine="640" w:firstLineChars="200"/>
        <w:rPr>
          <w:rFonts w:ascii="仿宋_GB2312"/>
          <w:szCs w:val="32"/>
          <w:shd w:val="clear" w:color="auto" w:fill="FFFFFF"/>
        </w:rPr>
      </w:pPr>
    </w:p>
    <w:p w14:paraId="69F4817B">
      <w:pPr>
        <w:widowControl/>
        <w:jc w:val="center"/>
        <w:rPr>
          <w:rFonts w:ascii="Times New Roman" w:hAnsi="Times New Roman" w:eastAsia="黑体"/>
          <w:szCs w:val="32"/>
        </w:rPr>
      </w:pPr>
    </w:p>
    <w:p w14:paraId="641837A7">
      <w:pPr>
        <w:widowControl/>
        <w:jc w:val="left"/>
        <w:rPr>
          <w:rFonts w:ascii="Times New Roman" w:hAnsi="Times New Roman" w:eastAsia="黑体"/>
          <w:szCs w:val="32"/>
        </w:rPr>
      </w:pPr>
      <w:r>
        <w:rPr>
          <w:rFonts w:ascii="Times New Roman" w:hAnsi="Times New Roman" w:eastAsia="黑体"/>
          <w:szCs w:val="32"/>
        </w:rPr>
        <w:br w:type="page"/>
      </w:r>
    </w:p>
    <w:p w14:paraId="101BF80F">
      <w:pPr>
        <w:widowControl/>
        <w:spacing w:line="560" w:lineRule="exact"/>
        <w:contextualSpacing/>
        <w:rPr>
          <w:rFonts w:ascii="黑体" w:hAnsi="黑体" w:eastAsia="黑体" w:cs="楷体_GB2312"/>
          <w:szCs w:val="32"/>
          <w:lang w:bidi="ar"/>
        </w:rPr>
      </w:pPr>
      <w:r>
        <w:rPr>
          <w:rFonts w:hint="eastAsia" w:ascii="黑体" w:hAnsi="黑体" w:eastAsia="黑体" w:cs="楷体_GB2312"/>
          <w:szCs w:val="32"/>
          <w:lang w:bidi="ar"/>
        </w:rPr>
        <w:t>一、服务商申报表</w:t>
      </w:r>
    </w:p>
    <w:tbl>
      <w:tblPr>
        <w:tblStyle w:val="13"/>
        <w:tblW w:w="90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361"/>
        <w:gridCol w:w="199"/>
        <w:gridCol w:w="651"/>
        <w:gridCol w:w="1041"/>
        <w:gridCol w:w="519"/>
        <w:gridCol w:w="1149"/>
        <w:gridCol w:w="126"/>
        <w:gridCol w:w="1312"/>
        <w:gridCol w:w="955"/>
      </w:tblGrid>
      <w:tr w14:paraId="7B8C7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066" w:type="dxa"/>
            <w:gridSpan w:val="10"/>
            <w:shd w:val="clear" w:color="auto" w:fill="auto"/>
            <w:noWrap/>
            <w:vAlign w:val="center"/>
          </w:tcPr>
          <w:p w14:paraId="1C080AA1">
            <w:pPr>
              <w:pStyle w:val="22"/>
              <w:jc w:val="center"/>
              <w:rPr>
                <w:rFonts w:hint="default"/>
              </w:rPr>
            </w:pPr>
            <w:r>
              <w:t>服务商基本信息</w:t>
            </w:r>
          </w:p>
        </w:tc>
      </w:tr>
      <w:tr w14:paraId="30EA1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753" w:type="dxa"/>
            <w:shd w:val="clear" w:color="auto" w:fill="auto"/>
            <w:noWrap/>
            <w:vAlign w:val="center"/>
          </w:tcPr>
          <w:p w14:paraId="56EF7264">
            <w:pPr>
              <w:pStyle w:val="22"/>
              <w:jc w:val="center"/>
              <w:rPr>
                <w:rFonts w:hint="default"/>
              </w:rPr>
            </w:pPr>
            <w:r>
              <w:t>单位名称</w:t>
            </w:r>
          </w:p>
        </w:tc>
        <w:tc>
          <w:tcPr>
            <w:tcW w:w="7313" w:type="dxa"/>
            <w:gridSpan w:val="9"/>
            <w:shd w:val="clear" w:color="auto" w:fill="auto"/>
            <w:noWrap/>
            <w:vAlign w:val="center"/>
          </w:tcPr>
          <w:p w14:paraId="3B04597E">
            <w:pPr>
              <w:pStyle w:val="22"/>
              <w:jc w:val="center"/>
              <w:rPr>
                <w:rFonts w:hint="default"/>
              </w:rPr>
            </w:pPr>
          </w:p>
        </w:tc>
      </w:tr>
      <w:tr w14:paraId="67DA5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753" w:type="dxa"/>
            <w:shd w:val="clear" w:color="auto" w:fill="auto"/>
            <w:noWrap/>
            <w:vAlign w:val="center"/>
          </w:tcPr>
          <w:p w14:paraId="1F977CAF">
            <w:pPr>
              <w:pStyle w:val="22"/>
              <w:jc w:val="center"/>
              <w:rPr>
                <w:rFonts w:hint="default"/>
              </w:rPr>
            </w:pPr>
            <w:r>
              <w:t>注册地址</w:t>
            </w:r>
          </w:p>
        </w:tc>
        <w:tc>
          <w:tcPr>
            <w:tcW w:w="7313" w:type="dxa"/>
            <w:gridSpan w:val="9"/>
            <w:shd w:val="clear" w:color="auto" w:fill="auto"/>
            <w:noWrap/>
            <w:vAlign w:val="center"/>
          </w:tcPr>
          <w:p w14:paraId="1196F8FA">
            <w:pPr>
              <w:pStyle w:val="22"/>
              <w:jc w:val="center"/>
              <w:rPr>
                <w:rFonts w:hint="default"/>
              </w:rPr>
            </w:pPr>
          </w:p>
        </w:tc>
      </w:tr>
      <w:tr w14:paraId="14490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753" w:type="dxa"/>
            <w:shd w:val="clear" w:color="auto" w:fill="auto"/>
            <w:noWrap/>
            <w:vAlign w:val="center"/>
          </w:tcPr>
          <w:p w14:paraId="3EA94731">
            <w:pPr>
              <w:pStyle w:val="22"/>
              <w:jc w:val="center"/>
              <w:rPr>
                <w:rFonts w:hint="default"/>
              </w:rPr>
            </w:pPr>
            <w:r>
              <w:t>通讯地址</w:t>
            </w:r>
          </w:p>
        </w:tc>
        <w:tc>
          <w:tcPr>
            <w:tcW w:w="7313" w:type="dxa"/>
            <w:gridSpan w:val="9"/>
            <w:shd w:val="clear" w:color="auto" w:fill="auto"/>
            <w:noWrap/>
            <w:vAlign w:val="center"/>
          </w:tcPr>
          <w:p w14:paraId="7F1CF0A6">
            <w:pPr>
              <w:pStyle w:val="22"/>
              <w:jc w:val="center"/>
              <w:rPr>
                <w:rFonts w:hint="default"/>
              </w:rPr>
            </w:pPr>
          </w:p>
        </w:tc>
      </w:tr>
      <w:tr w14:paraId="4190C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53" w:type="dxa"/>
            <w:shd w:val="clear" w:color="auto" w:fill="auto"/>
            <w:noWrap/>
            <w:vAlign w:val="center"/>
          </w:tcPr>
          <w:p w14:paraId="5075CF48">
            <w:pPr>
              <w:pStyle w:val="22"/>
              <w:jc w:val="center"/>
              <w:rPr>
                <w:rFonts w:hint="default"/>
              </w:rPr>
            </w:pPr>
            <w:r>
              <w:t>联系人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529DEA1A">
            <w:pPr>
              <w:pStyle w:val="22"/>
              <w:jc w:val="center"/>
              <w:rPr>
                <w:rFonts w:hint="default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center"/>
          </w:tcPr>
          <w:p w14:paraId="0F2AC555">
            <w:pPr>
              <w:pStyle w:val="22"/>
              <w:jc w:val="center"/>
              <w:rPr>
                <w:rFonts w:hint="default"/>
              </w:rPr>
            </w:pPr>
            <w:r>
              <w:t>电话</w:t>
            </w:r>
          </w:p>
        </w:tc>
        <w:tc>
          <w:tcPr>
            <w:tcW w:w="1560" w:type="dxa"/>
            <w:gridSpan w:val="2"/>
            <w:shd w:val="clear" w:color="auto" w:fill="auto"/>
            <w:noWrap/>
            <w:vAlign w:val="center"/>
          </w:tcPr>
          <w:p w14:paraId="76E11834">
            <w:pPr>
              <w:pStyle w:val="22"/>
              <w:jc w:val="center"/>
              <w:rPr>
                <w:rFonts w:hint="default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vAlign w:val="center"/>
          </w:tcPr>
          <w:p w14:paraId="346A8A49">
            <w:pPr>
              <w:pStyle w:val="22"/>
              <w:jc w:val="center"/>
              <w:rPr>
                <w:rFonts w:hint="default"/>
              </w:rPr>
            </w:pPr>
            <w:r>
              <w:t>电子邮箱</w:t>
            </w:r>
          </w:p>
        </w:tc>
        <w:tc>
          <w:tcPr>
            <w:tcW w:w="2267" w:type="dxa"/>
            <w:gridSpan w:val="2"/>
            <w:shd w:val="clear" w:color="auto" w:fill="auto"/>
            <w:noWrap/>
            <w:vAlign w:val="center"/>
          </w:tcPr>
          <w:p w14:paraId="7647F50C">
            <w:pPr>
              <w:pStyle w:val="22"/>
              <w:rPr>
                <w:rFonts w:hint="default"/>
              </w:rPr>
            </w:pPr>
          </w:p>
        </w:tc>
      </w:tr>
      <w:tr w14:paraId="06FC4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1753" w:type="dxa"/>
            <w:shd w:val="clear" w:color="auto" w:fill="auto"/>
            <w:noWrap/>
            <w:vAlign w:val="center"/>
          </w:tcPr>
          <w:p w14:paraId="6A590893">
            <w:pPr>
              <w:pStyle w:val="22"/>
              <w:jc w:val="center"/>
              <w:rPr>
                <w:rFonts w:hint="default"/>
              </w:rPr>
            </w:pPr>
            <w:r>
              <w:rPr>
                <w:rFonts w:ascii="Times New Roman" w:hAnsi="Times New Roman" w:cs="仿宋_GB2312"/>
                <w:position w:val="6"/>
                <w:szCs w:val="24"/>
              </w:rPr>
              <w:t>单位简介</w:t>
            </w:r>
          </w:p>
        </w:tc>
        <w:tc>
          <w:tcPr>
            <w:tcW w:w="7313" w:type="dxa"/>
            <w:gridSpan w:val="9"/>
            <w:shd w:val="clear" w:color="auto" w:fill="auto"/>
            <w:noWrap/>
          </w:tcPr>
          <w:p w14:paraId="74AAD0A8">
            <w:pPr>
              <w:pStyle w:val="22"/>
              <w:rPr>
                <w:rFonts w:hint="default" w:ascii="Times New Roman" w:hAnsi="Times New Roman" w:cs="仿宋_GB2312"/>
                <w:position w:val="6"/>
                <w:szCs w:val="24"/>
              </w:rPr>
            </w:pPr>
          </w:p>
          <w:p w14:paraId="5813B464">
            <w:pPr>
              <w:pStyle w:val="22"/>
              <w:rPr>
                <w:rFonts w:hint="default"/>
              </w:rPr>
            </w:pPr>
            <w:r>
              <w:rPr>
                <w:rFonts w:ascii="Times New Roman" w:hAnsi="Times New Roman" w:cs="仿宋_GB2312"/>
                <w:position w:val="6"/>
                <w:szCs w:val="24"/>
              </w:rPr>
              <w:t>（简要介绍申报单位主营业务、人员、产品技术能力、平台能力、获得荣誉资质等方面基本情况，不超过600字）</w:t>
            </w:r>
          </w:p>
        </w:tc>
      </w:tr>
      <w:tr w14:paraId="16A9E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1753" w:type="dxa"/>
            <w:shd w:val="clear" w:color="auto" w:fill="auto"/>
            <w:noWrap/>
            <w:vAlign w:val="center"/>
          </w:tcPr>
          <w:p w14:paraId="7C82F3C8">
            <w:pPr>
              <w:pStyle w:val="22"/>
              <w:jc w:val="center"/>
              <w:rPr>
                <w:rFonts w:hint="default"/>
              </w:rPr>
            </w:pPr>
            <w:r>
              <w:t>专业服务商服务行业</w:t>
            </w:r>
          </w:p>
          <w:p w14:paraId="46CF428E">
            <w:pPr>
              <w:pStyle w:val="22"/>
              <w:jc w:val="center"/>
              <w:rPr>
                <w:rFonts w:hint="default"/>
              </w:rPr>
            </w:pPr>
            <w:r>
              <w:t>（限选</w:t>
            </w:r>
            <w:r>
              <w:rPr>
                <w:rFonts w:hint="default"/>
              </w:rPr>
              <w:t>2</w:t>
            </w:r>
            <w:r>
              <w:t>项）</w:t>
            </w:r>
          </w:p>
        </w:tc>
        <w:tc>
          <w:tcPr>
            <w:tcW w:w="7313" w:type="dxa"/>
            <w:gridSpan w:val="9"/>
            <w:shd w:val="clear" w:color="auto" w:fill="auto"/>
            <w:noWrap/>
            <w:vAlign w:val="center"/>
          </w:tcPr>
          <w:p w14:paraId="18392804">
            <w:pPr>
              <w:pStyle w:val="22"/>
              <w:rPr>
                <w:rFonts w:hint="default"/>
              </w:rPr>
            </w:pPr>
            <w:r>
              <w:rPr/>
              <w:sym w:font="Wingdings" w:char="00A8"/>
            </w:r>
            <w:r>
              <w:t>汽车零配件</w:t>
            </w:r>
          </w:p>
          <w:p w14:paraId="63C0E08A">
            <w:pPr>
              <w:pStyle w:val="22"/>
              <w:rPr>
                <w:rFonts w:hint="default"/>
              </w:rPr>
            </w:pPr>
            <w:r>
              <w:rPr/>
              <w:sym w:font="Wingdings" w:char="00A8"/>
            </w:r>
            <w:r>
              <w:t>智能装备</w:t>
            </w:r>
          </w:p>
          <w:p w14:paraId="79730C16">
            <w:pPr>
              <w:pStyle w:val="22"/>
              <w:rPr>
                <w:rFonts w:hint="default"/>
              </w:rPr>
            </w:pPr>
            <w:r>
              <w:rPr/>
              <w:sym w:font="Wingdings" w:char="00A8"/>
            </w:r>
            <w:r>
              <w:t>消费电子</w:t>
            </w:r>
          </w:p>
          <w:p w14:paraId="4DA38ECB">
            <w:pPr>
              <w:pStyle w:val="22"/>
              <w:rPr>
                <w:rFonts w:hint="default"/>
              </w:rPr>
            </w:pPr>
            <w:r>
              <w:rPr/>
              <w:sym w:font="Wingdings" w:char="00A8"/>
            </w:r>
            <w:r>
              <w:t>服装及其他日用品</w:t>
            </w:r>
          </w:p>
        </w:tc>
      </w:tr>
      <w:tr w14:paraId="2E652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9066" w:type="dxa"/>
            <w:gridSpan w:val="10"/>
            <w:shd w:val="clear" w:color="auto" w:fill="auto"/>
            <w:noWrap/>
            <w:vAlign w:val="center"/>
          </w:tcPr>
          <w:p w14:paraId="487E3FDF">
            <w:pPr>
              <w:pStyle w:val="22"/>
              <w:jc w:val="center"/>
              <w:rPr>
                <w:rFonts w:hint="default"/>
              </w:rPr>
            </w:pPr>
            <w:r>
              <w:t>服务商数字化转型服务情况</w:t>
            </w:r>
          </w:p>
        </w:tc>
      </w:tr>
      <w:tr w14:paraId="359C6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53" w:type="dxa"/>
            <w:vMerge w:val="restart"/>
            <w:shd w:val="clear" w:color="auto" w:fill="auto"/>
            <w:noWrap/>
            <w:vAlign w:val="center"/>
          </w:tcPr>
          <w:p w14:paraId="7A0A041D">
            <w:pPr>
              <w:pStyle w:val="22"/>
              <w:jc w:val="center"/>
              <w:rPr>
                <w:rFonts w:hint="default"/>
              </w:rPr>
            </w:pPr>
            <w:r>
              <w:t>服务基础</w:t>
            </w:r>
          </w:p>
        </w:tc>
        <w:tc>
          <w:tcPr>
            <w:tcW w:w="7313" w:type="dxa"/>
            <w:gridSpan w:val="9"/>
            <w:shd w:val="clear" w:color="auto" w:fill="auto"/>
            <w:noWrap/>
            <w:vAlign w:val="center"/>
          </w:tcPr>
          <w:p w14:paraId="6D4CC7DD">
            <w:pPr>
              <w:pStyle w:val="22"/>
              <w:rPr>
                <w:rFonts w:hint="default"/>
              </w:rPr>
            </w:pPr>
            <w:r>
              <w:t>已从事数字化转型业务时间（年）（     ）</w:t>
            </w:r>
          </w:p>
        </w:tc>
      </w:tr>
      <w:tr w14:paraId="368FD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753" w:type="dxa"/>
            <w:vMerge w:val="continue"/>
            <w:shd w:val="clear" w:color="auto" w:fill="auto"/>
            <w:noWrap/>
            <w:vAlign w:val="center"/>
          </w:tcPr>
          <w:p w14:paraId="4C70B331">
            <w:pPr>
              <w:pStyle w:val="22"/>
              <w:rPr>
                <w:rFonts w:hint="default"/>
              </w:rPr>
            </w:pPr>
          </w:p>
        </w:tc>
        <w:tc>
          <w:tcPr>
            <w:tcW w:w="7313" w:type="dxa"/>
            <w:gridSpan w:val="9"/>
            <w:shd w:val="clear" w:color="auto" w:fill="auto"/>
            <w:noWrap/>
            <w:vAlign w:val="center"/>
          </w:tcPr>
          <w:p w14:paraId="1A9739C4">
            <w:pPr>
              <w:pStyle w:val="22"/>
              <w:rPr>
                <w:rFonts w:hint="default"/>
              </w:rPr>
            </w:pPr>
            <w:r>
              <w:t>近三年营收额（万元）：2022年（     ）；2021年（     ）；2020年（     ）</w:t>
            </w:r>
          </w:p>
        </w:tc>
      </w:tr>
      <w:tr w14:paraId="57802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753" w:type="dxa"/>
            <w:vMerge w:val="continue"/>
            <w:shd w:val="clear" w:color="auto" w:fill="auto"/>
            <w:noWrap/>
            <w:vAlign w:val="center"/>
          </w:tcPr>
          <w:p w14:paraId="47DD4E00">
            <w:pPr>
              <w:pStyle w:val="22"/>
              <w:rPr>
                <w:rFonts w:hint="default"/>
              </w:rPr>
            </w:pPr>
          </w:p>
        </w:tc>
        <w:tc>
          <w:tcPr>
            <w:tcW w:w="7313" w:type="dxa"/>
            <w:gridSpan w:val="9"/>
            <w:shd w:val="clear" w:color="auto" w:fill="auto"/>
            <w:noWrap/>
            <w:vAlign w:val="center"/>
          </w:tcPr>
          <w:p w14:paraId="100629D9">
            <w:pPr>
              <w:pStyle w:val="22"/>
              <w:rPr>
                <w:rFonts w:hint="default"/>
              </w:rPr>
            </w:pPr>
            <w:r>
              <w:t>企业员工数量（员）（     ）</w:t>
            </w:r>
          </w:p>
        </w:tc>
      </w:tr>
      <w:tr w14:paraId="39653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753" w:type="dxa"/>
            <w:vMerge w:val="continue"/>
            <w:shd w:val="clear" w:color="auto" w:fill="auto"/>
            <w:noWrap/>
            <w:vAlign w:val="center"/>
          </w:tcPr>
          <w:p w14:paraId="6A69C06D">
            <w:pPr>
              <w:pStyle w:val="22"/>
              <w:rPr>
                <w:rFonts w:hint="default"/>
              </w:rPr>
            </w:pPr>
          </w:p>
        </w:tc>
        <w:tc>
          <w:tcPr>
            <w:tcW w:w="7313" w:type="dxa"/>
            <w:gridSpan w:val="9"/>
            <w:shd w:val="clear" w:color="auto" w:fill="auto"/>
            <w:noWrap/>
            <w:vAlign w:val="center"/>
          </w:tcPr>
          <w:p w14:paraId="76081293">
            <w:pPr>
              <w:pStyle w:val="22"/>
              <w:rPr>
                <w:rFonts w:hint="default"/>
              </w:rPr>
            </w:pPr>
            <w:r>
              <w:t>相关能力资质或荣誉</w:t>
            </w:r>
          </w:p>
          <w:p w14:paraId="2EBD90B5">
            <w:pPr>
              <w:pStyle w:val="22"/>
              <w:rPr>
                <w:rFonts w:hint="default"/>
              </w:rPr>
            </w:pPr>
            <w:r>
              <w:t>（如企业获得数字化转型或者智能制造类服务资质或荣誉称号、工业互联网平台相关荣誉等）</w:t>
            </w:r>
          </w:p>
        </w:tc>
      </w:tr>
      <w:tr w14:paraId="4DFC2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1753" w:type="dxa"/>
            <w:vMerge w:val="continue"/>
            <w:shd w:val="clear" w:color="auto" w:fill="auto"/>
            <w:noWrap/>
            <w:vAlign w:val="center"/>
          </w:tcPr>
          <w:p w14:paraId="7B8637C1">
            <w:pPr>
              <w:pStyle w:val="22"/>
              <w:rPr>
                <w:rFonts w:hint="default"/>
              </w:rPr>
            </w:pPr>
          </w:p>
        </w:tc>
        <w:tc>
          <w:tcPr>
            <w:tcW w:w="7313" w:type="dxa"/>
            <w:gridSpan w:val="9"/>
            <w:shd w:val="clear" w:color="auto" w:fill="auto"/>
            <w:noWrap/>
            <w:vAlign w:val="center"/>
          </w:tcPr>
          <w:p w14:paraId="6715D315">
            <w:pPr>
              <w:pStyle w:val="22"/>
              <w:rPr>
                <w:rFonts w:hint="default"/>
              </w:rPr>
            </w:pPr>
            <w:r>
              <w:t>已服务中小企业数字化转型数量（家）（     ）</w:t>
            </w:r>
          </w:p>
          <w:p w14:paraId="4B4FC317">
            <w:pPr>
              <w:pStyle w:val="22"/>
              <w:rPr>
                <w:rFonts w:hint="default"/>
              </w:rPr>
            </w:pPr>
            <w:r>
              <w:t>（需提供相关清单和材料）</w:t>
            </w:r>
          </w:p>
        </w:tc>
      </w:tr>
      <w:tr w14:paraId="3A810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753" w:type="dxa"/>
            <w:vMerge w:val="continue"/>
            <w:shd w:val="clear" w:color="auto" w:fill="auto"/>
            <w:noWrap/>
            <w:vAlign w:val="center"/>
          </w:tcPr>
          <w:p w14:paraId="5DDEDB53">
            <w:pPr>
              <w:pStyle w:val="22"/>
              <w:rPr>
                <w:rFonts w:hint="default"/>
              </w:rPr>
            </w:pPr>
          </w:p>
        </w:tc>
        <w:tc>
          <w:tcPr>
            <w:tcW w:w="7313" w:type="dxa"/>
            <w:gridSpan w:val="9"/>
            <w:shd w:val="clear" w:color="auto" w:fill="auto"/>
            <w:noWrap/>
            <w:vAlign w:val="center"/>
          </w:tcPr>
          <w:p w14:paraId="4990E967">
            <w:pPr>
              <w:pStyle w:val="22"/>
              <w:rPr>
                <w:rFonts w:hint="default"/>
              </w:rPr>
            </w:pPr>
            <w:r>
              <w:t>本地化服务能力</w:t>
            </w:r>
          </w:p>
          <w:p w14:paraId="5756DD9F">
            <w:pPr>
              <w:pStyle w:val="22"/>
              <w:rPr>
                <w:rFonts w:hint="default"/>
              </w:rPr>
            </w:pPr>
            <w:r>
              <w:t>（本地服务团队情况）</w:t>
            </w:r>
          </w:p>
        </w:tc>
      </w:tr>
      <w:tr w14:paraId="41EE9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7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A84F9">
            <w:pPr>
              <w:pStyle w:val="22"/>
              <w:jc w:val="center"/>
              <w:rPr>
                <w:rFonts w:hint="default"/>
              </w:rPr>
            </w:pPr>
            <w:r>
              <w:t>服务内容</w:t>
            </w:r>
          </w:p>
        </w:tc>
        <w:tc>
          <w:tcPr>
            <w:tcW w:w="73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BE5E1">
            <w:pPr>
              <w:pStyle w:val="22"/>
              <w:rPr>
                <w:rFonts w:hint="default"/>
              </w:rPr>
            </w:pPr>
            <w:r>
              <w:t>针对选定的行业，梳理能提供的产品或解决方案（小型化、快部署、轻量化、精准匹配需求的产品或解决方案）</w:t>
            </w:r>
          </w:p>
        </w:tc>
      </w:tr>
      <w:tr w14:paraId="31711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D11E0">
            <w:pPr>
              <w:pStyle w:val="22"/>
              <w:rPr>
                <w:rFonts w:hint="default"/>
              </w:rPr>
            </w:pPr>
          </w:p>
        </w:tc>
        <w:tc>
          <w:tcPr>
            <w:tcW w:w="73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3C2B2">
            <w:pPr>
              <w:pStyle w:val="22"/>
              <w:rPr>
                <w:rFonts w:hint="default"/>
              </w:rPr>
            </w:pPr>
            <w:r>
              <w:t xml:space="preserve">行业1：                    </w:t>
            </w:r>
          </w:p>
        </w:tc>
      </w:tr>
      <w:tr w14:paraId="46ED6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1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AF2E1">
            <w:pPr>
              <w:pStyle w:val="22"/>
              <w:rPr>
                <w:rFonts w:hint="default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4834B">
            <w:pPr>
              <w:pStyle w:val="22"/>
              <w:jc w:val="center"/>
              <w:rPr>
                <w:rFonts w:hint="default"/>
              </w:rPr>
            </w:pPr>
            <w:r>
              <w:t>产品类别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DC11E">
            <w:pPr>
              <w:pStyle w:val="22"/>
              <w:jc w:val="center"/>
              <w:rPr>
                <w:rFonts w:hint="default"/>
              </w:rPr>
            </w:pPr>
            <w:r>
              <w:t>序号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0672D1">
            <w:pPr>
              <w:pStyle w:val="22"/>
              <w:jc w:val="center"/>
              <w:rPr>
                <w:rFonts w:hint="default"/>
              </w:rPr>
            </w:pPr>
            <w:r>
              <w:t>产品</w:t>
            </w:r>
          </w:p>
          <w:p w14:paraId="5E6F8A60">
            <w:pPr>
              <w:pStyle w:val="22"/>
              <w:jc w:val="center"/>
              <w:rPr>
                <w:rFonts w:hint="default"/>
              </w:rPr>
            </w:pPr>
            <w:r>
              <w:t>名称</w:t>
            </w: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C6588">
            <w:pPr>
              <w:pStyle w:val="22"/>
              <w:jc w:val="center"/>
              <w:rPr>
                <w:rFonts w:hint="default"/>
              </w:rPr>
            </w:pPr>
            <w:r>
              <w:t>主要解决问题简述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FF861">
            <w:pPr>
              <w:pStyle w:val="22"/>
              <w:jc w:val="center"/>
              <w:rPr>
                <w:rFonts w:hint="default"/>
              </w:rPr>
            </w:pPr>
            <w:r>
              <w:t>价格区间</w:t>
            </w:r>
          </w:p>
          <w:p w14:paraId="0698A9B0">
            <w:pPr>
              <w:pStyle w:val="22"/>
              <w:jc w:val="center"/>
              <w:rPr>
                <w:rFonts w:hint="default"/>
              </w:rPr>
            </w:pPr>
            <w:r>
              <w:t>（万元）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26F93">
            <w:pPr>
              <w:pStyle w:val="22"/>
              <w:jc w:val="center"/>
              <w:rPr>
                <w:rFonts w:hint="default"/>
              </w:rPr>
            </w:pPr>
            <w:r>
              <w:t>部署</w:t>
            </w:r>
          </w:p>
          <w:p w14:paraId="3D6F1B71">
            <w:pPr>
              <w:pStyle w:val="22"/>
              <w:jc w:val="center"/>
              <w:rPr>
                <w:rFonts w:hint="default"/>
              </w:rPr>
            </w:pPr>
            <w:r>
              <w:t>周期</w:t>
            </w:r>
          </w:p>
          <w:p w14:paraId="6A7C8B00">
            <w:pPr>
              <w:pStyle w:val="22"/>
              <w:jc w:val="center"/>
              <w:rPr>
                <w:rFonts w:hint="default"/>
              </w:rPr>
            </w:pPr>
            <w:r>
              <w:t>（周）</w:t>
            </w:r>
          </w:p>
        </w:tc>
      </w:tr>
      <w:tr w14:paraId="0F3F6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7FDB3">
            <w:pPr>
              <w:pStyle w:val="22"/>
              <w:rPr>
                <w:rFonts w:hint="default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EC702D">
            <w:pPr>
              <w:pStyle w:val="22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□研发设计类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85860">
            <w:pPr>
              <w:pStyle w:val="22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830F3F">
            <w:pPr>
              <w:pStyle w:val="22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CE2D1">
            <w:pPr>
              <w:pStyle w:val="22"/>
              <w:rPr>
                <w:rFonts w:hint="default"/>
                <w:sz w:val="21"/>
                <w:szCs w:val="21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63A5F">
            <w:pPr>
              <w:pStyle w:val="22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□5万以下</w:t>
            </w:r>
          </w:p>
          <w:p w14:paraId="15BA5589">
            <w:pPr>
              <w:pStyle w:val="22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□5万-20万</w:t>
            </w:r>
          </w:p>
          <w:p w14:paraId="28702889">
            <w:pPr>
              <w:pStyle w:val="22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□20万-50万</w:t>
            </w:r>
          </w:p>
          <w:p w14:paraId="71CFD959">
            <w:pPr>
              <w:pStyle w:val="22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□50万以上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21368">
            <w:pPr>
              <w:pStyle w:val="22"/>
              <w:rPr>
                <w:rFonts w:hint="default"/>
                <w:sz w:val="21"/>
                <w:szCs w:val="21"/>
              </w:rPr>
            </w:pPr>
          </w:p>
        </w:tc>
      </w:tr>
      <w:tr w14:paraId="6204D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58F85">
            <w:pPr>
              <w:pStyle w:val="22"/>
              <w:rPr>
                <w:rFonts w:hint="default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FA5E1">
            <w:pPr>
              <w:pStyle w:val="22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□生产制造类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B63EE">
            <w:pPr>
              <w:pStyle w:val="22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58E56">
            <w:pPr>
              <w:pStyle w:val="22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229DF">
            <w:pPr>
              <w:pStyle w:val="22"/>
              <w:rPr>
                <w:rFonts w:hint="default"/>
                <w:sz w:val="21"/>
                <w:szCs w:val="21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D256E">
            <w:pPr>
              <w:pStyle w:val="22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□5万以下</w:t>
            </w:r>
          </w:p>
          <w:p w14:paraId="0211C980">
            <w:pPr>
              <w:pStyle w:val="22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□5万-20万</w:t>
            </w:r>
          </w:p>
          <w:p w14:paraId="7F6BF37C">
            <w:pPr>
              <w:pStyle w:val="22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□20万-50万</w:t>
            </w:r>
          </w:p>
          <w:p w14:paraId="6B68E0E5">
            <w:pPr>
              <w:pStyle w:val="22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□50万以上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8A3E8">
            <w:pPr>
              <w:pStyle w:val="22"/>
              <w:rPr>
                <w:rFonts w:hint="default"/>
                <w:sz w:val="21"/>
                <w:szCs w:val="21"/>
              </w:rPr>
            </w:pPr>
          </w:p>
        </w:tc>
      </w:tr>
      <w:tr w14:paraId="0FFBD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AD1B9">
            <w:pPr>
              <w:pStyle w:val="22"/>
              <w:rPr>
                <w:rFonts w:hint="default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C9FF8">
            <w:pPr>
              <w:pStyle w:val="22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□质量管理类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A1A703">
            <w:pPr>
              <w:pStyle w:val="22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10796">
            <w:pPr>
              <w:pStyle w:val="22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CFC1A">
            <w:pPr>
              <w:pStyle w:val="22"/>
              <w:rPr>
                <w:rFonts w:hint="default"/>
                <w:sz w:val="21"/>
                <w:szCs w:val="21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05FF7">
            <w:pPr>
              <w:pStyle w:val="22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sym w:font="Wingdings 2" w:char="F0A3"/>
            </w:r>
            <w:r>
              <w:rPr>
                <w:sz w:val="21"/>
                <w:szCs w:val="21"/>
              </w:rPr>
              <w:t>5万以下</w:t>
            </w:r>
          </w:p>
          <w:p w14:paraId="022E5D80">
            <w:pPr>
              <w:pStyle w:val="22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□5万-20万</w:t>
            </w:r>
          </w:p>
          <w:p w14:paraId="47C5B803">
            <w:pPr>
              <w:pStyle w:val="22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□20万-50万</w:t>
            </w:r>
          </w:p>
          <w:p w14:paraId="073133FF">
            <w:pPr>
              <w:pStyle w:val="22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□50万以上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46D25">
            <w:pPr>
              <w:pStyle w:val="22"/>
              <w:rPr>
                <w:rFonts w:hint="default"/>
                <w:sz w:val="21"/>
                <w:szCs w:val="21"/>
              </w:rPr>
            </w:pPr>
          </w:p>
        </w:tc>
      </w:tr>
      <w:tr w14:paraId="1C68E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2D970">
            <w:pPr>
              <w:pStyle w:val="22"/>
              <w:rPr>
                <w:rFonts w:hint="default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C7E6B">
            <w:pPr>
              <w:pStyle w:val="22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□运营管理类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ABBD0">
            <w:pPr>
              <w:pStyle w:val="22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341ED0">
            <w:pPr>
              <w:pStyle w:val="22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EDBF8">
            <w:pPr>
              <w:pStyle w:val="22"/>
              <w:rPr>
                <w:rFonts w:hint="default"/>
                <w:sz w:val="21"/>
                <w:szCs w:val="21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97ABB">
            <w:pPr>
              <w:pStyle w:val="22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□5万以下</w:t>
            </w:r>
          </w:p>
          <w:p w14:paraId="73063644">
            <w:pPr>
              <w:pStyle w:val="22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□5万-20万</w:t>
            </w:r>
          </w:p>
          <w:p w14:paraId="505CC2D7">
            <w:pPr>
              <w:pStyle w:val="22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□20万-50万</w:t>
            </w:r>
          </w:p>
          <w:p w14:paraId="11ABA0ED">
            <w:pPr>
              <w:pStyle w:val="22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□50万以上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97061">
            <w:pPr>
              <w:pStyle w:val="22"/>
              <w:rPr>
                <w:rFonts w:hint="default"/>
                <w:sz w:val="21"/>
                <w:szCs w:val="21"/>
              </w:rPr>
            </w:pPr>
          </w:p>
        </w:tc>
      </w:tr>
      <w:tr w14:paraId="7AE78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9C019">
            <w:pPr>
              <w:pStyle w:val="22"/>
              <w:rPr>
                <w:rFonts w:hint="default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B8AF8">
            <w:pPr>
              <w:pStyle w:val="22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□仓储物流类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F5117">
            <w:pPr>
              <w:pStyle w:val="22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6C915">
            <w:pPr>
              <w:pStyle w:val="22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CE97E">
            <w:pPr>
              <w:pStyle w:val="22"/>
              <w:rPr>
                <w:rFonts w:hint="default"/>
                <w:sz w:val="21"/>
                <w:szCs w:val="21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66FD3">
            <w:pPr>
              <w:pStyle w:val="22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□5万以下</w:t>
            </w:r>
          </w:p>
          <w:p w14:paraId="022CBE9C">
            <w:pPr>
              <w:pStyle w:val="22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□5万-20万</w:t>
            </w:r>
          </w:p>
          <w:p w14:paraId="099908B1">
            <w:pPr>
              <w:pStyle w:val="22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□20万-50万</w:t>
            </w:r>
          </w:p>
          <w:p w14:paraId="4EEF339C">
            <w:pPr>
              <w:pStyle w:val="22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□50万以上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BD92E">
            <w:pPr>
              <w:pStyle w:val="22"/>
              <w:rPr>
                <w:rFonts w:hint="default"/>
                <w:sz w:val="21"/>
                <w:szCs w:val="21"/>
              </w:rPr>
            </w:pPr>
          </w:p>
        </w:tc>
      </w:tr>
      <w:tr w14:paraId="6851F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B07FE">
            <w:pPr>
              <w:pStyle w:val="22"/>
              <w:rPr>
                <w:rFonts w:hint="default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E6993">
            <w:pPr>
              <w:pStyle w:val="22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□其他</w:t>
            </w:r>
          </w:p>
        </w:tc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B4FF1F">
            <w:pPr>
              <w:pStyle w:val="22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C367C">
            <w:pPr>
              <w:pStyle w:val="22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2EE03">
            <w:pPr>
              <w:pStyle w:val="22"/>
              <w:rPr>
                <w:rFonts w:hint="default"/>
                <w:sz w:val="21"/>
                <w:szCs w:val="21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1E76A">
            <w:pPr>
              <w:pStyle w:val="22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□5万以下</w:t>
            </w:r>
          </w:p>
          <w:p w14:paraId="01F7D74E">
            <w:pPr>
              <w:pStyle w:val="22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□5万-20万</w:t>
            </w:r>
          </w:p>
          <w:p w14:paraId="1C0B8050">
            <w:pPr>
              <w:pStyle w:val="22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□20万-50万</w:t>
            </w:r>
          </w:p>
          <w:p w14:paraId="004640A8">
            <w:pPr>
              <w:pStyle w:val="22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□50万以上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B0B01">
            <w:pPr>
              <w:pStyle w:val="22"/>
              <w:rPr>
                <w:rFonts w:hint="default"/>
                <w:sz w:val="21"/>
                <w:szCs w:val="21"/>
              </w:rPr>
            </w:pPr>
          </w:p>
        </w:tc>
      </w:tr>
      <w:tr w14:paraId="275C1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7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E64B6">
            <w:pPr>
              <w:pStyle w:val="22"/>
              <w:rPr>
                <w:rFonts w:hint="default"/>
              </w:rPr>
            </w:pPr>
          </w:p>
        </w:tc>
        <w:tc>
          <w:tcPr>
            <w:tcW w:w="73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A6B1D">
            <w:pPr>
              <w:pStyle w:val="22"/>
              <w:rPr>
                <w:rFonts w:hint="default"/>
              </w:rPr>
            </w:pPr>
            <w:r>
              <w:t>行业2：                    （如有，自行复制表格）</w:t>
            </w:r>
          </w:p>
        </w:tc>
      </w:tr>
      <w:tr w14:paraId="4294A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9066" w:type="dxa"/>
            <w:gridSpan w:val="10"/>
            <w:shd w:val="clear" w:color="auto" w:fill="auto"/>
            <w:noWrap/>
            <w:vAlign w:val="center"/>
          </w:tcPr>
          <w:p w14:paraId="71617364">
            <w:pPr>
              <w:pStyle w:val="22"/>
              <w:jc w:val="center"/>
              <w:rPr>
                <w:rFonts w:hint="default"/>
              </w:rPr>
            </w:pPr>
            <w:r>
              <w:t>真实性承诺</w:t>
            </w:r>
          </w:p>
        </w:tc>
      </w:tr>
      <w:tr w14:paraId="2A24E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6" w:hRule="atLeast"/>
          <w:jc w:val="center"/>
        </w:trPr>
        <w:tc>
          <w:tcPr>
            <w:tcW w:w="1753" w:type="dxa"/>
            <w:shd w:val="clear" w:color="auto" w:fill="auto"/>
            <w:noWrap/>
            <w:vAlign w:val="center"/>
          </w:tcPr>
          <w:p w14:paraId="5C60D54B">
            <w:pPr>
              <w:pStyle w:val="22"/>
              <w:jc w:val="center"/>
              <w:rPr>
                <w:rFonts w:hint="default"/>
              </w:rPr>
            </w:pPr>
            <w:r>
              <w:t>真实性承诺</w:t>
            </w:r>
          </w:p>
        </w:tc>
        <w:tc>
          <w:tcPr>
            <w:tcW w:w="7313" w:type="dxa"/>
            <w:gridSpan w:val="9"/>
            <w:shd w:val="clear" w:color="auto" w:fill="auto"/>
            <w:noWrap/>
            <w:vAlign w:val="center"/>
          </w:tcPr>
          <w:p w14:paraId="09E37CCF">
            <w:pPr>
              <w:pStyle w:val="22"/>
              <w:rPr>
                <w:rFonts w:hint="default"/>
              </w:rPr>
            </w:pPr>
          </w:p>
          <w:p w14:paraId="7737CD83">
            <w:pPr>
              <w:pStyle w:val="22"/>
              <w:rPr>
                <w:rFonts w:hint="default"/>
              </w:rPr>
            </w:pPr>
            <w:r>
              <w:t>本单位保证以上材料真实准确，如有不实之处，愿负相应的责任，并承担因此造成的一切后果。</w:t>
            </w:r>
          </w:p>
          <w:p w14:paraId="32D42343">
            <w:pPr>
              <w:pStyle w:val="22"/>
              <w:rPr>
                <w:rFonts w:hint="default"/>
              </w:rPr>
            </w:pPr>
          </w:p>
          <w:p w14:paraId="0F5980CF">
            <w:pPr>
              <w:pStyle w:val="22"/>
              <w:rPr>
                <w:rFonts w:hint="default"/>
              </w:rPr>
            </w:pPr>
            <w:r>
              <w:t>负责人：</w:t>
            </w:r>
          </w:p>
          <w:p w14:paraId="77AF32E7">
            <w:pPr>
              <w:pStyle w:val="22"/>
              <w:rPr>
                <w:rFonts w:hint="default"/>
              </w:rPr>
            </w:pPr>
            <w:r>
              <w:t>单位（盖章）：</w:t>
            </w:r>
          </w:p>
          <w:p w14:paraId="1740C07B">
            <w:pPr>
              <w:pStyle w:val="22"/>
              <w:rPr>
                <w:rFonts w:hint="default"/>
              </w:rPr>
            </w:pPr>
            <w:r>
              <w:t xml:space="preserve">                                          年    月    日</w:t>
            </w:r>
          </w:p>
        </w:tc>
      </w:tr>
    </w:tbl>
    <w:p w14:paraId="6A34D169">
      <w:pPr>
        <w:rPr>
          <w:rFonts w:ascii="黑体" w:hAnsi="黑体" w:eastAsia="黑体" w:cs="楷体_GB2312"/>
          <w:szCs w:val="32"/>
          <w:lang w:bidi="ar"/>
        </w:rPr>
      </w:pPr>
      <w:r>
        <w:rPr>
          <w:rFonts w:hint="eastAsia" w:ascii="黑体" w:hAnsi="黑体" w:eastAsia="黑体" w:cs="楷体_GB2312"/>
          <w:szCs w:val="32"/>
          <w:lang w:bidi="ar"/>
        </w:rPr>
        <w:br w:type="page"/>
      </w:r>
    </w:p>
    <w:p w14:paraId="0752A993">
      <w:pPr>
        <w:widowControl/>
        <w:spacing w:line="560" w:lineRule="exact"/>
        <w:ind w:firstLine="640" w:firstLineChars="200"/>
        <w:contextualSpacing/>
        <w:rPr>
          <w:rFonts w:ascii="黑体" w:hAnsi="黑体" w:eastAsia="黑体" w:cs="楷体_GB2312"/>
          <w:szCs w:val="32"/>
        </w:rPr>
      </w:pPr>
      <w:r>
        <w:rPr>
          <w:rFonts w:hint="eastAsia" w:ascii="黑体" w:hAnsi="黑体" w:eastAsia="黑体" w:cs="楷体_GB2312"/>
          <w:szCs w:val="32"/>
          <w:lang w:bidi="ar"/>
        </w:rPr>
        <w:t>二、基本情况</w:t>
      </w:r>
    </w:p>
    <w:p w14:paraId="09402C9F">
      <w:pPr>
        <w:spacing w:line="560" w:lineRule="exact"/>
        <w:ind w:firstLine="640" w:firstLineChars="200"/>
        <w:contextualSpacing/>
        <w:rPr>
          <w:rFonts w:ascii="仿宋_GB2312" w:hAnsi="仿宋_GB2312" w:cs="仿宋_GB2312"/>
          <w:color w:val="00000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szCs w:val="32"/>
          <w:lang w:bidi="ar"/>
        </w:rPr>
        <w:t>企业情况、主营业务、技术和服务能力、资质荣誉等。</w:t>
      </w:r>
    </w:p>
    <w:p w14:paraId="7DFC766C">
      <w:pPr>
        <w:widowControl/>
        <w:spacing w:line="560" w:lineRule="exact"/>
        <w:ind w:firstLine="640" w:firstLineChars="200"/>
        <w:contextualSpacing/>
        <w:rPr>
          <w:rFonts w:ascii="黑体" w:hAnsi="黑体" w:eastAsia="黑体" w:cs="楷体_GB2312"/>
          <w:szCs w:val="32"/>
          <w:lang w:bidi="ar"/>
        </w:rPr>
      </w:pPr>
      <w:r>
        <w:rPr>
          <w:rFonts w:hint="eastAsia" w:ascii="黑体" w:hAnsi="黑体" w:eastAsia="黑体" w:cs="楷体_GB2312"/>
          <w:szCs w:val="32"/>
          <w:lang w:bidi="ar"/>
        </w:rPr>
        <w:t>三、服务能力</w:t>
      </w:r>
    </w:p>
    <w:p w14:paraId="595802F2">
      <w:pPr>
        <w:spacing w:line="560" w:lineRule="exact"/>
        <w:ind w:firstLine="640" w:firstLineChars="200"/>
        <w:contextualSpacing/>
        <w:rPr>
          <w:rFonts w:ascii="仿宋_GB2312" w:hAnsi="仿宋_GB2312" w:cs="仿宋_GB2312"/>
          <w:color w:val="000000"/>
          <w:szCs w:val="32"/>
          <w:lang w:bidi="ar"/>
        </w:rPr>
      </w:pPr>
      <w:r>
        <w:rPr>
          <w:rFonts w:ascii="仿宋_GB2312" w:hAnsi="仿宋_GB2312" w:cs="仿宋_GB2312"/>
          <w:color w:val="000000"/>
          <w:szCs w:val="32"/>
          <w:lang w:bidi="ar"/>
        </w:rPr>
        <w:t>（</w:t>
      </w:r>
      <w:r>
        <w:rPr>
          <w:rFonts w:hint="eastAsia" w:ascii="仿宋_GB2312" w:hAnsi="仿宋_GB2312" w:cs="仿宋_GB2312"/>
          <w:color w:val="000000"/>
          <w:szCs w:val="32"/>
          <w:lang w:bidi="ar"/>
        </w:rPr>
        <w:t>一</w:t>
      </w:r>
      <w:r>
        <w:rPr>
          <w:rFonts w:ascii="仿宋_GB2312" w:hAnsi="仿宋_GB2312" w:cs="仿宋_GB2312"/>
          <w:color w:val="000000"/>
          <w:szCs w:val="32"/>
          <w:lang w:bidi="ar"/>
        </w:rPr>
        <w:t>）</w:t>
      </w:r>
      <w:r>
        <w:rPr>
          <w:rFonts w:hint="eastAsia" w:ascii="仿宋_GB2312" w:hAnsi="仿宋_GB2312" w:cs="仿宋_GB2312"/>
          <w:color w:val="000000"/>
          <w:szCs w:val="32"/>
          <w:lang w:bidi="ar"/>
        </w:rPr>
        <w:t>对细分行业整体的理解，对细分行业共性与个性化需求的理解和分析。</w:t>
      </w:r>
    </w:p>
    <w:p w14:paraId="65F3C0FD">
      <w:pPr>
        <w:spacing w:line="560" w:lineRule="exact"/>
        <w:ind w:firstLine="640" w:firstLineChars="200"/>
        <w:contextualSpacing/>
        <w:rPr>
          <w:rFonts w:ascii="仿宋_GB2312" w:hAnsi="仿宋_GB2312" w:cs="仿宋_GB2312"/>
          <w:color w:val="000000"/>
          <w:szCs w:val="32"/>
          <w:lang w:bidi="ar"/>
        </w:rPr>
      </w:pPr>
      <w:r>
        <w:rPr>
          <w:rFonts w:ascii="仿宋_GB2312" w:hAnsi="仿宋_GB2312" w:cs="仿宋_GB2312"/>
          <w:color w:val="000000"/>
          <w:szCs w:val="32"/>
          <w:lang w:bidi="ar"/>
        </w:rPr>
        <w:t>（</w:t>
      </w:r>
      <w:r>
        <w:rPr>
          <w:rFonts w:hint="eastAsia" w:ascii="仿宋_GB2312" w:hAnsi="仿宋_GB2312" w:cs="仿宋_GB2312"/>
          <w:color w:val="000000"/>
          <w:szCs w:val="32"/>
          <w:lang w:bidi="ar"/>
        </w:rPr>
        <w:t>二</w:t>
      </w:r>
      <w:r>
        <w:rPr>
          <w:rFonts w:ascii="仿宋_GB2312" w:hAnsi="仿宋_GB2312" w:cs="仿宋_GB2312"/>
          <w:color w:val="000000"/>
          <w:szCs w:val="32"/>
          <w:lang w:bidi="ar"/>
        </w:rPr>
        <w:t>）服务产品或解决方案</w:t>
      </w:r>
      <w:r>
        <w:rPr>
          <w:rFonts w:hint="eastAsia" w:ascii="仿宋_GB2312" w:hAnsi="仿宋_GB2312" w:cs="仿宋_GB2312"/>
          <w:color w:val="000000"/>
          <w:szCs w:val="32"/>
          <w:lang w:bidi="ar"/>
        </w:rPr>
        <w:t>。</w:t>
      </w:r>
    </w:p>
    <w:p w14:paraId="47F5DFAE">
      <w:pPr>
        <w:spacing w:line="560" w:lineRule="exact"/>
        <w:ind w:firstLine="640" w:firstLineChars="200"/>
        <w:contextualSpacing/>
        <w:rPr>
          <w:rFonts w:ascii="仿宋_GB2312" w:hAnsi="仿宋_GB2312" w:cs="仿宋_GB2312"/>
          <w:color w:val="000000"/>
          <w:szCs w:val="32"/>
          <w:lang w:bidi="ar"/>
        </w:rPr>
      </w:pPr>
      <w:r>
        <w:rPr>
          <w:rFonts w:ascii="仿宋_GB2312" w:hAnsi="仿宋_GB2312" w:cs="仿宋_GB2312"/>
          <w:color w:val="000000"/>
          <w:szCs w:val="32"/>
          <w:lang w:bidi="ar"/>
        </w:rPr>
        <w:t>（</w:t>
      </w:r>
      <w:r>
        <w:rPr>
          <w:rFonts w:hint="eastAsia" w:ascii="仿宋_GB2312" w:hAnsi="仿宋_GB2312" w:cs="仿宋_GB2312"/>
          <w:color w:val="000000"/>
          <w:szCs w:val="32"/>
          <w:lang w:bidi="ar"/>
        </w:rPr>
        <w:t>三</w:t>
      </w:r>
      <w:r>
        <w:rPr>
          <w:rFonts w:ascii="仿宋_GB2312" w:hAnsi="仿宋_GB2312" w:cs="仿宋_GB2312"/>
          <w:color w:val="000000"/>
          <w:szCs w:val="32"/>
          <w:lang w:bidi="ar"/>
        </w:rPr>
        <w:t>）核心技术及</w:t>
      </w:r>
      <w:r>
        <w:rPr>
          <w:rFonts w:hint="eastAsia" w:ascii="仿宋_GB2312" w:hAnsi="仿宋_GB2312" w:cs="仿宋_GB2312"/>
          <w:color w:val="000000"/>
          <w:szCs w:val="32"/>
          <w:lang w:bidi="ar"/>
        </w:rPr>
        <w:t>行业</w:t>
      </w:r>
      <w:r>
        <w:rPr>
          <w:rFonts w:ascii="仿宋_GB2312" w:hAnsi="仿宋_GB2312" w:cs="仿宋_GB2312"/>
          <w:color w:val="000000"/>
          <w:szCs w:val="32"/>
          <w:lang w:bidi="ar"/>
        </w:rPr>
        <w:t>竞争优势</w:t>
      </w:r>
      <w:r>
        <w:rPr>
          <w:rFonts w:hint="eastAsia" w:ascii="仿宋_GB2312" w:hAnsi="仿宋_GB2312" w:cs="仿宋_GB2312"/>
          <w:color w:val="000000"/>
          <w:szCs w:val="32"/>
          <w:lang w:bidi="ar"/>
        </w:rPr>
        <w:t>。</w:t>
      </w:r>
    </w:p>
    <w:p w14:paraId="3E92E629">
      <w:pPr>
        <w:spacing w:line="560" w:lineRule="exact"/>
        <w:ind w:firstLine="640" w:firstLineChars="200"/>
        <w:contextualSpacing/>
        <w:rPr>
          <w:rFonts w:ascii="仿宋_GB2312" w:hAnsi="仿宋_GB2312" w:cs="仿宋_GB2312"/>
          <w:color w:val="000000"/>
          <w:szCs w:val="32"/>
          <w:lang w:bidi="ar"/>
        </w:rPr>
      </w:pPr>
      <w:r>
        <w:rPr>
          <w:rFonts w:ascii="仿宋_GB2312" w:hAnsi="仿宋_GB2312" w:cs="仿宋_GB2312"/>
          <w:color w:val="000000"/>
          <w:szCs w:val="32"/>
          <w:lang w:bidi="ar"/>
        </w:rPr>
        <w:t>（</w:t>
      </w:r>
      <w:r>
        <w:rPr>
          <w:rFonts w:hint="eastAsia" w:ascii="仿宋_GB2312" w:hAnsi="仿宋_GB2312" w:cs="仿宋_GB2312"/>
          <w:color w:val="000000"/>
          <w:szCs w:val="32"/>
          <w:lang w:bidi="ar"/>
        </w:rPr>
        <w:t>四</w:t>
      </w:r>
      <w:r>
        <w:rPr>
          <w:rFonts w:ascii="仿宋_GB2312" w:hAnsi="仿宋_GB2312" w:cs="仿宋_GB2312"/>
          <w:color w:val="000000"/>
          <w:szCs w:val="32"/>
          <w:lang w:bidi="ar"/>
        </w:rPr>
        <w:t>）实施案例介绍</w:t>
      </w:r>
      <w:r>
        <w:rPr>
          <w:rFonts w:hint="eastAsia" w:ascii="仿宋_GB2312" w:hAnsi="仿宋_GB2312" w:cs="仿宋_GB2312"/>
          <w:color w:val="000000"/>
          <w:szCs w:val="32"/>
          <w:lang w:bidi="ar"/>
        </w:rPr>
        <w:t>，详述2个企业服务案例</w:t>
      </w:r>
      <w:r>
        <w:rPr>
          <w:rFonts w:ascii="仿宋_GB2312" w:hAnsi="仿宋_GB2312" w:cs="仿宋_GB2312"/>
          <w:color w:val="000000"/>
          <w:szCs w:val="32"/>
          <w:lang w:bidi="ar"/>
        </w:rPr>
        <w:t>，包括实施内容、</w:t>
      </w:r>
      <w:r>
        <w:rPr>
          <w:rFonts w:hint="eastAsia" w:ascii="仿宋_GB2312" w:hAnsi="仿宋_GB2312" w:cs="仿宋_GB2312"/>
          <w:color w:val="000000"/>
          <w:szCs w:val="32"/>
          <w:lang w:bidi="ar"/>
        </w:rPr>
        <w:t>效果</w:t>
      </w:r>
      <w:r>
        <w:rPr>
          <w:rFonts w:ascii="仿宋_GB2312" w:hAnsi="仿宋_GB2312" w:cs="仿宋_GB2312"/>
          <w:color w:val="000000"/>
          <w:szCs w:val="32"/>
          <w:lang w:bidi="ar"/>
        </w:rPr>
        <w:t>等</w:t>
      </w:r>
      <w:r>
        <w:rPr>
          <w:rFonts w:hint="eastAsia" w:ascii="仿宋_GB2312" w:hAnsi="仿宋_GB2312" w:cs="仿宋_GB2312"/>
          <w:color w:val="000000"/>
          <w:szCs w:val="32"/>
          <w:lang w:bidi="ar"/>
        </w:rPr>
        <w:t>。</w:t>
      </w:r>
    </w:p>
    <w:p w14:paraId="22111D6E">
      <w:pPr>
        <w:spacing w:line="560" w:lineRule="exact"/>
        <w:ind w:firstLine="640" w:firstLineChars="200"/>
        <w:contextualSpacing/>
        <w:rPr>
          <w:rFonts w:ascii="仿宋_GB2312" w:hAnsi="仿宋_GB2312" w:cs="仿宋_GB2312"/>
          <w:color w:val="000000"/>
          <w:szCs w:val="32"/>
          <w:lang w:bidi="ar"/>
        </w:rPr>
      </w:pPr>
      <w:r>
        <w:rPr>
          <w:rFonts w:hint="eastAsia" w:ascii="仿宋_GB2312" w:hAnsi="仿宋_GB2312" w:cs="仿宋_GB2312"/>
          <w:color w:val="000000"/>
          <w:szCs w:val="32"/>
          <w:lang w:bidi="ar"/>
        </w:rPr>
        <w:t>（五）典型模式及可复制推广性，提供中小企业数字化转型的经验做法在细分行业的推广价值等。</w:t>
      </w:r>
    </w:p>
    <w:p w14:paraId="13FDFC6C">
      <w:pPr>
        <w:widowControl/>
        <w:spacing w:line="560" w:lineRule="exact"/>
        <w:ind w:firstLine="640" w:firstLineChars="200"/>
        <w:contextualSpacing/>
        <w:rPr>
          <w:rFonts w:ascii="黑体" w:hAnsi="黑体" w:eastAsia="黑体" w:cs="楷体"/>
          <w:szCs w:val="32"/>
          <w:lang w:bidi="ar"/>
        </w:rPr>
      </w:pPr>
      <w:r>
        <w:rPr>
          <w:rFonts w:hint="eastAsia" w:ascii="黑体" w:hAnsi="黑体" w:eastAsia="黑体" w:cs="楷体_GB2312"/>
          <w:szCs w:val="32"/>
          <w:lang w:val="en-US" w:eastAsia="zh-CN" w:bidi="ar"/>
        </w:rPr>
        <w:t>四</w:t>
      </w:r>
      <w:r>
        <w:rPr>
          <w:rFonts w:hint="eastAsia" w:ascii="黑体" w:hAnsi="黑体" w:eastAsia="黑体" w:cs="楷体_GB2312"/>
          <w:szCs w:val="32"/>
          <w:lang w:bidi="ar"/>
        </w:rPr>
        <w:t>、</w:t>
      </w:r>
      <w:r>
        <w:rPr>
          <w:rFonts w:hint="eastAsia" w:ascii="黑体" w:hAnsi="黑体" w:eastAsia="黑体" w:cs="楷体"/>
          <w:szCs w:val="32"/>
          <w:lang w:bidi="ar"/>
        </w:rPr>
        <w:t>相关证明材料</w:t>
      </w:r>
    </w:p>
    <w:p w14:paraId="11C9881D">
      <w:pPr>
        <w:spacing w:line="560" w:lineRule="exact"/>
        <w:ind w:firstLine="640" w:firstLineChars="200"/>
        <w:rPr>
          <w:rFonts w:ascii="仿宋_GB2312" w:hAnsi="仿宋_GB2312" w:cs="仿宋_GB2312"/>
          <w:bCs/>
          <w:szCs w:val="32"/>
        </w:rPr>
      </w:pPr>
      <w:r>
        <w:rPr>
          <w:rFonts w:hint="eastAsia" w:ascii="仿宋_GB2312" w:hAnsi="仿宋_GB2312" w:cs="仿宋_GB2312"/>
          <w:bCs/>
          <w:szCs w:val="32"/>
        </w:rPr>
        <w:t>（一）营业执照（复印件）。</w:t>
      </w:r>
    </w:p>
    <w:p w14:paraId="7B7781F2">
      <w:pPr>
        <w:widowControl/>
        <w:spacing w:line="560" w:lineRule="exact"/>
        <w:ind w:firstLine="640" w:firstLineChars="200"/>
        <w:rPr>
          <w:rFonts w:ascii="仿宋_GB2312" w:hAnsi="仿宋_GB2312" w:cs="仿宋_GB2312"/>
          <w:bCs/>
          <w:szCs w:val="32"/>
        </w:rPr>
      </w:pPr>
      <w:r>
        <w:rPr>
          <w:rFonts w:hint="eastAsia" w:ascii="仿宋_GB2312" w:hAnsi="仿宋_GB2312" w:cs="仿宋_GB2312"/>
          <w:bCs/>
          <w:szCs w:val="32"/>
        </w:rPr>
        <w:t>（二）</w:t>
      </w:r>
      <w:r>
        <w:rPr>
          <w:rFonts w:hint="eastAsia" w:ascii="仿宋_GB2312" w:hAnsi="仿宋_GB2312" w:cs="仿宋_GB2312"/>
          <w:kern w:val="0"/>
          <w:szCs w:val="32"/>
          <w:lang w:bidi="ar"/>
        </w:rPr>
        <w:t>近三年财务报表。</w:t>
      </w:r>
    </w:p>
    <w:p w14:paraId="32C110B5">
      <w:pPr>
        <w:widowControl/>
        <w:spacing w:line="560" w:lineRule="exact"/>
        <w:ind w:firstLine="640" w:firstLineChars="200"/>
        <w:rPr>
          <w:rFonts w:ascii="Times New Roman" w:hAnsi="Times New Roman" w:cs="宋体"/>
          <w:szCs w:val="32"/>
        </w:rPr>
      </w:pPr>
      <w:bookmarkStart w:id="2" w:name="OLE_LINK1"/>
      <w:r>
        <w:rPr>
          <w:rFonts w:ascii="仿宋_GB2312" w:hAnsi="仿宋_GB2312" w:cs="仿宋_GB2312"/>
          <w:bCs/>
          <w:szCs w:val="32"/>
        </w:rPr>
        <w:t>（三）申报单位</w:t>
      </w:r>
      <w:r>
        <w:rPr>
          <w:rFonts w:hint="eastAsia" w:ascii="仿宋_GB2312" w:hAnsi="仿宋_GB2312" w:cs="仿宋_GB2312"/>
          <w:bCs/>
          <w:szCs w:val="32"/>
        </w:rPr>
        <w:t>（或其直属单位）</w:t>
      </w:r>
      <w:r>
        <w:rPr>
          <w:rFonts w:ascii="仿宋_GB2312" w:hAnsi="仿宋_GB2312" w:cs="仿宋_GB2312"/>
          <w:bCs/>
          <w:szCs w:val="32"/>
        </w:rPr>
        <w:t>获得的国家、省、市各级数字化转型或者智能制造类服务资质或荣誉称号的相关证明</w:t>
      </w:r>
      <w:r>
        <w:rPr>
          <w:rFonts w:hint="eastAsia" w:ascii="仿宋_GB2312" w:hAnsi="仿宋_GB2312" w:cs="仿宋_GB2312"/>
          <w:bCs/>
          <w:szCs w:val="32"/>
        </w:rPr>
        <w:t>和</w:t>
      </w:r>
      <w:r>
        <w:rPr>
          <w:rFonts w:hint="eastAsia" w:ascii="Times New Roman" w:hAnsi="Times New Roman" w:cs="宋体"/>
          <w:szCs w:val="32"/>
        </w:rPr>
        <w:t>工业互联网平台获得省（市）级荣誉的相关证明。</w:t>
      </w:r>
    </w:p>
    <w:p w14:paraId="33AAC9E5">
      <w:pPr>
        <w:spacing w:line="560" w:lineRule="exact"/>
        <w:ind w:firstLine="640" w:firstLineChars="200"/>
        <w:rPr>
          <w:rFonts w:ascii="仿宋_GB2312" w:hAnsi="仿宋_GB2312" w:cs="仿宋_GB2312"/>
          <w:kern w:val="0"/>
          <w:szCs w:val="32"/>
          <w:lang w:bidi="ar"/>
        </w:rPr>
      </w:pPr>
      <w:r>
        <w:rPr>
          <w:rFonts w:hint="eastAsia" w:ascii="仿宋_GB2312" w:hAnsi="仿宋_GB2312" w:cs="仿宋_GB2312"/>
          <w:kern w:val="0"/>
          <w:szCs w:val="32"/>
          <w:lang w:bidi="ar"/>
        </w:rPr>
        <w:t>（四）</w:t>
      </w:r>
      <w:r>
        <w:t>已服务中小企业数字化转型</w:t>
      </w:r>
      <w:r>
        <w:rPr>
          <w:rFonts w:hint="eastAsia"/>
        </w:rPr>
        <w:t>的案例清单和相关材料、</w:t>
      </w:r>
      <w:r>
        <w:rPr>
          <w:rFonts w:hint="eastAsia" w:ascii="仿宋_GB2312" w:hAnsi="仿宋_GB2312" w:cs="仿宋_GB2312"/>
          <w:kern w:val="0"/>
          <w:szCs w:val="32"/>
          <w:lang w:bidi="ar"/>
        </w:rPr>
        <w:t>典型案例客户证明材料（服务合同等），渝北区拟合作意向企业清单及证明材料。</w:t>
      </w:r>
    </w:p>
    <w:p w14:paraId="109355AB">
      <w:pPr>
        <w:pStyle w:val="5"/>
        <w:spacing w:line="560" w:lineRule="exact"/>
        <w:jc w:val="center"/>
        <w:rPr>
          <w:rFonts w:ascii="黑体" w:hAnsi="黑体" w:eastAsia="黑体"/>
          <w:sz w:val="28"/>
          <w:szCs w:val="22"/>
          <w:lang w:bidi="ar"/>
        </w:rPr>
      </w:pPr>
      <w:r>
        <w:rPr>
          <w:rFonts w:hint="eastAsia" w:ascii="黑体" w:hAnsi="黑体" w:eastAsia="黑体"/>
          <w:sz w:val="28"/>
          <w:szCs w:val="22"/>
          <w:lang w:bidi="ar"/>
        </w:rPr>
        <w:t>表1</w:t>
      </w:r>
      <w:r>
        <w:rPr>
          <w:rFonts w:ascii="黑体" w:hAnsi="黑体" w:eastAsia="黑体"/>
          <w:sz w:val="28"/>
          <w:szCs w:val="22"/>
          <w:lang w:bidi="ar"/>
        </w:rPr>
        <w:t xml:space="preserve"> </w:t>
      </w:r>
      <w:r>
        <w:rPr>
          <w:rFonts w:hint="eastAsia" w:ascii="黑体" w:hAnsi="黑体" w:eastAsia="黑体"/>
          <w:sz w:val="28"/>
          <w:szCs w:val="22"/>
          <w:lang w:bidi="ar"/>
        </w:rPr>
        <w:t>中小企业数字化转型案例清单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391"/>
        <w:gridCol w:w="1391"/>
        <w:gridCol w:w="1391"/>
        <w:gridCol w:w="1518"/>
        <w:gridCol w:w="1265"/>
      </w:tblGrid>
      <w:tr w14:paraId="4190D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5C7287F8">
            <w:pPr>
              <w:pStyle w:val="5"/>
              <w:jc w:val="center"/>
              <w:rPr>
                <w:rFonts w:hint="eastAsia" w:ascii="黑体" w:hAnsi="黑体" w:eastAsia="黑体"/>
                <w:sz w:val="24"/>
                <w:szCs w:val="21"/>
                <w:lang w:bidi="ar"/>
              </w:rPr>
            </w:pPr>
            <w:r>
              <w:rPr>
                <w:rFonts w:hint="eastAsia" w:ascii="黑体" w:hAnsi="黑体" w:eastAsia="黑体"/>
                <w:sz w:val="24"/>
                <w:szCs w:val="21"/>
                <w:lang w:bidi="ar"/>
              </w:rPr>
              <w:t>序号</w:t>
            </w:r>
          </w:p>
        </w:tc>
        <w:tc>
          <w:tcPr>
            <w:tcW w:w="1391" w:type="dxa"/>
          </w:tcPr>
          <w:p w14:paraId="7F4A4347">
            <w:pPr>
              <w:pStyle w:val="5"/>
              <w:jc w:val="center"/>
              <w:rPr>
                <w:rFonts w:ascii="黑体" w:hAnsi="黑体" w:eastAsia="黑体"/>
                <w:sz w:val="24"/>
                <w:szCs w:val="21"/>
                <w:lang w:bidi="ar"/>
              </w:rPr>
            </w:pPr>
            <w:r>
              <w:rPr>
                <w:rFonts w:hint="eastAsia" w:ascii="黑体" w:hAnsi="黑体" w:eastAsia="黑体"/>
                <w:sz w:val="24"/>
                <w:szCs w:val="21"/>
                <w:lang w:bidi="ar"/>
              </w:rPr>
              <w:t>企业名称</w:t>
            </w:r>
          </w:p>
        </w:tc>
        <w:tc>
          <w:tcPr>
            <w:tcW w:w="1391" w:type="dxa"/>
          </w:tcPr>
          <w:p w14:paraId="5F0409E8">
            <w:pPr>
              <w:pStyle w:val="5"/>
              <w:jc w:val="center"/>
              <w:rPr>
                <w:rFonts w:ascii="黑体" w:hAnsi="黑体" w:eastAsia="黑体"/>
                <w:sz w:val="24"/>
                <w:szCs w:val="21"/>
                <w:lang w:bidi="ar"/>
              </w:rPr>
            </w:pPr>
            <w:r>
              <w:rPr>
                <w:rFonts w:hint="eastAsia" w:ascii="黑体" w:hAnsi="黑体" w:eastAsia="黑体"/>
                <w:sz w:val="24"/>
                <w:szCs w:val="21"/>
                <w:lang w:bidi="ar"/>
              </w:rPr>
              <w:t>所属行业</w:t>
            </w:r>
          </w:p>
        </w:tc>
        <w:tc>
          <w:tcPr>
            <w:tcW w:w="1391" w:type="dxa"/>
          </w:tcPr>
          <w:p w14:paraId="38FCE0B9">
            <w:pPr>
              <w:pStyle w:val="5"/>
              <w:jc w:val="center"/>
              <w:rPr>
                <w:rFonts w:ascii="黑体" w:hAnsi="黑体" w:eastAsia="黑体"/>
                <w:sz w:val="24"/>
                <w:szCs w:val="21"/>
                <w:lang w:bidi="ar"/>
              </w:rPr>
            </w:pPr>
            <w:r>
              <w:rPr>
                <w:rFonts w:hint="eastAsia" w:ascii="黑体" w:hAnsi="黑体" w:eastAsia="黑体"/>
                <w:sz w:val="24"/>
                <w:szCs w:val="21"/>
                <w:lang w:bidi="ar"/>
              </w:rPr>
              <w:t>服务内容</w:t>
            </w:r>
          </w:p>
        </w:tc>
        <w:tc>
          <w:tcPr>
            <w:tcW w:w="1518" w:type="dxa"/>
          </w:tcPr>
          <w:p w14:paraId="5845F212">
            <w:pPr>
              <w:pStyle w:val="5"/>
              <w:jc w:val="center"/>
              <w:rPr>
                <w:rFonts w:ascii="黑体" w:hAnsi="黑体" w:eastAsia="黑体"/>
                <w:sz w:val="24"/>
                <w:szCs w:val="21"/>
                <w:lang w:bidi="ar"/>
              </w:rPr>
            </w:pPr>
            <w:r>
              <w:rPr>
                <w:rFonts w:hint="eastAsia" w:ascii="黑体" w:hAnsi="黑体" w:eastAsia="黑体"/>
                <w:sz w:val="24"/>
                <w:szCs w:val="21"/>
                <w:lang w:bidi="ar"/>
              </w:rPr>
              <w:t>企业联系人</w:t>
            </w:r>
          </w:p>
        </w:tc>
        <w:tc>
          <w:tcPr>
            <w:tcW w:w="1265" w:type="dxa"/>
          </w:tcPr>
          <w:p w14:paraId="0E6486B7">
            <w:pPr>
              <w:pStyle w:val="5"/>
              <w:jc w:val="center"/>
              <w:rPr>
                <w:rFonts w:ascii="黑体" w:hAnsi="黑体" w:eastAsia="黑体"/>
                <w:sz w:val="24"/>
                <w:szCs w:val="21"/>
                <w:lang w:bidi="ar"/>
              </w:rPr>
            </w:pPr>
            <w:r>
              <w:rPr>
                <w:rFonts w:hint="eastAsia" w:ascii="黑体" w:hAnsi="黑体" w:eastAsia="黑体"/>
                <w:sz w:val="24"/>
                <w:szCs w:val="21"/>
                <w:lang w:bidi="ar"/>
              </w:rPr>
              <w:t>联系方式</w:t>
            </w:r>
          </w:p>
        </w:tc>
      </w:tr>
      <w:tr w14:paraId="3427B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" w:type="dxa"/>
          </w:tcPr>
          <w:p w14:paraId="48A652FE">
            <w:pPr>
              <w:pStyle w:val="5"/>
              <w:rPr>
                <w:lang w:bidi="ar"/>
              </w:rPr>
            </w:pPr>
          </w:p>
        </w:tc>
        <w:tc>
          <w:tcPr>
            <w:tcW w:w="1391" w:type="dxa"/>
          </w:tcPr>
          <w:p w14:paraId="6D704832">
            <w:pPr>
              <w:pStyle w:val="5"/>
              <w:rPr>
                <w:lang w:bidi="ar"/>
              </w:rPr>
            </w:pPr>
          </w:p>
        </w:tc>
        <w:tc>
          <w:tcPr>
            <w:tcW w:w="1391" w:type="dxa"/>
          </w:tcPr>
          <w:p w14:paraId="078E9FB4">
            <w:pPr>
              <w:pStyle w:val="5"/>
              <w:rPr>
                <w:lang w:bidi="ar"/>
              </w:rPr>
            </w:pPr>
          </w:p>
        </w:tc>
        <w:tc>
          <w:tcPr>
            <w:tcW w:w="1391" w:type="dxa"/>
          </w:tcPr>
          <w:p w14:paraId="0591617C">
            <w:pPr>
              <w:pStyle w:val="5"/>
              <w:rPr>
                <w:lang w:bidi="ar"/>
              </w:rPr>
            </w:pPr>
          </w:p>
        </w:tc>
        <w:tc>
          <w:tcPr>
            <w:tcW w:w="1518" w:type="dxa"/>
          </w:tcPr>
          <w:p w14:paraId="35558227">
            <w:pPr>
              <w:pStyle w:val="5"/>
              <w:rPr>
                <w:lang w:bidi="ar"/>
              </w:rPr>
            </w:pPr>
          </w:p>
        </w:tc>
        <w:tc>
          <w:tcPr>
            <w:tcW w:w="1265" w:type="dxa"/>
          </w:tcPr>
          <w:p w14:paraId="2C6EDD2C">
            <w:pPr>
              <w:pStyle w:val="5"/>
              <w:rPr>
                <w:lang w:bidi="ar"/>
              </w:rPr>
            </w:pPr>
          </w:p>
        </w:tc>
      </w:tr>
      <w:bookmarkEnd w:id="2"/>
    </w:tbl>
    <w:p w14:paraId="1743B4C8">
      <w:pPr>
        <w:widowControl/>
        <w:spacing w:line="560" w:lineRule="exact"/>
        <w:ind w:firstLine="640" w:firstLineChars="200"/>
        <w:rPr>
          <w:rFonts w:ascii="仿宋_GB2312" w:hAnsi="仿宋_GB2312" w:cs="仿宋_GB2312"/>
          <w:bCs/>
          <w:szCs w:val="32"/>
        </w:rPr>
      </w:pPr>
      <w:r>
        <w:rPr>
          <w:rFonts w:hint="eastAsia" w:ascii="仿宋_GB2312" w:hAnsi="仿宋_GB2312" w:cs="仿宋_GB2312"/>
          <w:bCs/>
          <w:szCs w:val="32"/>
        </w:rPr>
        <w:t>（</w:t>
      </w:r>
      <w:r>
        <w:rPr>
          <w:rFonts w:hint="eastAsia" w:ascii="仿宋_GB2312" w:hAnsi="仿宋_GB2312" w:cs="仿宋_GB2312"/>
          <w:bCs/>
          <w:szCs w:val="32"/>
          <w:lang w:val="en-US" w:eastAsia="zh-CN"/>
        </w:rPr>
        <w:t>五</w:t>
      </w:r>
      <w:r>
        <w:rPr>
          <w:rFonts w:hint="eastAsia" w:ascii="仿宋_GB2312" w:hAnsi="仿宋_GB2312" w:cs="仿宋_GB2312"/>
          <w:bCs/>
          <w:szCs w:val="32"/>
        </w:rPr>
        <w:t>）本地化服务能力证明材料及服务团队核心人员简历、团队人员名单、参保信息、职称和学历证明等相关证明材料。</w:t>
      </w:r>
    </w:p>
    <w:p w14:paraId="1B7B2C62">
      <w:pPr>
        <w:snapToGrid w:val="0"/>
        <w:spacing w:line="600" w:lineRule="exact"/>
        <w:ind w:firstLine="640" w:firstLineChars="200"/>
        <w:jc w:val="left"/>
        <w:rPr>
          <w:rFonts w:ascii="Times New Roman" w:hAnsi="Times New Roman" w:cs="宋体"/>
          <w:szCs w:val="32"/>
        </w:rPr>
      </w:pPr>
      <w:r>
        <w:rPr>
          <w:rFonts w:hint="eastAsia" w:ascii="Times New Roman" w:hAnsi="Times New Roman" w:cs="宋体"/>
          <w:szCs w:val="32"/>
        </w:rPr>
        <w:t>（</w:t>
      </w:r>
      <w:r>
        <w:rPr>
          <w:rFonts w:hint="eastAsia" w:ascii="Times New Roman" w:hAnsi="Times New Roman" w:cs="宋体"/>
          <w:szCs w:val="32"/>
          <w:lang w:val="en-US" w:eastAsia="zh-CN"/>
        </w:rPr>
        <w:t>六</w:t>
      </w:r>
      <w:r>
        <w:rPr>
          <w:rFonts w:hint="eastAsia" w:ascii="Times New Roman" w:hAnsi="Times New Roman" w:cs="宋体"/>
          <w:szCs w:val="32"/>
        </w:rPr>
        <w:t>）</w:t>
      </w:r>
      <w:r>
        <w:rPr>
          <w:rFonts w:hint="eastAsia" w:ascii="仿宋_GB2312" w:hAnsi="仿宋_GB2312" w:cs="仿宋_GB2312"/>
          <w:bCs/>
          <w:szCs w:val="32"/>
        </w:rPr>
        <w:t>软件著作权、专利以及</w:t>
      </w:r>
      <w:r>
        <w:rPr>
          <w:rFonts w:hint="eastAsia" w:ascii="Times New Roman" w:hAnsi="Times New Roman" w:cs="宋体"/>
          <w:szCs w:val="32"/>
        </w:rPr>
        <w:t>其他能佐证申报单位服务能力的材料。</w:t>
      </w:r>
    </w:p>
    <w:p w14:paraId="2FD88F21">
      <w:p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</w:p>
    <w:p w14:paraId="4C8E48BE"/>
    <w:sectPr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653D56DD-6D53-41F4-87FC-0343FF67538B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DDCAFDA-5B39-4D3A-87D6-8F0105632B5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74EC7BC-786E-4F24-8796-0960C0845F1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BEAEC02-EA3D-4900-92F8-D63862E415B8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278A1E3B-7153-4466-89CC-7D713AE95815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6" w:fontKey="{B3B9B77F-5BA1-4BFA-A7F6-68D661FC3855}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7" w:fontKey="{AA0C097F-93D5-462C-B7D6-05D3255105F5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8" w:fontKey="{EC707130-8236-4B59-8EE0-5D80EBC1B1D7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9" w:fontKey="{47ACAB99-F969-4803-B98B-0E728624C017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0" w:fontKey="{7109C09F-BFF6-4E6D-8FD1-3DD1DB75C0B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1" w:fontKey="{541D0CCC-8D53-4DEA-817F-7FA688976444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12" w:fontKey="{18321DAD-567F-4B2C-94FF-02DEA159E7A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6E91FE"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E6F6AA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DE6F6AA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C8D058"/>
    <w:multiLevelType w:val="multilevel"/>
    <w:tmpl w:val="55C8D058"/>
    <w:lvl w:ilvl="0" w:tentative="0">
      <w:start w:val="1"/>
      <w:numFmt w:val="decimal"/>
      <w:pStyle w:val="2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lZWQxMTA3Njc1NzJkNGNhZDdmNzMxMTYwZGJjZDcifQ=="/>
  </w:docVars>
  <w:rsids>
    <w:rsidRoot w:val="00CE296C"/>
    <w:rsid w:val="00061B02"/>
    <w:rsid w:val="00076D12"/>
    <w:rsid w:val="000D1915"/>
    <w:rsid w:val="000F6165"/>
    <w:rsid w:val="00101D06"/>
    <w:rsid w:val="001075D5"/>
    <w:rsid w:val="0013642B"/>
    <w:rsid w:val="00155D0E"/>
    <w:rsid w:val="0017735E"/>
    <w:rsid w:val="001833C1"/>
    <w:rsid w:val="00186D9B"/>
    <w:rsid w:val="00225F66"/>
    <w:rsid w:val="00267CB0"/>
    <w:rsid w:val="0027243A"/>
    <w:rsid w:val="00347510"/>
    <w:rsid w:val="00371C0C"/>
    <w:rsid w:val="003D0DC6"/>
    <w:rsid w:val="003F0B65"/>
    <w:rsid w:val="00404D79"/>
    <w:rsid w:val="00410205"/>
    <w:rsid w:val="004445FC"/>
    <w:rsid w:val="00465761"/>
    <w:rsid w:val="00482104"/>
    <w:rsid w:val="00495B42"/>
    <w:rsid w:val="004B1497"/>
    <w:rsid w:val="00525C23"/>
    <w:rsid w:val="005A2B74"/>
    <w:rsid w:val="00630456"/>
    <w:rsid w:val="00637F4A"/>
    <w:rsid w:val="00694745"/>
    <w:rsid w:val="006A254D"/>
    <w:rsid w:val="006A7232"/>
    <w:rsid w:val="007153E7"/>
    <w:rsid w:val="007403E9"/>
    <w:rsid w:val="00764F09"/>
    <w:rsid w:val="007E17AB"/>
    <w:rsid w:val="008305EC"/>
    <w:rsid w:val="008326F3"/>
    <w:rsid w:val="00845890"/>
    <w:rsid w:val="0087437E"/>
    <w:rsid w:val="008761FA"/>
    <w:rsid w:val="00927CB6"/>
    <w:rsid w:val="00930381"/>
    <w:rsid w:val="009919C9"/>
    <w:rsid w:val="009971EB"/>
    <w:rsid w:val="009B387B"/>
    <w:rsid w:val="00A02679"/>
    <w:rsid w:val="00A471B5"/>
    <w:rsid w:val="00A61693"/>
    <w:rsid w:val="00A71F4F"/>
    <w:rsid w:val="00A82A08"/>
    <w:rsid w:val="00AA4261"/>
    <w:rsid w:val="00B13801"/>
    <w:rsid w:val="00B41F7A"/>
    <w:rsid w:val="00B43C80"/>
    <w:rsid w:val="00BC1D14"/>
    <w:rsid w:val="00C038F3"/>
    <w:rsid w:val="00C147CB"/>
    <w:rsid w:val="00C25B20"/>
    <w:rsid w:val="00C32A14"/>
    <w:rsid w:val="00C67F5F"/>
    <w:rsid w:val="00C74FD0"/>
    <w:rsid w:val="00CC48D2"/>
    <w:rsid w:val="00CC72C0"/>
    <w:rsid w:val="00CD6BB4"/>
    <w:rsid w:val="00CE296C"/>
    <w:rsid w:val="00D06AAD"/>
    <w:rsid w:val="00D15016"/>
    <w:rsid w:val="00D22E91"/>
    <w:rsid w:val="00E829D8"/>
    <w:rsid w:val="00EC2DEA"/>
    <w:rsid w:val="00ED0783"/>
    <w:rsid w:val="00F63721"/>
    <w:rsid w:val="00F71C7A"/>
    <w:rsid w:val="00F74652"/>
    <w:rsid w:val="00F839A0"/>
    <w:rsid w:val="00FA094C"/>
    <w:rsid w:val="00FD24EE"/>
    <w:rsid w:val="00FE3578"/>
    <w:rsid w:val="03B86AD3"/>
    <w:rsid w:val="03E2554B"/>
    <w:rsid w:val="04F16191"/>
    <w:rsid w:val="061453BE"/>
    <w:rsid w:val="0666335B"/>
    <w:rsid w:val="074958E1"/>
    <w:rsid w:val="076D7821"/>
    <w:rsid w:val="08624EAC"/>
    <w:rsid w:val="0A466107"/>
    <w:rsid w:val="0A740EC6"/>
    <w:rsid w:val="0B7C44D7"/>
    <w:rsid w:val="0BAE5D62"/>
    <w:rsid w:val="0BCB2D68"/>
    <w:rsid w:val="0D541D20"/>
    <w:rsid w:val="0DC857B1"/>
    <w:rsid w:val="0E0F1632"/>
    <w:rsid w:val="0E770DB9"/>
    <w:rsid w:val="0EB6385C"/>
    <w:rsid w:val="0F0547E3"/>
    <w:rsid w:val="0FE64614"/>
    <w:rsid w:val="108E1F08"/>
    <w:rsid w:val="128724F6"/>
    <w:rsid w:val="12BE7183"/>
    <w:rsid w:val="14F96C4C"/>
    <w:rsid w:val="158C27EA"/>
    <w:rsid w:val="15CE57D6"/>
    <w:rsid w:val="15D47080"/>
    <w:rsid w:val="162C6AF9"/>
    <w:rsid w:val="1651030E"/>
    <w:rsid w:val="16E00A8C"/>
    <w:rsid w:val="16E6314C"/>
    <w:rsid w:val="181E1154"/>
    <w:rsid w:val="18932E60"/>
    <w:rsid w:val="18B3392C"/>
    <w:rsid w:val="19B60BB4"/>
    <w:rsid w:val="19C57049"/>
    <w:rsid w:val="19DF45AE"/>
    <w:rsid w:val="1C964CCC"/>
    <w:rsid w:val="1D1722B1"/>
    <w:rsid w:val="1D813BCE"/>
    <w:rsid w:val="224F7DF7"/>
    <w:rsid w:val="22FE5379"/>
    <w:rsid w:val="24612064"/>
    <w:rsid w:val="24C04FDC"/>
    <w:rsid w:val="256B326E"/>
    <w:rsid w:val="277125BE"/>
    <w:rsid w:val="27DC5B40"/>
    <w:rsid w:val="280D656A"/>
    <w:rsid w:val="28210CC5"/>
    <w:rsid w:val="29606D8E"/>
    <w:rsid w:val="29DF5F05"/>
    <w:rsid w:val="2BE94E19"/>
    <w:rsid w:val="2C98683F"/>
    <w:rsid w:val="2CBA4A07"/>
    <w:rsid w:val="2CC338BC"/>
    <w:rsid w:val="2FEE50F3"/>
    <w:rsid w:val="308C66BA"/>
    <w:rsid w:val="30BF083E"/>
    <w:rsid w:val="32CE66D5"/>
    <w:rsid w:val="33042538"/>
    <w:rsid w:val="332B21BB"/>
    <w:rsid w:val="336E3E55"/>
    <w:rsid w:val="36E0506A"/>
    <w:rsid w:val="374970B3"/>
    <w:rsid w:val="377406A3"/>
    <w:rsid w:val="38262EF3"/>
    <w:rsid w:val="3B3F2D5B"/>
    <w:rsid w:val="3B6502E9"/>
    <w:rsid w:val="3E1026D9"/>
    <w:rsid w:val="3E135D25"/>
    <w:rsid w:val="3ED951C1"/>
    <w:rsid w:val="3F4A5777"/>
    <w:rsid w:val="40152228"/>
    <w:rsid w:val="40D95004"/>
    <w:rsid w:val="4242307D"/>
    <w:rsid w:val="437E1E93"/>
    <w:rsid w:val="44627A06"/>
    <w:rsid w:val="45372C41"/>
    <w:rsid w:val="466E61EE"/>
    <w:rsid w:val="46957C1F"/>
    <w:rsid w:val="470B204D"/>
    <w:rsid w:val="49FD3F18"/>
    <w:rsid w:val="4B6401D6"/>
    <w:rsid w:val="4CA24E44"/>
    <w:rsid w:val="4FB235F0"/>
    <w:rsid w:val="506C73AA"/>
    <w:rsid w:val="55E42029"/>
    <w:rsid w:val="57002C53"/>
    <w:rsid w:val="57A2219C"/>
    <w:rsid w:val="59256618"/>
    <w:rsid w:val="597265D0"/>
    <w:rsid w:val="5AE623A0"/>
    <w:rsid w:val="5C3E620B"/>
    <w:rsid w:val="5C4307BC"/>
    <w:rsid w:val="5C4F0418"/>
    <w:rsid w:val="5C537F09"/>
    <w:rsid w:val="5CB97A26"/>
    <w:rsid w:val="5D081F0B"/>
    <w:rsid w:val="5D235B2D"/>
    <w:rsid w:val="5DC170F4"/>
    <w:rsid w:val="5F797C86"/>
    <w:rsid w:val="5FF437B1"/>
    <w:rsid w:val="628E1C9B"/>
    <w:rsid w:val="63D74F7B"/>
    <w:rsid w:val="657D4B27"/>
    <w:rsid w:val="66AF49F5"/>
    <w:rsid w:val="66BB0B84"/>
    <w:rsid w:val="6830241D"/>
    <w:rsid w:val="68F20AA9"/>
    <w:rsid w:val="68F95994"/>
    <w:rsid w:val="694542C0"/>
    <w:rsid w:val="6A921949"/>
    <w:rsid w:val="6AE54422"/>
    <w:rsid w:val="6DE05374"/>
    <w:rsid w:val="6F6618A9"/>
    <w:rsid w:val="6F876DF0"/>
    <w:rsid w:val="6F926B42"/>
    <w:rsid w:val="7128122F"/>
    <w:rsid w:val="71E4671C"/>
    <w:rsid w:val="72F84FAC"/>
    <w:rsid w:val="73C179F6"/>
    <w:rsid w:val="748E1560"/>
    <w:rsid w:val="74CC6652"/>
    <w:rsid w:val="75330480"/>
    <w:rsid w:val="75D27C98"/>
    <w:rsid w:val="76EA1012"/>
    <w:rsid w:val="778356EE"/>
    <w:rsid w:val="77A2381C"/>
    <w:rsid w:val="793A6280"/>
    <w:rsid w:val="7B9003DA"/>
    <w:rsid w:val="7BAC2D3A"/>
    <w:rsid w:val="7BB226F8"/>
    <w:rsid w:val="7CFC2517"/>
    <w:rsid w:val="7DBF4FA6"/>
    <w:rsid w:val="7E464D80"/>
    <w:rsid w:val="7F59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link w:val="17"/>
    <w:semiHidden/>
    <w:unhideWhenUsed/>
    <w:qFormat/>
    <w:uiPriority w:val="0"/>
    <w:pPr>
      <w:keepNext/>
      <w:keepLines/>
      <w:numPr>
        <w:ilvl w:val="0"/>
        <w:numId w:val="1"/>
      </w:numPr>
      <w:spacing w:before="260" w:after="260" w:line="413" w:lineRule="auto"/>
      <w:outlineLvl w:val="1"/>
    </w:pPr>
    <w:rPr>
      <w:rFonts w:ascii="Arial" w:hAnsi="Arial" w:eastAsia="黑体" w:cs="Arial"/>
      <w:b/>
      <w:snapToGrid w:val="0"/>
      <w:color w:val="000000"/>
      <w:kern w:val="0"/>
      <w:szCs w:val="21"/>
      <w:lang w:eastAsia="en-US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eastAsia="仿宋"/>
    </w:rPr>
  </w:style>
  <w:style w:type="paragraph" w:styleId="4">
    <w:name w:val="annotation text"/>
    <w:basedOn w:val="1"/>
    <w:link w:val="27"/>
    <w:qFormat/>
    <w:uiPriority w:val="0"/>
    <w:pPr>
      <w:jc w:val="left"/>
    </w:pPr>
  </w:style>
  <w:style w:type="paragraph" w:styleId="5">
    <w:name w:val="Body Text"/>
    <w:basedOn w:val="1"/>
    <w:next w:val="6"/>
    <w:link w:val="23"/>
    <w:qFormat/>
    <w:uiPriority w:val="0"/>
    <w:pPr>
      <w:spacing w:after="120"/>
    </w:pPr>
    <w:rPr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Indent"/>
    <w:basedOn w:val="1"/>
    <w:next w:val="3"/>
    <w:qFormat/>
    <w:uiPriority w:val="0"/>
    <w:pPr>
      <w:ind w:firstLine="540" w:firstLineChars="180"/>
    </w:pPr>
    <w:rPr>
      <w:rFonts w:ascii="仿宋_GB2312"/>
      <w:sz w:val="30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annotation subject"/>
    <w:basedOn w:val="4"/>
    <w:next w:val="4"/>
    <w:link w:val="28"/>
    <w:qFormat/>
    <w:uiPriority w:val="0"/>
    <w:rPr>
      <w:b/>
      <w:bCs/>
    </w:rPr>
  </w:style>
  <w:style w:type="paragraph" w:styleId="11">
    <w:name w:val="Body Text First Indent"/>
    <w:qFormat/>
    <w:uiPriority w:val="0"/>
    <w:pPr>
      <w:widowControl w:val="0"/>
      <w:spacing w:after="120" w:line="500" w:lineRule="exact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12">
    <w:name w:val="Body Text First Indent 2"/>
    <w:basedOn w:val="7"/>
    <w:next w:val="1"/>
    <w:qFormat/>
    <w:uiPriority w:val="0"/>
    <w:pPr>
      <w:spacing w:after="120"/>
      <w:ind w:left="420" w:leftChars="200" w:firstLine="420" w:firstLineChars="200"/>
    </w:pPr>
    <w:rPr>
      <w:rFonts w:ascii="Times New Roman" w:hAnsi="Times New Roman" w:eastAsia="宋体"/>
      <w:sz w:val="21"/>
      <w:szCs w:val="21"/>
    </w:rPr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annotation reference"/>
    <w:basedOn w:val="15"/>
    <w:qFormat/>
    <w:uiPriority w:val="0"/>
    <w:rPr>
      <w:sz w:val="21"/>
      <w:szCs w:val="21"/>
    </w:rPr>
  </w:style>
  <w:style w:type="character" w:customStyle="1" w:styleId="17">
    <w:name w:val="标题 2 字符"/>
    <w:link w:val="2"/>
    <w:qFormat/>
    <w:uiPriority w:val="0"/>
    <w:rPr>
      <w:rFonts w:ascii="Arial" w:hAnsi="Arial" w:eastAsia="黑体" w:cs="Arial"/>
      <w:b/>
      <w:snapToGrid w:val="0"/>
      <w:color w:val="000000"/>
      <w:kern w:val="0"/>
      <w:sz w:val="32"/>
      <w:szCs w:val="21"/>
      <w:lang w:eastAsia="en-US"/>
    </w:rPr>
  </w:style>
  <w:style w:type="paragraph" w:customStyle="1" w:styleId="18">
    <w:name w:val="子附件-标题"/>
    <w:basedOn w:val="1"/>
    <w:qFormat/>
    <w:uiPriority w:val="0"/>
    <w:pPr>
      <w:spacing w:line="560" w:lineRule="exact"/>
      <w:jc w:val="center"/>
    </w:pPr>
    <w:rPr>
      <w:rFonts w:ascii="方正小标宋简体" w:hAnsi="方正小标宋简体" w:eastAsia="方正小标宋简体" w:cs="方正小标宋简体"/>
      <w:sz w:val="44"/>
      <w:szCs w:val="44"/>
    </w:rPr>
  </w:style>
  <w:style w:type="paragraph" w:customStyle="1" w:styleId="19">
    <w:name w:val="附件-正文"/>
    <w:basedOn w:val="1"/>
    <w:qFormat/>
    <w:uiPriority w:val="0"/>
    <w:pPr>
      <w:spacing w:line="560" w:lineRule="exact"/>
      <w:ind w:firstLine="640" w:firstLineChars="200"/>
    </w:pPr>
    <w:rPr>
      <w:rFonts w:hint="eastAsia" w:ascii="仿宋_GB2312" w:hAnsi="仿宋_GB2312" w:eastAsia="方正仿宋_GBK"/>
    </w:rPr>
  </w:style>
  <w:style w:type="paragraph" w:customStyle="1" w:styleId="20">
    <w:name w:val="子附件 一、二、三、"/>
    <w:basedOn w:val="1"/>
    <w:qFormat/>
    <w:uiPriority w:val="0"/>
    <w:pPr>
      <w:spacing w:line="560" w:lineRule="exact"/>
      <w:ind w:firstLine="640" w:firstLineChars="200"/>
    </w:pPr>
    <w:rPr>
      <w:rFonts w:hint="eastAsia" w:eastAsia="黑体" w:cs="黑体"/>
      <w:color w:val="000000"/>
      <w:szCs w:val="32"/>
    </w:rPr>
  </w:style>
  <w:style w:type="paragraph" w:customStyle="1" w:styleId="21">
    <w:name w:val="正文首行缩进1"/>
    <w:basedOn w:val="5"/>
    <w:next w:val="8"/>
    <w:qFormat/>
    <w:uiPriority w:val="0"/>
    <w:pPr>
      <w:autoSpaceDE w:val="0"/>
      <w:autoSpaceDN w:val="0"/>
      <w:adjustRightInd w:val="0"/>
      <w:snapToGrid w:val="0"/>
      <w:spacing w:line="360" w:lineRule="auto"/>
      <w:ind w:firstLine="420" w:firstLineChars="100"/>
      <w:jc w:val="center"/>
    </w:pPr>
    <w:rPr>
      <w:rFonts w:ascii="Arial Unicode MS" w:eastAsia="Arial Unicode MS"/>
      <w:color w:val="000000"/>
      <w:sz w:val="44"/>
      <w:szCs w:val="20"/>
    </w:rPr>
  </w:style>
  <w:style w:type="paragraph" w:customStyle="1" w:styleId="22">
    <w:name w:val="表格长文字"/>
    <w:basedOn w:val="1"/>
    <w:link w:val="24"/>
    <w:qFormat/>
    <w:uiPriority w:val="0"/>
    <w:pPr>
      <w:widowControl/>
      <w:snapToGrid w:val="0"/>
      <w:spacing w:line="320" w:lineRule="exact"/>
      <w:jc w:val="left"/>
    </w:pPr>
    <w:rPr>
      <w:rFonts w:hint="eastAsia" w:ascii="仿宋_GB2312" w:hAnsi="仿宋_GB2312"/>
      <w:color w:val="000000"/>
      <w:kern w:val="0"/>
      <w:sz w:val="24"/>
    </w:rPr>
  </w:style>
  <w:style w:type="character" w:customStyle="1" w:styleId="23">
    <w:name w:val="正文文本 字符"/>
    <w:link w:val="5"/>
    <w:qFormat/>
    <w:uiPriority w:val="0"/>
    <w:rPr>
      <w:rFonts w:ascii="Calibri" w:hAnsi="Calibri" w:eastAsia="仿宋_GB2312"/>
      <w:kern w:val="2"/>
      <w:sz w:val="32"/>
      <w:szCs w:val="24"/>
    </w:rPr>
  </w:style>
  <w:style w:type="character" w:customStyle="1" w:styleId="24">
    <w:name w:val="表格长文字 Char"/>
    <w:link w:val="22"/>
    <w:qFormat/>
    <w:uiPriority w:val="0"/>
    <w:rPr>
      <w:rFonts w:ascii="仿宋_GB2312" w:hAnsi="仿宋_GB2312" w:eastAsia="仿宋_GB2312"/>
      <w:color w:val="000000"/>
      <w:sz w:val="24"/>
      <w:szCs w:val="22"/>
    </w:rPr>
  </w:style>
  <w:style w:type="character" w:customStyle="1" w:styleId="25">
    <w:name w:val="font31"/>
    <w:basedOn w:val="1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26">
    <w:name w:val="Revision"/>
    <w:hidden/>
    <w:unhideWhenUsed/>
    <w:qFormat/>
    <w:uiPriority w:val="99"/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customStyle="1" w:styleId="27">
    <w:name w:val="批注文字 字符"/>
    <w:basedOn w:val="15"/>
    <w:link w:val="4"/>
    <w:qFormat/>
    <w:uiPriority w:val="0"/>
    <w:rPr>
      <w:rFonts w:ascii="Calibri" w:hAnsi="Calibri" w:eastAsia="仿宋_GB2312"/>
      <w:kern w:val="2"/>
      <w:sz w:val="32"/>
      <w:szCs w:val="22"/>
    </w:rPr>
  </w:style>
  <w:style w:type="character" w:customStyle="1" w:styleId="28">
    <w:name w:val="批注主题 字符"/>
    <w:basedOn w:val="27"/>
    <w:link w:val="10"/>
    <w:qFormat/>
    <w:uiPriority w:val="0"/>
    <w:rPr>
      <w:rFonts w:ascii="Calibri" w:hAnsi="Calibri" w:eastAsia="仿宋_GB2312"/>
      <w:b/>
      <w:bCs/>
      <w:kern w:val="2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2" Type="http://schemas.openxmlformats.org/officeDocument/2006/relationships/font" Target="fonts/font12.odttf"/><Relationship Id="rId11" Type="http://schemas.openxmlformats.org/officeDocument/2006/relationships/font" Target="fonts/font11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2454</Words>
  <Characters>2573</Characters>
  <Lines>26</Lines>
  <Paragraphs>7</Paragraphs>
  <TotalTime>6</TotalTime>
  <ScaleCrop>false</ScaleCrop>
  <LinksUpToDate>false</LinksUpToDate>
  <CharactersWithSpaces>2702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2023-11-22T04:45:00Z</dcterms:created>
  <dc:creator>win</dc:creator>
  <cp:lastModifiedBy>LJ</cp:lastModifiedBy>
  <dcterms:modified xsi:type="dcterms:W3CDTF">2024-08-16T03:12:58Z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E8B171EB0BEE49D38116D13F61F09EA1_13</vt:lpwstr>
  </property>
</Properties>
</file>